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ZJZB-202007-221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rPr>
              <w:t>武汉工程大学武昌校区停车场改造工程</w:t>
            </w:r>
            <w:r>
              <w:rPr>
                <w:rFonts w:hint="eastAsia" w:asciiTheme="minorEastAsia" w:hAnsiTheme="minorEastAsia" w:eastAsiaTheme="minorEastAsia" w:cstheme="minorEastAsia"/>
                <w:b/>
                <w:color w:val="auto"/>
                <w:sz w:val="28"/>
                <w:lang w:eastAsia="zh-CN"/>
              </w:rPr>
              <w:t>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工程</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2020年7月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_Toc20119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_Toc20119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_Toc10317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_Toc10317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_Toc3967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_Toc3967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_Toc4317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_Toc4317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_Toc27672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_Toc27672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_Toc28628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_Toc28628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_Toc18951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六、 </w:t>
      </w:r>
      <w:r>
        <w:rPr>
          <w:rFonts w:hint="eastAsia" w:ascii="宋体" w:hAnsi="宋体" w:eastAsia="宋体" w:cs="宋体"/>
          <w:szCs w:val="21"/>
          <w:lang w:eastAsia="zh-CN"/>
        </w:rPr>
        <w:t>采购人</w:t>
      </w:r>
      <w:r>
        <w:rPr>
          <w:rFonts w:hint="eastAsia" w:ascii="宋体" w:hAnsi="宋体" w:eastAsia="宋体" w:cs="宋体"/>
          <w:szCs w:val="21"/>
        </w:rPr>
        <w:t>联系方式公告期限</w:t>
      </w:r>
      <w:r>
        <w:tab/>
      </w:r>
      <w:r>
        <w:fldChar w:fldCharType="begin"/>
      </w:r>
      <w:r>
        <w:instrText xml:space="preserve"> PAGEREF _Toc18951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_Toc23080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_Toc23080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_Toc8389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_Toc8389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_Toc11873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_Toc19938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_Toc19938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_Toc4174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_Toc14446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_Toc14446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_Toc15188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_Toc9347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_Toc10307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_Toc24648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_Toc10973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_Toc32229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_Toc3176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_Toc10815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_Toc10815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_Toc5126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_Toc12975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_Toc23181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_Toc23181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_Toc30708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_Toc18793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_Toc18793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_Toc24063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_Toc13196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_Toc11881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_Toc27380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_Toc3802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_Toc13256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_Toc31630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_Toc31630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_Toc1847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_Toc26429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_Toc31321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_Toc13040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_Toc20760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_Toc1479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_Toc17776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_Toc3016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_Toc3451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_Toc3451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_Toc7198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_Toc16175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_Toc16175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_Toc2687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_Toc26294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_Toc17551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_Toc3262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_Toc9073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_Toc5188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_Toc23284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_Toc23284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_Toc21403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_Toc21403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_Toc31474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_Toc10941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_Toc23771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_Toc10545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_Toc26254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_Toc10245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_Toc5348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_Toc8365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_Toc5013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_Toc4036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_Toc5483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_Toc5483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_Toc27405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_Toc30424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_Toc11287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_Toc18023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_Toc15737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 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_Toc15737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_Toc18054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_Toc2706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_Toc6201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_Toc27957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lang w:eastAsia="zh-CN"/>
        </w:rPr>
        <w:t>分项报价表</w:t>
      </w:r>
      <w:r>
        <w:tab/>
      </w:r>
      <w:r>
        <w:fldChar w:fldCharType="begin"/>
      </w:r>
      <w:r>
        <w:instrText xml:space="preserve"> PAGEREF _Toc27957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w:t>
      </w:r>
      <w:r>
        <w:tab/>
      </w:r>
      <w:r>
        <w:fldChar w:fldCharType="begin"/>
      </w:r>
      <w:r>
        <w:instrText xml:space="preserve"> PAGEREF _Toc16331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w:t>
      </w:r>
      <w:r>
        <w:tab/>
      </w:r>
      <w:r>
        <w:fldChar w:fldCharType="begin"/>
      </w:r>
      <w:r>
        <w:instrText xml:space="preserve"> PAGEREF _Toc5530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_Toc9454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_Toc9454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_Toc6238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_Toc7864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_Toc7864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_Toc23258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_Toc23258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_Toc9554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_Toc9554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_Toc17406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_Toc17406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_Toc15791 </w:instrText>
      </w:r>
      <w:r>
        <w:fldChar w:fldCharType="separate"/>
      </w:r>
      <w:r>
        <w:t>68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_Toc8106 </w:instrText>
      </w:r>
      <w:r>
        <w:fldChar w:fldCharType="separate"/>
      </w:r>
      <w:r>
        <w:t>69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_Toc23554 </w:instrText>
      </w:r>
      <w:r>
        <w:fldChar w:fldCharType="separate"/>
      </w:r>
      <w:r>
        <w:t>70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_Toc20943 </w:instrText>
      </w:r>
      <w:r>
        <w:fldChar w:fldCharType="separate"/>
      </w:r>
      <w:r>
        <w:t>71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_Toc15063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_Toc15063 </w:instrText>
      </w:r>
      <w:r>
        <w:fldChar w:fldCharType="separate"/>
      </w:r>
      <w:r>
        <w:t>72</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20119"/>
      <w:bookmarkStart w:id="1" w:name="_Toc6866"/>
      <w:r>
        <w:rPr>
          <w:rFonts w:hint="eastAsia" w:ascii="宋体" w:hAnsi="宋体" w:cs="宋体"/>
          <w:b/>
          <w:sz w:val="36"/>
          <w:szCs w:val="36"/>
        </w:rPr>
        <w:t>竞争性磋商公告</w:t>
      </w:r>
      <w:bookmarkEnd w:id="0"/>
      <w:bookmarkEnd w:id="1"/>
      <w:bookmarkStart w:id="2" w:name="_Toc9976"/>
      <w:bookmarkStart w:id="3" w:name="_Toc144974480"/>
      <w:bookmarkStart w:id="4" w:name="_Toc152045512"/>
      <w:bookmarkStart w:id="5" w:name="_Toc179632528"/>
      <w:bookmarkStart w:id="6" w:name="_Toc152042288"/>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武汉工程大学武昌校区停车场改造工程</w:t>
      </w:r>
      <w:r>
        <w:rPr>
          <w:rFonts w:hint="eastAsia" w:ascii="宋体" w:hAnsi="宋体" w:cs="宋体"/>
          <w:color w:val="000000"/>
          <w:sz w:val="21"/>
          <w:szCs w:val="21"/>
          <w:lang w:eastAsia="zh-CN"/>
        </w:rPr>
        <w:t>二次</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w:t>
      </w:r>
      <w:r>
        <w:rPr>
          <w:rFonts w:hint="eastAsia" w:ascii="宋体" w:hAnsi="宋体" w:eastAsia="宋体" w:cs="宋体"/>
          <w:color w:val="auto"/>
          <w:sz w:val="21"/>
          <w:szCs w:val="21"/>
          <w:u w:val="single"/>
          <w:lang w:eastAsia="zh-CN"/>
        </w:rPr>
        <w:t>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4805室）或线上</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w:t>
      </w:r>
      <w:bookmarkStart w:id="279" w:name="_GoBack"/>
      <w:bookmarkEnd w:id="279"/>
      <w:r>
        <w:rPr>
          <w:rFonts w:hint="eastAsia" w:ascii="宋体" w:hAnsi="宋体" w:eastAsia="宋体" w:cs="宋体"/>
          <w:color w:val="auto"/>
          <w:sz w:val="21"/>
          <w:szCs w:val="21"/>
        </w:rPr>
        <w:t>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9</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4</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09</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b w:val="0"/>
          <w:bCs w:val="0"/>
          <w:color w:val="auto"/>
          <w:kern w:val="2"/>
          <w:sz w:val="21"/>
          <w:szCs w:val="21"/>
          <w:lang w:val="en-US" w:eastAsia="zh-CN" w:bidi="ar-SA"/>
        </w:rPr>
      </w:pPr>
      <w:bookmarkStart w:id="8" w:name="_Toc10317"/>
      <w:r>
        <w:rPr>
          <w:rFonts w:hint="eastAsia" w:ascii="宋体" w:hAnsi="宋体" w:eastAsia="宋体" w:cs="宋体"/>
          <w:color w:val="000000"/>
          <w:sz w:val="21"/>
          <w:szCs w:val="21"/>
        </w:rPr>
        <w:t>项目基本情况</w:t>
      </w:r>
      <w:bookmarkEnd w:id="8"/>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1、项目编号：ZJZB-202007-221；</w:t>
      </w:r>
      <w:r>
        <w:rPr>
          <w:rFonts w:hint="eastAsia" w:ascii="宋体" w:hAnsi="宋体" w:eastAsia="宋体" w:cs="宋体"/>
          <w:b w:val="0"/>
          <w:bCs w:val="0"/>
          <w:color w:val="auto"/>
          <w:kern w:val="2"/>
          <w:sz w:val="21"/>
          <w:szCs w:val="21"/>
          <w:lang w:val="en-US" w:eastAsia="zh-CN" w:bidi="ar-SA"/>
        </w:rPr>
        <w:br w:type="textWrapping"/>
      </w:r>
      <w:r>
        <w:rPr>
          <w:rFonts w:hint="eastAsia" w:ascii="宋体" w:hAnsi="宋体" w:eastAsia="宋体" w:cs="宋体"/>
          <w:color w:val="auto"/>
          <w:sz w:val="21"/>
          <w:szCs w:val="21"/>
        </w:rPr>
        <w:t>2、项目名称：武汉工程大学武昌校区停车场改造工程</w:t>
      </w:r>
      <w:r>
        <w:rPr>
          <w:rFonts w:hint="eastAsia" w:ascii="宋体" w:hAnsi="宋体" w:cs="宋体"/>
          <w:color w:val="auto"/>
          <w:sz w:val="21"/>
          <w:szCs w:val="21"/>
          <w:lang w:eastAsia="zh-CN"/>
        </w:rPr>
        <w:t>二次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3、采购方式：竞争性磋商</w:t>
      </w:r>
      <w:r>
        <w:rPr>
          <w:rFonts w:hint="eastAsia" w:ascii="宋体" w:hAnsi="宋体" w:eastAsia="宋体" w:cs="宋体"/>
          <w:color w:val="auto"/>
          <w:sz w:val="21"/>
          <w:szCs w:val="21"/>
        </w:rPr>
        <w:t xml:space="preserve"> </w:t>
      </w:r>
    </w:p>
    <w:p>
      <w:pPr>
        <w:spacing w:line="360" w:lineRule="auto"/>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45</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万元（含财政资金</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万元，其他资金</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45</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5、最高限价：</w:t>
      </w:r>
      <w:r>
        <w:rPr>
          <w:rFonts w:hint="eastAsia" w:ascii="宋体" w:hAnsi="宋体" w:eastAsia="宋体" w:cs="宋体"/>
          <w:color w:val="auto"/>
          <w:sz w:val="21"/>
          <w:szCs w:val="21"/>
        </w:rPr>
        <w:t>人民币</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45</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需求：本次</w:t>
      </w:r>
      <w:r>
        <w:rPr>
          <w:rFonts w:hint="eastAsia" w:ascii="宋体" w:hAnsi="宋体" w:eastAsia="宋体" w:cs="宋体"/>
          <w:color w:val="auto"/>
          <w:sz w:val="21"/>
          <w:szCs w:val="21"/>
          <w:lang w:val="en-US" w:eastAsia="zh-CN"/>
        </w:rPr>
        <w:t>竞争性磋商采购</w:t>
      </w:r>
      <w:r>
        <w:rPr>
          <w:rFonts w:hint="eastAsia" w:ascii="宋体" w:hAnsi="宋体" w:eastAsia="宋体" w:cs="宋体"/>
          <w:color w:val="auto"/>
          <w:sz w:val="21"/>
          <w:szCs w:val="21"/>
        </w:rPr>
        <w:t>共分</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个项目包，具体需求如下，详细技术规格、参数及商务要求见本项目</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rPr>
        <w:t>文件第三章内容。</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工程</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简要技术要求/项目性质：</w:t>
      </w:r>
      <w:r>
        <w:rPr>
          <w:rFonts w:hint="eastAsia" w:ascii="宋体" w:hAnsi="宋体" w:cs="宋体"/>
          <w:color w:val="auto"/>
          <w:sz w:val="21"/>
          <w:szCs w:val="21"/>
          <w:lang w:eastAsia="zh-CN"/>
        </w:rPr>
        <w:t>武汉工程大学</w:t>
      </w:r>
      <w:r>
        <w:rPr>
          <w:rFonts w:hint="eastAsia" w:ascii="宋体" w:hAnsi="宋体" w:eastAsia="宋体" w:cs="宋体"/>
          <w:color w:val="auto"/>
          <w:sz w:val="21"/>
          <w:szCs w:val="21"/>
        </w:rPr>
        <w:t>武昌校区家属区9、11、13、19、22、24栋空地改造为停车场</w:t>
      </w:r>
      <w:r>
        <w:rPr>
          <w:rFonts w:hint="eastAsia" w:ascii="宋体" w:hAnsi="宋体" w:cs="宋体"/>
          <w:color w:val="auto"/>
          <w:sz w:val="21"/>
          <w:szCs w:val="21"/>
          <w:lang w:eastAsia="zh-CN"/>
        </w:rPr>
        <w:t>，包含但不限于拆除工程、新建排水沟、植草砖地面等</w:t>
      </w:r>
      <w:r>
        <w:rPr>
          <w:rFonts w:hint="eastAsia" w:ascii="宋体" w:hAnsi="宋体" w:eastAsia="宋体" w:cs="宋体"/>
          <w:color w:val="auto"/>
          <w:sz w:val="21"/>
          <w:szCs w:val="21"/>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cs="宋体"/>
          <w:b w:val="0"/>
          <w:bCs w:val="0"/>
          <w:color w:val="auto"/>
          <w:kern w:val="2"/>
          <w:sz w:val="21"/>
          <w:szCs w:val="21"/>
          <w:lang w:val="en-US" w:eastAsia="zh-CN" w:bidi="ar-SA"/>
        </w:rPr>
        <w:t>工期</w:t>
      </w:r>
      <w:r>
        <w:rPr>
          <w:rFonts w:hint="eastAsia" w:ascii="宋体" w:hAnsi="宋体" w:eastAsia="宋体" w:cs="宋体"/>
          <w:b w:val="0"/>
          <w:bCs w:val="0"/>
          <w:color w:val="auto"/>
          <w:kern w:val="2"/>
          <w:sz w:val="21"/>
          <w:szCs w:val="21"/>
          <w:lang w:val="en-US" w:eastAsia="zh-CN" w:bidi="ar-SA"/>
        </w:rPr>
        <w:t>：进场后</w:t>
      </w:r>
      <w:r>
        <w:rPr>
          <w:rFonts w:hint="eastAsia" w:ascii="宋体" w:hAnsi="宋体" w:eastAsia="宋体" w:cs="宋体"/>
          <w:color w:val="auto"/>
          <w:szCs w:val="21"/>
          <w:u w:val="single"/>
          <w:lang w:val="en-US" w:eastAsia="zh-CN"/>
        </w:rPr>
        <w:t xml:space="preserve"> </w:t>
      </w:r>
      <w:r>
        <w:rPr>
          <w:rFonts w:hint="eastAsia" w:ascii="宋体" w:hAnsi="宋体" w:cs="宋体"/>
          <w:color w:val="auto"/>
          <w:szCs w:val="21"/>
          <w:u w:val="single"/>
          <w:lang w:val="en-US" w:eastAsia="zh-CN"/>
        </w:rPr>
        <w:t>30</w:t>
      </w:r>
      <w:r>
        <w:rPr>
          <w:rFonts w:hint="eastAsia" w:ascii="宋体" w:hAnsi="宋体" w:eastAsia="宋体" w:cs="宋体"/>
          <w:color w:val="auto"/>
          <w:szCs w:val="21"/>
          <w:u w:val="single"/>
          <w:lang w:val="en-US" w:eastAsia="zh-CN"/>
        </w:rPr>
        <w:t xml:space="preserve"> </w:t>
      </w:r>
      <w:r>
        <w:rPr>
          <w:rFonts w:hint="eastAsia" w:ascii="宋体" w:hAnsi="宋体" w:eastAsia="宋体" w:cs="宋体"/>
          <w:b w:val="0"/>
          <w:bCs w:val="0"/>
          <w:color w:val="auto"/>
          <w:kern w:val="2"/>
          <w:sz w:val="21"/>
          <w:szCs w:val="21"/>
          <w:lang w:val="en-US" w:eastAsia="zh-CN" w:bidi="ar-SA"/>
        </w:rPr>
        <w:t>日历天内完工</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w:t>
      </w:r>
      <w:r>
        <w:rPr>
          <w:rFonts w:hint="eastAsia" w:ascii="宋体" w:hAnsi="宋体" w:eastAsia="宋体" w:cs="宋体"/>
          <w:color w:val="auto"/>
          <w:sz w:val="21"/>
          <w:szCs w:val="21"/>
        </w:rPr>
        <w:t>验收合格之日算起，工程质保期限为2年，其它符合国家标准</w:t>
      </w:r>
      <w:r>
        <w:rPr>
          <w:rFonts w:hint="eastAsia" w:ascii="宋体" w:hAnsi="宋体" w:cs="宋体"/>
          <w:color w:val="auto"/>
          <w:sz w:val="21"/>
          <w:szCs w:val="21"/>
          <w:lang w:eastAsia="zh-CN"/>
        </w:rPr>
        <w:t>；</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cs="宋体"/>
          <w:color w:val="auto"/>
          <w:sz w:val="21"/>
          <w:szCs w:val="21"/>
          <w:lang w:eastAsia="zh-CN"/>
        </w:rPr>
        <w:t>工程</w:t>
      </w:r>
      <w:r>
        <w:rPr>
          <w:rFonts w:hint="eastAsia" w:ascii="宋体" w:hAnsi="宋体" w:eastAsia="宋体" w:cs="宋体"/>
          <w:color w:val="auto"/>
          <w:sz w:val="21"/>
          <w:szCs w:val="21"/>
        </w:rPr>
        <w:t>质量标准：达到《建筑工程施工质量验收统一标准》（GB50300-2013）合格标准，以及国家或行业颁布的其他现行各项技术标准和验收规范规定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：进场后</w:t>
      </w:r>
      <w:r>
        <w:rPr>
          <w:rFonts w:hint="eastAsia" w:ascii="宋体" w:hAnsi="宋体" w:eastAsia="宋体" w:cs="宋体"/>
          <w:color w:val="auto"/>
          <w:sz w:val="21"/>
          <w:szCs w:val="21"/>
          <w:u w:val="single"/>
          <w:lang w:eastAsia="zh-CN"/>
        </w:rPr>
        <w:t xml:space="preserve"> 30 </w:t>
      </w:r>
      <w:r>
        <w:rPr>
          <w:rFonts w:hint="eastAsia" w:ascii="宋体" w:hAnsi="宋体" w:eastAsia="宋体" w:cs="宋体"/>
          <w:color w:val="auto"/>
          <w:sz w:val="21"/>
          <w:szCs w:val="21"/>
          <w:lang w:eastAsia="zh-CN"/>
        </w:rPr>
        <w:t>日历天内完工</w:t>
      </w:r>
      <w:r>
        <w:rPr>
          <w:rFonts w:hint="eastAsia" w:ascii="宋体" w:hAnsi="宋体" w:eastAsia="宋体" w:cs="宋体"/>
          <w:color w:val="auto"/>
          <w:sz w:val="21"/>
          <w:szCs w:val="21"/>
          <w:u w:val="none"/>
          <w:lang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sz w:val="21"/>
          <w:szCs w:val="21"/>
        </w:rPr>
      </w:pPr>
      <w:bookmarkStart w:id="9" w:name="_Toc3967"/>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1.1具有独立承担民事责任的能力（经营范围需满足采购需求）；</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8"/>
        </w:numPr>
        <w:spacing w:line="360" w:lineRule="auto"/>
        <w:ind w:firstLine="420" w:firstLineChars="200"/>
        <w:jc w:val="left"/>
        <w:rPr>
          <w:rFonts w:hint="eastAsia" w:ascii="宋体" w:hAnsi="宋体" w:eastAsia="宋体" w:cs="宋体"/>
          <w:strike w:val="0"/>
          <w:dstrike w:val="0"/>
          <w:sz w:val="21"/>
          <w:szCs w:val="21"/>
        </w:rPr>
      </w:pPr>
      <w:r>
        <w:rPr>
          <w:rFonts w:hint="eastAsia" w:ascii="宋体" w:hAnsi="宋体" w:eastAsia="宋体" w:cs="宋体"/>
          <w:color w:val="000000"/>
          <w:sz w:val="21"/>
          <w:szCs w:val="21"/>
        </w:rPr>
        <w:t>落实政府采购政策需满足的资格要求：</w:t>
      </w:r>
      <w:r>
        <w:rPr>
          <w:rFonts w:hint="eastAsia" w:ascii="宋体" w:hAnsi="宋体" w:eastAsia="宋体" w:cs="宋体"/>
          <w:strike w:val="0"/>
          <w:dstrike w:val="0"/>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宋体" w:hAnsi="宋体" w:eastAsia="宋体" w:cs="宋体"/>
          <w:strike w:val="0"/>
          <w:dstrike w:val="0"/>
          <w:sz w:val="21"/>
          <w:szCs w:val="21"/>
          <w:lang w:val="en-US" w:eastAsia="zh-CN"/>
        </w:rPr>
        <w:t>采购</w:t>
      </w:r>
      <w:r>
        <w:rPr>
          <w:rFonts w:hint="eastAsia" w:ascii="宋体" w:hAnsi="宋体" w:eastAsia="宋体" w:cs="宋体"/>
          <w:strike w:val="0"/>
          <w:dstrike w:val="0"/>
          <w:sz w:val="21"/>
          <w:szCs w:val="21"/>
        </w:rPr>
        <w:t>文件；</w:t>
      </w:r>
    </w:p>
    <w:p>
      <w:pPr>
        <w:numPr>
          <w:ilvl w:val="0"/>
          <w:numId w:val="8"/>
        </w:num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highlight w:val="none"/>
          <w:lang w:val="en-US" w:eastAsia="zh-CN"/>
        </w:rPr>
        <w:t xml:space="preserve">   3.2供应商须具备建筑装饰装修工程专业承包二级及以上资质，并取得合格有效的安全生产许可证</w:t>
      </w:r>
      <w:r>
        <w:rPr>
          <w:rFonts w:hint="eastAsia" w:ascii="宋体" w:hAnsi="宋体" w:cs="宋体"/>
          <w:color w:val="000000"/>
          <w:sz w:val="21"/>
          <w:szCs w:val="21"/>
          <w:highlight w:val="none"/>
          <w:lang w:val="en-US" w:eastAsia="zh-CN"/>
        </w:rPr>
        <w:t>；</w:t>
      </w:r>
      <w:r>
        <w:rPr>
          <w:rFonts w:hint="eastAsia" w:ascii="宋体" w:hAnsi="宋体" w:cs="宋体"/>
          <w:color w:val="000000"/>
          <w:sz w:val="21"/>
          <w:szCs w:val="21"/>
          <w:highlight w:val="none"/>
          <w:lang w:val="en-US" w:eastAsia="zh-CN"/>
        </w:rPr>
        <w:br w:type="textWrapping"/>
      </w:r>
      <w:r>
        <w:rPr>
          <w:rFonts w:hint="eastAsia" w:ascii="宋体" w:hAnsi="宋体" w:cs="宋体"/>
          <w:color w:val="000000"/>
          <w:sz w:val="21"/>
          <w:szCs w:val="21"/>
          <w:highlight w:val="none"/>
          <w:lang w:val="en-US" w:eastAsia="zh-CN"/>
        </w:rPr>
        <w:t xml:space="preserve">    3.3</w:t>
      </w:r>
      <w:r>
        <w:rPr>
          <w:rFonts w:hint="eastAsia" w:asciiTheme="minorEastAsia" w:hAnsiTheme="minorEastAsia" w:eastAsiaTheme="minorEastAsia" w:cstheme="minorEastAsia"/>
          <w:color w:val="auto"/>
        </w:rPr>
        <w:t>供应商拟派的项目经理须具备建设行政主管部门核发的</w:t>
      </w:r>
      <w:r>
        <w:rPr>
          <w:rFonts w:hint="eastAsia" w:asciiTheme="minorEastAsia" w:hAnsiTheme="minorEastAsia" w:eastAsiaTheme="minorEastAsia" w:cstheme="minorEastAsia"/>
          <w:color w:val="auto"/>
          <w:lang w:eastAsia="zh-CN"/>
        </w:rPr>
        <w:t>建筑</w:t>
      </w:r>
      <w:r>
        <w:rPr>
          <w:rFonts w:hint="eastAsia" w:asciiTheme="minorEastAsia" w:hAnsiTheme="minorEastAsia" w:eastAsiaTheme="minorEastAsia" w:cstheme="minorEastAsia"/>
          <w:color w:val="auto"/>
        </w:rPr>
        <w:t>工程</w:t>
      </w:r>
      <w:r>
        <w:rPr>
          <w:rFonts w:hint="eastAsia" w:asciiTheme="minorEastAsia" w:hAnsiTheme="minorEastAsia" w:eastAsiaTheme="minorEastAsia" w:cstheme="minorEastAsia"/>
          <w:color w:val="auto"/>
          <w:lang w:eastAsia="zh-CN"/>
        </w:rPr>
        <w:t>相关专业</w:t>
      </w:r>
      <w:r>
        <w:rPr>
          <w:rFonts w:hint="eastAsia" w:asciiTheme="minorEastAsia" w:hAnsiTheme="minorEastAsia" w:eastAsiaTheme="minorEastAsia" w:cstheme="minorEastAsia"/>
          <w:color w:val="auto"/>
        </w:rPr>
        <w:t>二级及以上注册建造师资格且注册于该公司（</w:t>
      </w:r>
      <w:r>
        <w:rPr>
          <w:rFonts w:hint="eastAsia" w:asciiTheme="minorEastAsia" w:hAnsiTheme="minorEastAsia" w:eastAsiaTheme="minorEastAsia" w:cstheme="minorEastAsia"/>
          <w:color w:val="auto"/>
          <w:lang w:eastAsia="zh-CN"/>
        </w:rPr>
        <w:t>提供身份证、</w:t>
      </w:r>
      <w:r>
        <w:rPr>
          <w:rFonts w:hint="eastAsia" w:asciiTheme="minorEastAsia" w:hAnsiTheme="minorEastAsia" w:eastAsiaTheme="minorEastAsia" w:cstheme="minorEastAsia"/>
          <w:color w:val="auto"/>
        </w:rPr>
        <w:t>资格证书</w:t>
      </w:r>
      <w:r>
        <w:rPr>
          <w:rFonts w:hint="eastAsia" w:asciiTheme="minorEastAsia" w:hAnsiTheme="minorEastAsia" w:eastAsiaTheme="minorEastAsia" w:cstheme="minorEastAsia"/>
          <w:color w:val="auto"/>
          <w:lang w:eastAsia="zh-CN"/>
        </w:rPr>
        <w:t>、劳动合同及近三个月的社保证明</w:t>
      </w:r>
      <w:r>
        <w:rPr>
          <w:rFonts w:hint="eastAsia" w:asciiTheme="minorEastAsia" w:hAnsiTheme="minorEastAsia" w:eastAsiaTheme="minorEastAsia" w:cstheme="minorEastAsia"/>
          <w:color w:val="auto"/>
        </w:rPr>
        <w:t>）；具备有效的安全生产考核合格证书（B证）；同时</w:t>
      </w:r>
      <w:r>
        <w:rPr>
          <w:rFonts w:hint="eastAsia" w:asciiTheme="minorEastAsia" w:hAnsiTheme="minorEastAsia" w:eastAsiaTheme="minorEastAsia" w:cstheme="minorEastAsia"/>
          <w:color w:val="auto"/>
          <w:lang w:eastAsia="zh-CN"/>
        </w:rPr>
        <w:t>提供</w:t>
      </w:r>
      <w:r>
        <w:rPr>
          <w:rFonts w:hint="eastAsia" w:asciiTheme="minorEastAsia" w:hAnsiTheme="minorEastAsia" w:eastAsiaTheme="minorEastAsia" w:cstheme="minorEastAsia"/>
          <w:color w:val="auto"/>
        </w:rPr>
        <w:t>未担任其他在建工程的项目经理</w:t>
      </w:r>
      <w:r>
        <w:rPr>
          <w:rFonts w:hint="eastAsia" w:asciiTheme="minorEastAsia" w:hAnsiTheme="minorEastAsia" w:eastAsiaTheme="minorEastAsia" w:cstheme="minorEastAsia"/>
          <w:color w:val="auto"/>
          <w:lang w:eastAsia="zh-CN"/>
        </w:rPr>
        <w:t>及</w:t>
      </w:r>
      <w:r>
        <w:rPr>
          <w:rFonts w:hint="eastAsia" w:asciiTheme="minorEastAsia" w:hAnsiTheme="minorEastAsia" w:eastAsiaTheme="minorEastAsia" w:cstheme="minorEastAsia"/>
          <w:color w:val="auto"/>
        </w:rPr>
        <w:t>中标后只承担本工程</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rPr>
        <w:t>承诺书（格式自拟）</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eastAsia="zh-CN"/>
        </w:rPr>
        <w:br w:type="textWrapping"/>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u w:val="none"/>
          <w:lang w:val="en-US" w:eastAsia="zh-CN"/>
        </w:rPr>
        <w:t>3.4</w:t>
      </w:r>
      <w:r>
        <w:rPr>
          <w:rFonts w:hint="eastAsia" w:asciiTheme="minorEastAsia" w:hAnsiTheme="minorEastAsia" w:eastAsiaTheme="minorEastAsia" w:cstheme="minorEastAsia"/>
          <w:color w:val="auto"/>
        </w:rPr>
        <w:t>供应商拟派的项目管理团队（</w:t>
      </w:r>
      <w:r>
        <w:rPr>
          <w:rFonts w:hint="eastAsia" w:ascii="宋体" w:hAnsi="宋体" w:eastAsia="宋体" w:cs="宋体"/>
          <w:color w:val="auto"/>
          <w:sz w:val="21"/>
          <w:szCs w:val="21"/>
          <w:u w:val="none"/>
          <w:lang w:val="en-US" w:eastAsia="zh-CN"/>
        </w:rPr>
        <w:t>施工员、质量员、安全员、标准员、材料员、资料员</w:t>
      </w:r>
      <w:r>
        <w:rPr>
          <w:rFonts w:hint="eastAsia" w:asciiTheme="minorEastAsia" w:hAnsiTheme="minorEastAsia" w:eastAsiaTheme="minorEastAsia" w:cstheme="minorEastAsia"/>
          <w:color w:val="auto"/>
        </w:rPr>
        <w:t>）必须具备相应岗位证</w:t>
      </w:r>
      <w:r>
        <w:rPr>
          <w:rFonts w:hint="eastAsia" w:asciiTheme="minorEastAsia" w:hAnsiTheme="minorEastAsia" w:eastAsiaTheme="minorEastAsia" w:cstheme="minorEastAsia"/>
          <w:color w:val="auto"/>
          <w:lang w:eastAsia="zh-CN"/>
        </w:rPr>
        <w:t>（提供身份证、岗位证书、劳动合同及近三个月的社保证明），</w:t>
      </w:r>
      <w:r>
        <w:rPr>
          <w:rFonts w:hint="eastAsia" w:asciiTheme="minorEastAsia" w:hAnsiTheme="minorEastAsia" w:eastAsiaTheme="minorEastAsia" w:cstheme="minorEastAsia"/>
          <w:color w:val="auto"/>
        </w:rPr>
        <w:t>其中安全员需具备有效期内的安全员C证</w:t>
      </w:r>
      <w:r>
        <w:rPr>
          <w:rFonts w:hint="eastAsia" w:asciiTheme="minorEastAsia" w:hAnsiTheme="minorEastAsia" w:eastAsiaTheme="minorEastAsia" w:cstheme="minorEastAsia"/>
          <w:color w:val="auto"/>
          <w:lang w:val="en-US" w:eastAsia="zh-CN"/>
        </w:rPr>
        <w:t>；</w:t>
      </w:r>
      <w:r>
        <w:rPr>
          <w:rFonts w:hint="eastAsia" w:ascii="宋体" w:hAnsi="宋体" w:eastAsia="宋体" w:cs="宋体"/>
          <w:color w:val="FF0000"/>
          <w:sz w:val="21"/>
          <w:szCs w:val="21"/>
          <w:u w:val="single"/>
          <w:lang w:val="en-US" w:eastAsia="zh-CN"/>
        </w:rPr>
        <w:t xml:space="preserve">                       </w:t>
      </w:r>
    </w:p>
    <w:p>
      <w:pPr>
        <w:numPr>
          <w:ilvl w:val="0"/>
          <w:numId w:val="8"/>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如国家法律法规对市场准入有要</w:t>
      </w:r>
      <w:r>
        <w:rPr>
          <w:rFonts w:hint="eastAsia" w:ascii="宋体" w:hAnsi="宋体" w:eastAsia="宋体" w:cs="宋体"/>
          <w:sz w:val="21"/>
          <w:szCs w:val="21"/>
        </w:rPr>
        <w:t>求的还应符合相关规定；</w:t>
      </w:r>
    </w:p>
    <w:p>
      <w:pPr>
        <w:pStyle w:val="4"/>
        <w:numPr>
          <w:ilvl w:val="0"/>
          <w:numId w:val="6"/>
        </w:numPr>
        <w:spacing w:line="360" w:lineRule="auto"/>
        <w:jc w:val="left"/>
        <w:rPr>
          <w:rFonts w:hint="eastAsia" w:ascii="宋体" w:hAnsi="宋体" w:eastAsia="宋体" w:cs="宋体"/>
          <w:sz w:val="21"/>
          <w:szCs w:val="21"/>
        </w:rPr>
      </w:pPr>
      <w:bookmarkStart w:id="10" w:name="_Toc4317"/>
      <w:bookmarkStart w:id="11"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10"/>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24</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28</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eastAsia="宋体" w:cs="宋体"/>
          <w:sz w:val="21"/>
          <w:szCs w:val="21"/>
        </w:rPr>
        <w:t>5个工作日），每天上午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val="0"/>
          <w:bCs w:val="0"/>
          <w:color w:val="auto"/>
          <w:sz w:val="21"/>
          <w:szCs w:val="21"/>
          <w:lang w:val="en-US" w:eastAsia="zh-CN"/>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4"/>
        <w:numPr>
          <w:ilvl w:val="0"/>
          <w:numId w:val="6"/>
        </w:numPr>
        <w:spacing w:line="360" w:lineRule="auto"/>
        <w:jc w:val="left"/>
        <w:rPr>
          <w:rFonts w:hint="eastAsia" w:ascii="宋体" w:hAnsi="宋体" w:eastAsia="宋体" w:cs="宋体"/>
          <w:sz w:val="21"/>
          <w:szCs w:val="21"/>
        </w:rPr>
      </w:pPr>
      <w:bookmarkStart w:id="12" w:name="_Toc27672"/>
      <w:r>
        <w:rPr>
          <w:rFonts w:hint="eastAsia" w:ascii="宋体" w:hAnsi="宋体" w:eastAsia="宋体" w:cs="宋体"/>
          <w:sz w:val="21"/>
          <w:szCs w:val="21"/>
          <w:lang w:eastAsia="zh-CN"/>
        </w:rPr>
        <w:t>响应文件提交</w:t>
      </w:r>
      <w:bookmarkEnd w:id="12"/>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b w:val="0"/>
          <w:bCs w:val="0"/>
          <w:color w:val="auto"/>
          <w:kern w:val="2"/>
          <w:sz w:val="21"/>
          <w:szCs w:val="21"/>
          <w:lang w:val="en-US" w:eastAsia="zh-CN" w:bidi="ar-SA"/>
        </w:rPr>
        <w:t>2020年</w:t>
      </w:r>
      <w:r>
        <w:rPr>
          <w:rFonts w:hint="eastAsia" w:ascii="宋体" w:hAnsi="宋体" w:cs="宋体"/>
          <w:b w:val="0"/>
          <w:bCs w:val="0"/>
          <w:color w:val="auto"/>
          <w:kern w:val="2"/>
          <w:sz w:val="21"/>
          <w:szCs w:val="21"/>
          <w:lang w:val="en-US" w:eastAsia="zh-CN" w:bidi="ar-SA"/>
        </w:rPr>
        <w:t>9</w:t>
      </w:r>
      <w:r>
        <w:rPr>
          <w:rFonts w:hint="eastAsia" w:ascii="宋体" w:hAnsi="宋体" w:eastAsia="宋体" w:cs="宋体"/>
          <w:b w:val="0"/>
          <w:bCs w:val="0"/>
          <w:color w:val="auto"/>
          <w:kern w:val="2"/>
          <w:sz w:val="21"/>
          <w:szCs w:val="21"/>
          <w:lang w:val="en-US" w:eastAsia="zh-CN" w:bidi="ar-SA"/>
        </w:rPr>
        <w:t>月</w:t>
      </w:r>
      <w:r>
        <w:rPr>
          <w:rFonts w:hint="eastAsia" w:ascii="宋体" w:hAnsi="宋体" w:cs="宋体"/>
          <w:b w:val="0"/>
          <w:bCs w:val="0"/>
          <w:color w:val="auto"/>
          <w:kern w:val="2"/>
          <w:sz w:val="21"/>
          <w:szCs w:val="21"/>
          <w:lang w:val="en-US" w:eastAsia="zh-CN" w:bidi="ar-SA"/>
        </w:rPr>
        <w:t>4</w:t>
      </w:r>
      <w:r>
        <w:rPr>
          <w:rFonts w:hint="eastAsia" w:ascii="宋体" w:hAnsi="宋体" w:eastAsia="宋体" w:cs="宋体"/>
          <w:b w:val="0"/>
          <w:bCs w:val="0"/>
          <w:color w:val="auto"/>
          <w:kern w:val="2"/>
          <w:sz w:val="21"/>
          <w:szCs w:val="21"/>
          <w:lang w:val="en-US" w:eastAsia="zh-CN" w:bidi="ar-SA"/>
        </w:rPr>
        <w:t>日</w:t>
      </w:r>
      <w:r>
        <w:rPr>
          <w:rFonts w:hint="eastAsia" w:ascii="宋体" w:hAnsi="宋体" w:cs="宋体"/>
          <w:b w:val="0"/>
          <w:bCs w:val="0"/>
          <w:color w:val="auto"/>
          <w:kern w:val="2"/>
          <w:sz w:val="21"/>
          <w:szCs w:val="21"/>
          <w:lang w:val="en-US" w:eastAsia="zh-CN" w:bidi="ar-SA"/>
        </w:rPr>
        <w:t>09</w:t>
      </w:r>
      <w:r>
        <w:rPr>
          <w:rFonts w:hint="eastAsia" w:ascii="宋体" w:hAnsi="宋体" w:eastAsia="宋体" w:cs="宋体"/>
          <w:b w:val="0"/>
          <w:bCs w:val="0"/>
          <w:color w:val="auto"/>
          <w:kern w:val="2"/>
          <w:sz w:val="21"/>
          <w:szCs w:val="21"/>
          <w:lang w:val="en-US" w:eastAsia="zh-CN" w:bidi="ar-SA"/>
        </w:rPr>
        <w:t>点</w:t>
      </w:r>
      <w:r>
        <w:rPr>
          <w:rFonts w:hint="eastAsia" w:ascii="宋体" w:hAnsi="宋体" w:cs="宋体"/>
          <w:b w:val="0"/>
          <w:bCs w:val="0"/>
          <w:color w:val="auto"/>
          <w:kern w:val="2"/>
          <w:sz w:val="21"/>
          <w:szCs w:val="21"/>
          <w:lang w:val="en-US" w:eastAsia="zh-CN" w:bidi="ar-SA"/>
        </w:rPr>
        <w:t>30</w:t>
      </w:r>
      <w:r>
        <w:rPr>
          <w:rFonts w:hint="eastAsia" w:ascii="宋体" w:hAnsi="宋体" w:eastAsia="宋体" w:cs="宋体"/>
          <w:b w:val="0"/>
          <w:bCs w:val="0"/>
          <w:color w:val="auto"/>
          <w:kern w:val="2"/>
          <w:sz w:val="21"/>
          <w:szCs w:val="21"/>
          <w:lang w:val="en-US" w:eastAsia="zh-CN" w:bidi="ar-SA"/>
        </w:rPr>
        <w:t>分（北京时间）（从磋商文件开始发出之日起至供应商提交首次响应文件截止之日止不得少于10日）</w:t>
      </w:r>
      <w:r>
        <w:rPr>
          <w:rFonts w:hint="eastAsia" w:ascii="宋体" w:hAnsi="宋体" w:eastAsia="宋体" w:cs="宋体"/>
          <w:b w:val="0"/>
          <w:bCs w:val="0"/>
          <w:color w:val="auto"/>
          <w:kern w:val="2"/>
          <w:sz w:val="21"/>
          <w:szCs w:val="21"/>
          <w:lang w:val="en-US" w:eastAsia="zh-CN" w:bidi="ar-SA"/>
        </w:rPr>
        <w:br w:type="textWrapping"/>
      </w:r>
      <w:r>
        <w:rPr>
          <w:rFonts w:hint="eastAsia" w:ascii="宋体" w:hAnsi="宋体" w:cs="宋体"/>
          <w:b w:val="0"/>
          <w:bCs w:val="0"/>
          <w:color w:val="auto"/>
          <w:kern w:val="2"/>
          <w:sz w:val="21"/>
          <w:szCs w:val="21"/>
          <w:lang w:val="en-US" w:eastAsia="zh-CN" w:bidi="ar-SA"/>
        </w:rPr>
        <w:t xml:space="preserve">    </w:t>
      </w:r>
      <w:r>
        <w:rPr>
          <w:rFonts w:hint="eastAsia" w:ascii="宋体" w:hAnsi="宋体" w:eastAsia="宋体" w:cs="宋体"/>
          <w:b w:val="0"/>
          <w:bCs w:val="0"/>
          <w:color w:val="auto"/>
          <w:kern w:val="2"/>
          <w:sz w:val="21"/>
          <w:szCs w:val="21"/>
          <w:lang w:val="en-US" w:eastAsia="zh-CN" w:bidi="ar-SA"/>
        </w:rPr>
        <w:t>送达地点：武昌区中北路岳家嘴立交山河企业大厦4806室</w:t>
      </w:r>
    </w:p>
    <w:p>
      <w:pPr>
        <w:pStyle w:val="4"/>
        <w:numPr>
          <w:ilvl w:val="0"/>
          <w:numId w:val="6"/>
        </w:numPr>
        <w:spacing w:line="360" w:lineRule="auto"/>
        <w:jc w:val="left"/>
        <w:rPr>
          <w:rFonts w:hint="eastAsia" w:eastAsia="宋体"/>
          <w:sz w:val="21"/>
          <w:szCs w:val="21"/>
          <w:lang w:eastAsia="zh-CN"/>
        </w:rPr>
      </w:pPr>
      <w:bookmarkStart w:id="13" w:name="_Toc28628"/>
      <w:r>
        <w:rPr>
          <w:rFonts w:hint="eastAsia" w:ascii="宋体" w:hAnsi="宋体" w:eastAsia="宋体" w:cs="宋体"/>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9</w:t>
      </w:r>
      <w:r>
        <w:rPr>
          <w:rFonts w:hint="eastAsia" w:ascii="宋体" w:hAnsi="宋体" w:eastAsia="宋体" w:cs="宋体"/>
          <w:sz w:val="21"/>
          <w:szCs w:val="21"/>
          <w:lang w:eastAsia="zh-CN"/>
        </w:rPr>
        <w:t>月</w:t>
      </w:r>
      <w:r>
        <w:rPr>
          <w:rFonts w:hint="eastAsia" w:ascii="宋体" w:hAnsi="宋体" w:cs="宋体"/>
          <w:sz w:val="21"/>
          <w:szCs w:val="21"/>
          <w:lang w:val="en-US" w:eastAsia="zh-CN"/>
        </w:rPr>
        <w:t>4</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eastAsia="zh-CN"/>
        </w:rPr>
        <w:t>点</w:t>
      </w:r>
      <w:r>
        <w:rPr>
          <w:rFonts w:hint="eastAsia" w:ascii="宋体" w:hAnsi="宋体" w:cs="宋体"/>
          <w:sz w:val="21"/>
          <w:szCs w:val="21"/>
          <w:lang w:val="en-US" w:eastAsia="zh-CN"/>
        </w:rPr>
        <w:t>30</w:t>
      </w:r>
      <w:r>
        <w:rPr>
          <w:rFonts w:hint="eastAsia" w:ascii="宋体" w:hAnsi="宋体" w:eastAsia="宋体" w:cs="宋体"/>
          <w:sz w:val="21"/>
          <w:szCs w:val="21"/>
          <w:lang w:eastAsia="zh-CN"/>
        </w:rPr>
        <w:t>分（北京时间）</w:t>
      </w:r>
    </w:p>
    <w:p>
      <w:pPr>
        <w:pStyle w:val="4"/>
        <w:numPr>
          <w:ilvl w:val="0"/>
          <w:numId w:val="6"/>
        </w:numPr>
        <w:spacing w:line="360" w:lineRule="auto"/>
        <w:jc w:val="left"/>
        <w:rPr>
          <w:rFonts w:hint="eastAsia" w:ascii="宋体" w:hAnsi="宋体" w:eastAsia="宋体" w:cs="宋体"/>
          <w:sz w:val="21"/>
          <w:szCs w:val="21"/>
        </w:rPr>
      </w:pPr>
      <w:bookmarkStart w:id="14" w:name="_Toc18951"/>
      <w:r>
        <w:rPr>
          <w:rFonts w:hint="eastAsia" w:ascii="宋体" w:hAnsi="宋体" w:eastAsia="宋体" w:cs="宋体"/>
          <w:sz w:val="21"/>
          <w:szCs w:val="21"/>
        </w:rPr>
        <w:t>公告期限</w:t>
      </w:r>
      <w:bookmarkEnd w:id="14"/>
    </w:p>
    <w:p>
      <w:pPr>
        <w:spacing w:line="360" w:lineRule="auto"/>
        <w:ind w:firstLine="420" w:firstLineChars="200"/>
        <w:jc w:val="left"/>
        <w:rPr>
          <w:rFonts w:hint="eastAsia" w:ascii="宋体" w:hAnsi="宋体" w:eastAsia="宋体" w:cs="宋体"/>
          <w:sz w:val="21"/>
          <w:szCs w:val="21"/>
          <w:lang w:eastAsia="zh-CN"/>
        </w:rPr>
      </w:pPr>
      <w:bookmarkStart w:id="15" w:name="_Toc334539188"/>
      <w:bookmarkStart w:id="16" w:name="_Toc259607751"/>
      <w:bookmarkStart w:id="17" w:name="_Toc276368888"/>
      <w:bookmarkStart w:id="18" w:name="_Toc320898024"/>
      <w:bookmarkStart w:id="19" w:name="_Toc6021"/>
      <w:bookmarkStart w:id="20" w:name="_Toc317262251"/>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宋体" w:hAnsi="宋体" w:eastAsia="宋体" w:cs="宋体"/>
          <w:sz w:val="21"/>
          <w:szCs w:val="21"/>
        </w:rPr>
      </w:pPr>
      <w:bookmarkStart w:id="21" w:name="_Toc23080"/>
      <w:r>
        <w:rPr>
          <w:rFonts w:hint="eastAsia" w:ascii="宋体" w:hAnsi="宋体" w:eastAsia="宋体" w:cs="宋体"/>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sz w:val="21"/>
          <w:szCs w:val="21"/>
          <w:lang w:val="en-US" w:eastAsia="zh-CN"/>
        </w:rPr>
      </w:pPr>
      <w:bookmarkStart w:id="22" w:name="_Toc259028279"/>
      <w:r>
        <w:rPr>
          <w:rFonts w:hint="eastAsia" w:ascii="宋体" w:hAnsi="宋体" w:eastAsia="宋体" w:cs="宋体"/>
          <w:sz w:val="21"/>
          <w:szCs w:val="21"/>
          <w:lang w:val="en-US" w:eastAsia="zh-CN"/>
        </w:rPr>
        <w:t>1.本项目是否专门面向中小企业、监狱企业、残疾人</w:t>
      </w:r>
      <w:r>
        <w:rPr>
          <w:rFonts w:hint="eastAsia" w:ascii="宋体" w:hAnsi="宋体" w:eastAsia="宋体" w:cs="宋体"/>
          <w:color w:val="auto"/>
          <w:sz w:val="21"/>
          <w:szCs w:val="21"/>
          <w:lang w:val="en-US" w:eastAsia="zh-CN"/>
        </w:rPr>
        <w:t>福利性单位：否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一</w:t>
      </w:r>
      <w:r>
        <w:rPr>
          <w:rFonts w:hint="eastAsia" w:ascii="宋体" w:hAnsi="宋体" w:eastAsia="宋体" w:cs="宋体"/>
          <w:sz w:val="21"/>
          <w:szCs w:val="21"/>
          <w:lang w:val="en-US" w:eastAsia="zh-CN"/>
        </w:rPr>
        <w:t>）《中经国际招标集团有限公司官网》（网址：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"http://www.ceitcl.com/）"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http://www.ceitcl.com/）</w:t>
      </w:r>
      <w:r>
        <w:rPr>
          <w:rFonts w:hint="eastAsia" w:ascii="宋体" w:hAnsi="宋体" w:eastAsia="宋体" w:cs="宋体"/>
          <w:sz w:val="21"/>
          <w:szCs w:val="21"/>
          <w:lang w:val="en-US" w:eastAsia="zh-CN"/>
        </w:rPr>
        <w:fldChar w:fldCharType="end"/>
      </w:r>
    </w:p>
    <w:bookmarkEnd w:id="22"/>
    <w:p>
      <w:pPr>
        <w:pStyle w:val="4"/>
        <w:numPr>
          <w:ilvl w:val="0"/>
          <w:numId w:val="6"/>
        </w:numPr>
        <w:spacing w:line="360" w:lineRule="auto"/>
        <w:jc w:val="left"/>
        <w:rPr>
          <w:rFonts w:hint="eastAsia" w:ascii="宋体" w:hAnsi="宋体" w:eastAsia="宋体" w:cs="宋体"/>
          <w:sz w:val="21"/>
          <w:szCs w:val="21"/>
        </w:rPr>
      </w:pPr>
      <w:bookmarkStart w:id="23" w:name="_Toc8389"/>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Theme="minorEastAsia" w:hAnsiTheme="minorEastAsia" w:eastAsiaTheme="minorEastAsia" w:cstheme="minorEastAsia"/>
          <w:color w:val="auto"/>
          <w:szCs w:val="21"/>
        </w:rPr>
        <w:t>武汉工程大学</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址：武汉市东湖新技术开发区光谷一路206号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cs="宋体"/>
          <w:color w:val="auto"/>
          <w:sz w:val="21"/>
          <w:szCs w:val="21"/>
          <w:lang w:eastAsia="zh-CN"/>
        </w:rPr>
        <w:t>段老师、</w:t>
      </w:r>
      <w:r>
        <w:rPr>
          <w:rFonts w:hint="eastAsia" w:ascii="宋体" w:hAnsi="宋体" w:eastAsia="宋体" w:cs="宋体"/>
          <w:color w:val="auto"/>
          <w:sz w:val="21"/>
          <w:szCs w:val="21"/>
          <w:lang w:val="en-US" w:eastAsia="zh-CN"/>
        </w:rPr>
        <w:t>027-</w:t>
      </w:r>
      <w:r>
        <w:rPr>
          <w:rFonts w:hint="eastAsia" w:ascii="宋体" w:hAnsi="宋体"/>
          <w:color w:val="auto"/>
          <w:szCs w:val="21"/>
        </w:rPr>
        <w:t>81624665</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r>
        <w:rPr>
          <w:rFonts w:hint="eastAsia" w:ascii="宋体" w:hAnsi="宋体" w:eastAsia="宋体" w:cs="宋体"/>
          <w:color w:val="FF0000"/>
          <w:sz w:val="21"/>
          <w:szCs w:val="21"/>
          <w:lang w:eastAsia="zh-CN"/>
        </w:rPr>
        <w:t>　　　</w:t>
      </w:r>
      <w:r>
        <w:rPr>
          <w:rFonts w:hint="eastAsia" w:ascii="宋体" w:hAnsi="宋体" w:eastAsia="宋体" w:cs="宋体"/>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24714"/>
      <w:bookmarkStart w:id="25" w:name="_Toc11873"/>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21</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6" w:name="_Toc19938"/>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7" w:name="_Toc4174"/>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武汉工程大学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Cs w:val="21"/>
                <w:lang w:val="zh-CN"/>
              </w:rPr>
              <w:t>武汉工程大学上级管理部门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lang w:val="en-US" w:eastAsia="zh-CN"/>
              </w:rPr>
              <w:t>61.7%</w:t>
            </w:r>
            <w:r>
              <w:rPr>
                <w:rFonts w:hint="eastAsia" w:asciiTheme="minorEastAsia" w:hAnsiTheme="minorEastAsia" w:eastAsiaTheme="minorEastAsia" w:cstheme="minorEastAsia"/>
                <w:color w:val="auto"/>
                <w:sz w:val="21"/>
                <w:szCs w:val="21"/>
              </w:rPr>
              <w:t>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8</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31</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承包方式：☑综合单价包干；□固定总价包干；包工、包料、包工期、包安全、包文明施工；</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本项目竞标报价为“交钥匙”价。竞标报价应包括完成该工程项目的成本、利润、税金、开办费、技术措施费、大型机械进出场费、风险费、赶工、加班补助</w:t>
            </w:r>
            <w:r>
              <w:rPr>
                <w:rFonts w:hint="eastAsia" w:asciiTheme="minorEastAsia" w:hAnsiTheme="minorEastAsia" w:eastAsiaTheme="minorEastAsia" w:cstheme="minorEastAsia"/>
                <w:color w:val="auto"/>
                <w:sz w:val="21"/>
                <w:szCs w:val="21"/>
                <w:lang w:val="en-US" w:eastAsia="zh-CN"/>
              </w:rPr>
              <w:t>及</w:t>
            </w:r>
            <w:r>
              <w:rPr>
                <w:rFonts w:hint="eastAsia" w:asciiTheme="minorEastAsia" w:hAnsiTheme="minorEastAsia" w:eastAsiaTheme="minorEastAsia" w:cstheme="minorEastAsia"/>
                <w:color w:val="auto"/>
                <w:sz w:val="21"/>
                <w:szCs w:val="21"/>
                <w:lang w:val="zh-CN"/>
              </w:rPr>
              <w:t>政策性文件规定费用等所有费用。合同签订后采购人未提出增加工作内容的情况下，合同价不得调整。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default"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组织，踏勘时间：</w:t>
            </w:r>
            <w:r>
              <w:rPr>
                <w:rFonts w:hint="eastAsia" w:asciiTheme="minorEastAsia" w:hAnsiTheme="minorEastAsia" w:eastAsiaTheme="minorEastAsia" w:cstheme="minorEastAsia"/>
                <w:color w:val="FF0000"/>
                <w:sz w:val="21"/>
                <w:szCs w:val="21"/>
                <w:lang w:val="en-US" w:eastAsia="zh-CN"/>
              </w:rPr>
              <w:t>2020年8月31日09：00</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踏勘集中地点：</w:t>
            </w:r>
            <w:r>
              <w:rPr>
                <w:rFonts w:hint="eastAsia" w:asciiTheme="minorEastAsia" w:hAnsiTheme="minorEastAsia" w:eastAsiaTheme="minorEastAsia" w:cstheme="minorEastAsia"/>
                <w:color w:val="FF0000"/>
                <w:sz w:val="21"/>
                <w:szCs w:val="21"/>
                <w:lang w:eastAsia="zh-CN"/>
              </w:rPr>
              <w:t>武汉工程大学武昌校区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踏勘联系人：吴老师13545090555</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widowControl/>
        <w:jc w:val="left"/>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28" w:name="_Toc14446"/>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9" w:name="_Toc15188"/>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0" w:name="_Toc9347"/>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2" w:name="_Toc30547"/>
      <w:bookmarkStart w:id="33" w:name="_Toc10307"/>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4" w:name="_Toc30503"/>
      <w:bookmarkStart w:id="35" w:name="_Toc24648"/>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6" w:name="_Toc9974"/>
      <w:bookmarkStart w:id="37" w:name="_Toc10973"/>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注：招标代理服务收费按差额定率累进法计算。例如：某工程招标代理业务中标金额为 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0---100：100×1.000％=10000.000元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100---500：400×0.700％=28000.000元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500---1000：500×0.550％=27500.000元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1000---5000：4000×0.350％=140000.000元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5000---6000：1000×0.200％=20000.000元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合计收费=225500.000元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8" w:name="_Toc32229"/>
      <w:r>
        <w:rPr>
          <w:rFonts w:hint="eastAsia" w:asciiTheme="minorEastAsia" w:hAnsiTheme="minorEastAsia" w:eastAsiaTheme="minorEastAsia" w:cstheme="minorEastAsia"/>
          <w:b/>
          <w:szCs w:val="21"/>
        </w:rPr>
        <w:t>竞争性磋商采购文件</w:t>
      </w:r>
      <w:bookmarkEnd w:id="38"/>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9" w:name="_Toc4547"/>
      <w:bookmarkStart w:id="40" w:name="_Toc3176"/>
      <w:r>
        <w:rPr>
          <w:rFonts w:hint="eastAsia" w:asciiTheme="minorEastAsia" w:hAnsiTheme="minorEastAsia" w:eastAsiaTheme="minorEastAsia" w:cstheme="minorEastAsia"/>
          <w:b/>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1" w:name="_Toc29700"/>
      <w:bookmarkStart w:id="42" w:name="_Toc10815"/>
      <w:r>
        <w:rPr>
          <w:rFonts w:hint="eastAsia" w:asciiTheme="minorEastAsia" w:hAnsiTheme="minorEastAsia" w:eastAsiaTheme="minorEastAsia" w:cstheme="minorEastAsia"/>
          <w:b/>
          <w:snapToGrid w:val="0"/>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31761"/>
      <w:bookmarkStart w:id="44" w:name="_Toc5126"/>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5" w:name="_Toc12975"/>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6" w:name="_Toc30987"/>
      <w:bookmarkStart w:id="47" w:name="_Toc23181"/>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32272"/>
      <w:bookmarkStart w:id="49" w:name="_Toc30708"/>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5217"/>
      <w:bookmarkStart w:id="51" w:name="_Toc18793"/>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24063"/>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13196"/>
      <w:bookmarkStart w:id="55" w:name="_Toc6176"/>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3324"/>
      <w:bookmarkStart w:id="57" w:name="_Toc11881"/>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2434"/>
      <w:bookmarkStart w:id="59" w:name="_Toc27380"/>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9935"/>
      <w:bookmarkStart w:id="61" w:name="_Toc3802"/>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13256"/>
      <w:bookmarkStart w:id="63" w:name="_Toc27068"/>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31630"/>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1847"/>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8" w:name="_Toc26429"/>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31321"/>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13040"/>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20760"/>
      <w:bookmarkStart w:id="74" w:name="_Toc31376"/>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5" w:name="_Toc1479"/>
      <w:bookmarkStart w:id="76"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7" w:name="_Toc17776"/>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22624"/>
      <w:bookmarkStart w:id="79" w:name="_Toc3016"/>
      <w:r>
        <w:rPr>
          <w:rFonts w:hint="eastAsia" w:asciiTheme="minorEastAsia" w:hAnsiTheme="minorEastAsia" w:eastAsiaTheme="minorEastAsia" w:cstheme="minorEastAsia"/>
          <w:b/>
        </w:rPr>
        <w:t>竞争性磋商小组</w:t>
      </w:r>
      <w:bookmarkEnd w:id="78"/>
      <w:bookmarkEnd w:id="79"/>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0" w:name="_Toc3451"/>
      <w:bookmarkStart w:id="81" w:name="_Toc21483"/>
      <w:r>
        <w:rPr>
          <w:rFonts w:hint="eastAsia" w:asciiTheme="minorEastAsia" w:hAnsiTheme="minorEastAsia" w:eastAsiaTheme="minorEastAsia" w:cstheme="minorEastAsia"/>
          <w:b/>
        </w:rPr>
        <w:t>磋商代表</w:t>
      </w:r>
      <w:bookmarkEnd w:id="80"/>
      <w:bookmarkEnd w:id="81"/>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82" w:name="_Toc9967"/>
      <w:bookmarkStart w:id="83"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7198"/>
      <w:r>
        <w:rPr>
          <w:rFonts w:hint="eastAsia" w:asciiTheme="minorEastAsia" w:hAnsiTheme="minorEastAsia" w:eastAsiaTheme="minorEastAsia" w:cstheme="minorEastAsia"/>
          <w:b/>
        </w:rPr>
        <w:t>资格审查和符合性审查</w:t>
      </w:r>
      <w:bookmarkEnd w:id="84"/>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5" w:name="_Toc16175"/>
      <w:r>
        <w:rPr>
          <w:rFonts w:hint="eastAsia" w:asciiTheme="minorEastAsia" w:hAnsiTheme="minorEastAsia" w:eastAsiaTheme="minorEastAsia" w:cstheme="minorEastAsia"/>
          <w:b/>
        </w:rPr>
        <w:t>磋商</w:t>
      </w:r>
      <w:bookmarkEnd w:id="85"/>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2687"/>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7" w:name="_Toc26294"/>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17551"/>
      <w:r>
        <w:rPr>
          <w:rFonts w:hint="eastAsia" w:asciiTheme="minorEastAsia" w:hAnsiTheme="minorEastAsia" w:eastAsiaTheme="minorEastAsia" w:cstheme="minorEastAsia"/>
          <w:b/>
          <w:lang w:val="zh-CN"/>
        </w:rPr>
        <w:t>合同授予标准</w:t>
      </w:r>
      <w:bookmarkEnd w:id="88"/>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9" w:name="_Toc3262"/>
      <w:r>
        <w:rPr>
          <w:rFonts w:hint="eastAsia" w:asciiTheme="minorEastAsia" w:hAnsiTheme="minorEastAsia" w:eastAsiaTheme="minorEastAsia" w:cstheme="minorEastAsia"/>
          <w:b/>
          <w:lang w:val="zh-CN"/>
        </w:rPr>
        <w:t>签订合同</w:t>
      </w:r>
      <w:bookmarkEnd w:id="89"/>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0" w:name="_Toc14510"/>
      <w:bookmarkStart w:id="91" w:name="_Toc13988"/>
      <w:bookmarkStart w:id="92" w:name="_Toc4883"/>
      <w:bookmarkStart w:id="93" w:name="_Toc9073"/>
      <w:r>
        <w:rPr>
          <w:rFonts w:hint="eastAsia" w:asciiTheme="minorEastAsia" w:hAnsiTheme="minorEastAsia" w:eastAsiaTheme="minorEastAsia" w:cstheme="minorEastAsia"/>
          <w:b/>
          <w:szCs w:val="21"/>
          <w:lang w:val="zh-CN"/>
        </w:rPr>
        <w:t>质疑和投诉</w:t>
      </w:r>
      <w:bookmarkEnd w:id="90"/>
      <w:bookmarkEnd w:id="91"/>
      <w:bookmarkEnd w:id="92"/>
      <w:bookmarkEnd w:id="93"/>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5188"/>
      <w:r>
        <w:rPr>
          <w:rFonts w:hint="eastAsia" w:asciiTheme="minorEastAsia" w:hAnsiTheme="minorEastAsia" w:eastAsiaTheme="minorEastAsia" w:cstheme="minorEastAsia"/>
          <w:b/>
          <w:lang w:val="zh-CN"/>
        </w:rPr>
        <w:t>质疑</w:t>
      </w:r>
      <w:bookmarkEnd w:id="94"/>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5" w:name="_Toc23284"/>
      <w:r>
        <w:rPr>
          <w:rFonts w:hint="eastAsia" w:asciiTheme="minorEastAsia" w:hAnsiTheme="minorEastAsia" w:eastAsiaTheme="minorEastAsia" w:cstheme="minorEastAsia"/>
          <w:b/>
          <w:lang w:val="zh-CN"/>
        </w:rPr>
        <w:t>质疑回复</w:t>
      </w:r>
      <w:bookmarkEnd w:id="95"/>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6" w:name="_Toc21403"/>
      <w:r>
        <w:rPr>
          <w:rFonts w:hint="eastAsia" w:asciiTheme="minorEastAsia" w:hAnsiTheme="minorEastAsia" w:eastAsiaTheme="minorEastAsia" w:cstheme="minorEastAsia"/>
          <w:b/>
          <w:lang w:val="zh-CN"/>
        </w:rPr>
        <w:t>投诉</w:t>
      </w:r>
      <w:bookmarkEnd w:id="9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7" w:name="_Toc28705"/>
      <w:bookmarkStart w:id="98" w:name="_Toc31474"/>
      <w:bookmarkStart w:id="99" w:name="_Toc5571"/>
      <w:bookmarkStart w:id="100" w:name="_Toc14767"/>
      <w:r>
        <w:rPr>
          <w:rFonts w:hint="eastAsia" w:asciiTheme="minorEastAsia" w:hAnsiTheme="minorEastAsia" w:eastAsiaTheme="minorEastAsia" w:cstheme="minorEastAsia"/>
          <w:b/>
          <w:szCs w:val="21"/>
          <w:lang w:val="zh-CN"/>
        </w:rPr>
        <w:t>政策</w:t>
      </w:r>
      <w:bookmarkEnd w:id="97"/>
      <w:bookmarkEnd w:id="98"/>
      <w:bookmarkEnd w:id="99"/>
      <w:bookmarkEnd w:id="10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01" w:name="_Toc10941"/>
      <w:r>
        <w:rPr>
          <w:rFonts w:hint="eastAsia" w:asciiTheme="minorEastAsia" w:hAnsiTheme="minorEastAsia" w:eastAsiaTheme="minorEastAsia" w:cstheme="minorEastAsia"/>
          <w:b/>
          <w:lang w:val="en-US" w:eastAsia="zh-CN"/>
        </w:rPr>
        <w:t>政府采购政策</w:t>
      </w:r>
      <w:bookmarkEnd w:id="101"/>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23771"/>
      <w:r>
        <w:rPr>
          <w:rFonts w:hint="eastAsia" w:asciiTheme="minorEastAsia" w:hAnsiTheme="minorEastAsia" w:eastAsiaTheme="minorEastAsia" w:cstheme="minorEastAsia"/>
          <w:b/>
          <w:szCs w:val="21"/>
          <w:lang w:val="zh-CN"/>
        </w:rPr>
        <w:t>其他要求</w:t>
      </w:r>
      <w:bookmarkEnd w:id="102"/>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3" w:name="_Toc10545"/>
      <w:r>
        <w:rPr>
          <w:rFonts w:hint="eastAsia" w:asciiTheme="minorEastAsia" w:hAnsiTheme="minorEastAsia" w:eastAsiaTheme="minorEastAsia" w:cstheme="minorEastAsia"/>
          <w:b/>
          <w:szCs w:val="21"/>
          <w:lang w:val="zh-CN"/>
        </w:rPr>
        <w:t>适用法律</w:t>
      </w:r>
      <w:bookmarkEnd w:id="103"/>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4" w:name="_Toc26254"/>
      <w:r>
        <w:rPr>
          <w:rFonts w:hint="eastAsia" w:asciiTheme="minorEastAsia" w:hAnsiTheme="minorEastAsia" w:eastAsiaTheme="minorEastAsia" w:cstheme="minorEastAsia"/>
          <w:b/>
          <w:bCs/>
          <w:sz w:val="36"/>
          <w:szCs w:val="36"/>
        </w:rPr>
        <w:t>采购需求</w:t>
      </w:r>
      <w:bookmarkEnd w:id="104"/>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5" w:name="_Toc10245"/>
      <w:r>
        <w:rPr>
          <w:rFonts w:hint="eastAsia" w:asciiTheme="minorEastAsia" w:hAnsiTheme="minorEastAsia" w:eastAsiaTheme="minorEastAsia" w:cstheme="minorEastAsia"/>
          <w:b/>
          <w:bCs/>
          <w:color w:val="auto"/>
          <w:sz w:val="24"/>
          <w:szCs w:val="24"/>
          <w:lang w:val="en-US" w:eastAsia="zh-CN"/>
        </w:rPr>
        <w:t>一、技术需求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w:t>
      </w:r>
      <w:r>
        <w:rPr>
          <w:rFonts w:hint="eastAsia" w:ascii="宋体" w:hAnsi="宋体" w:cs="宋体"/>
          <w:color w:val="auto"/>
          <w:sz w:val="21"/>
          <w:szCs w:val="21"/>
          <w:lang w:eastAsia="zh-CN"/>
        </w:rPr>
        <w:t>武汉工程大学</w:t>
      </w:r>
      <w:r>
        <w:rPr>
          <w:rFonts w:hint="eastAsia" w:ascii="宋体" w:hAnsi="宋体" w:eastAsia="宋体" w:cs="宋体"/>
          <w:color w:val="auto"/>
          <w:sz w:val="21"/>
          <w:szCs w:val="21"/>
        </w:rPr>
        <w:t>武昌校区家属区9、11、13、19、22、24栋空地改造为停车场</w:t>
      </w:r>
      <w:r>
        <w:rPr>
          <w:rFonts w:hint="eastAsia" w:ascii="宋体" w:hAnsi="宋体" w:cs="宋体"/>
          <w:color w:val="auto"/>
          <w:sz w:val="21"/>
          <w:szCs w:val="21"/>
          <w:lang w:eastAsia="zh-CN"/>
        </w:rPr>
        <w:t>，包含但不限于拆除工程、新建排水沟、植草砖地面等</w:t>
      </w:r>
      <w:r>
        <w:rPr>
          <w:rFonts w:hint="eastAsia" w:ascii="宋体" w:hAnsi="宋体" w:eastAsia="宋体" w:cs="宋体"/>
          <w:color w:val="auto"/>
          <w:sz w:val="21"/>
          <w:szCs w:val="21"/>
        </w:rPr>
        <w:t>；</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2、施工要求：</w:t>
      </w:r>
      <w:r>
        <w:rPr>
          <w:rFonts w:hint="eastAsia" w:asciiTheme="minorEastAsia" w:hAnsiTheme="minorEastAsia" w:eastAsiaTheme="minorEastAsia" w:cstheme="minorEastAsia"/>
          <w:b w:val="0"/>
          <w:bCs w:val="0"/>
          <w:color w:val="auto"/>
          <w:szCs w:val="21"/>
          <w:u w:val="none"/>
          <w:lang w:val="en-US" w:eastAsia="zh-CN"/>
        </w:rPr>
        <w:t>武汉工程大学</w:t>
      </w:r>
      <w:r>
        <w:rPr>
          <w:rFonts w:hint="eastAsia" w:asciiTheme="minorEastAsia" w:hAnsiTheme="minorEastAsia" w:eastAsiaTheme="minorEastAsia" w:cstheme="minorEastAsia"/>
          <w:b w:val="0"/>
          <w:bCs w:val="0"/>
          <w:color w:val="auto"/>
          <w:szCs w:val="21"/>
          <w:lang w:val="en-US" w:eastAsia="zh-CN"/>
        </w:rPr>
        <w:t>有严格的规章管理制度和安全保卫措施，成交供应商必须遵守采购人的各项管理制度，包括人员、设备及材料进出管理等。成交供应商进场施工前，必须与采购人保卫部门签订《施工安全责任书》，并完全响应《施工安全责任书》的全部要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本项目施工期间，采购人有权利监督成交供应商的工程质量、进度、安全文明施工，如果发现成交供应商在质量、工期、进度、现场安全文明施工有不满足施工合同要求时，采购人有权要求成交供应商及时整改、返工，由此造成的损失由成交供应商负责。</w:t>
      </w:r>
    </w:p>
    <w:p>
      <w:pPr>
        <w:autoSpaceDE w:val="0"/>
        <w:autoSpaceDN w:val="0"/>
        <w:adjustRightInd w:val="0"/>
        <w:spacing w:line="360" w:lineRule="auto"/>
        <w:outlineLvl w:val="9"/>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t>4、其他具体要求详见《工程量清单及清单编制说明》，其作为竞争性磋商文件附件，随竞争性磋商文件同步发放。</w:t>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06" w:name="_Toc5348"/>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6"/>
    </w:p>
    <w:p>
      <w:pPr>
        <w:autoSpaceDE w:val="0"/>
        <w:autoSpaceDN w:val="0"/>
        <w:adjustRightInd w:val="0"/>
        <w:spacing w:line="360" w:lineRule="auto"/>
        <w:ind w:left="210" w:hanging="210" w:hangingChars="1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1.1如果甲方未按合同的规定支付工程款，每延期一日按合同总价的3‰金额计算违约金，总额不超过合同价的5%。</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乙方未按期完工，每逾期一日，按照合同总价的3‰支付甲方违约金，总额不超过合同价的5%；逾期超过30日，甲方有权解除合同，并要求乙方赔偿损失。乙方未认真履行合同，未兑现服务承诺，工程验收不合格，但未给甲方造成重大损失或不利影响的，甲方可责成乙方整改。并有权要求乙方按工程合同总价的3％向甲方支付违约金，由甲方直接从工程款中抵扣。</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乙方未认真履行合同、兑现服务承诺，工程整改返工后验收仍不合格，或达不到招标文件要求的使用年限的，甲方可要求乙方按工程合同总价的10％支付违约金，违约金不足以弥补损失的，不足乙方另行支付。若造成重大损失或严重不利影响或超过工期30日仍未验收合格，甲方有权单方面解除合同，并要求乙方赔偿损失。</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1.4因乙方原因，发生火灾、失窃等事件或乙方违反法律、法规和甲方规章制度的，甲方有权单方面解除合同，并责成乙方赔偿损失。</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1.5乙方承诺已知晓并遵守甲方的各项规章制度，如有违反，应支付甲方违约金，支付标准：参照甲方规章制度的处罚金额执行。</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1.6因工作失误而造成甲方经济损失，由乙方负责赔偿经济损失（不可抗力的因素除外）。</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1.7乙方必须接受甲方对施工人员的服务质量、服务态度、安全等监督，若有违反相关的规定和质量标准，甲方有权开具通知书给乙方进行整改，并记录入信誉档案中。</w:t>
      </w:r>
    </w:p>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1.8乙方不得将本项目转包、分包。如果发现转包、分包，甲方有权立即解除合同，并追究乙方法律责任。</w:t>
      </w:r>
    </w:p>
    <w:p>
      <w:pPr>
        <w:spacing w:line="36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安全与文明施工：现场临时用电按照要求执行。采取积极措施做好施工现场的建筑物、构筑物和设备的保护工作，施工时现场未装修部分要遮盖保护，如有损坏和污染，由此所造成的经济损失，由施工方负责赔偿。</w:t>
      </w:r>
    </w:p>
    <w:p>
      <w:pPr>
        <w:autoSpaceDE w:val="0"/>
        <w:autoSpaceDN w:val="0"/>
        <w:adjustRightInd w:val="0"/>
        <w:spacing w:line="360" w:lineRule="auto"/>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3、工程保修：工程质保期内，严格按照国家相关工程质量保修书的条款要求执行，3个日历天内进行维修处理，否则保修期相应顺延。</w:t>
      </w:r>
    </w:p>
    <w:p>
      <w:pPr>
        <w:pStyle w:val="10"/>
        <w:spacing w:line="360" w:lineRule="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4、拟投入本项目的管理班子组成人员要求：供应商应在响应文件中提交拟投入本项目的管理班子组成人员的资格证、上岗证、二代身份证等证明文件。</w:t>
      </w:r>
    </w:p>
    <w:p>
      <w:pPr>
        <w:pStyle w:val="10"/>
        <w:spacing w:line="360" w:lineRule="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5、设备和施工机械：供应商应在投标</w:t>
      </w:r>
      <w:r>
        <w:rPr>
          <w:rFonts w:hint="eastAsia" w:asciiTheme="minorEastAsia" w:hAnsiTheme="minorEastAsia" w:eastAsiaTheme="minorEastAsia" w:cstheme="minorEastAsia"/>
          <w:b w:val="0"/>
          <w:bCs w:val="0"/>
          <w:color w:val="auto"/>
          <w:szCs w:val="21"/>
          <w:lang w:val="en-US" w:eastAsia="zh-CN"/>
        </w:rPr>
        <w:t>文件中提交拟投入本项目的设备和施工机械清单。</w:t>
      </w:r>
    </w:p>
    <w:p>
      <w:pPr>
        <w:pStyle w:val="10"/>
        <w:spacing w:line="360" w:lineRule="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6、工程部分售后服务：按现行工程通用规定执行，供应商应在响应文件中提交工程部分售后服务方案。</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w:t>
      </w:r>
      <w:r>
        <w:rPr>
          <w:rFonts w:hint="eastAsia" w:ascii="宋体" w:hAnsi="宋体" w:cs="宋体"/>
          <w:color w:val="auto"/>
          <w:szCs w:val="21"/>
        </w:rPr>
        <w:t>合同金额的</w:t>
      </w:r>
      <w:r>
        <w:rPr>
          <w:rFonts w:hint="eastAsia" w:ascii="宋体" w:hAnsi="宋体" w:cs="宋体"/>
          <w:color w:val="auto"/>
          <w:szCs w:val="21"/>
          <w:lang w:val="en-US" w:eastAsia="zh-CN"/>
        </w:rPr>
        <w:t>10</w:t>
      </w:r>
      <w:r>
        <w:rPr>
          <w:rFonts w:hint="eastAsia" w:ascii="宋体" w:hAnsi="宋体" w:cs="宋体"/>
          <w:color w:val="auto"/>
          <w:szCs w:val="21"/>
        </w:rPr>
        <w:t>%</w:t>
      </w:r>
      <w:r>
        <w:rPr>
          <w:rFonts w:hint="eastAsia" w:asciiTheme="minorEastAsia" w:hAnsiTheme="minorEastAsia" w:eastAsiaTheme="minorEastAsia" w:cstheme="minorEastAsia"/>
          <w:b w:val="0"/>
          <w:bCs w:val="0"/>
          <w:color w:val="auto"/>
          <w:szCs w:val="21"/>
          <w:lang w:val="en-US" w:eastAsia="zh-CN"/>
        </w:rPr>
        <w:t>；签订合同前5个工作日递交，以支票、汇票、本票或者金融机构、担保机构出具的保函等非现金形式提交。签订合同之日起五个工作日退还履约保证金。</w:t>
      </w:r>
    </w:p>
    <w:p>
      <w:pPr>
        <w:spacing w:line="36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8、付款方式：</w:t>
      </w:r>
    </w:p>
    <w:p>
      <w:pPr>
        <w:spacing w:line="360" w:lineRule="auto"/>
        <w:ind w:firstLine="420" w:firstLineChars="200"/>
        <w:rPr>
          <w:rFonts w:hint="eastAsia" w:ascii="宋体" w:hAnsi="宋体" w:eastAsia="宋体" w:cs="宋体"/>
          <w:color w:val="auto"/>
          <w:sz w:val="21"/>
          <w:szCs w:val="21"/>
        </w:rPr>
      </w:pPr>
      <w:r>
        <w:rPr>
          <w:rFonts w:hint="eastAsia" w:ascii="宋体" w:hAnsi="宋体" w:cs="宋体"/>
          <w:b w:val="0"/>
          <w:bCs w:val="0"/>
          <w:color w:val="auto"/>
          <w:sz w:val="21"/>
          <w:szCs w:val="21"/>
          <w:lang w:val="en-US" w:eastAsia="zh-CN"/>
        </w:rPr>
        <w:t>8.</w:t>
      </w:r>
      <w:r>
        <w:rPr>
          <w:rFonts w:hint="eastAsia" w:ascii="宋体" w:hAnsi="宋体" w:eastAsia="宋体" w:cs="宋体"/>
          <w:color w:val="auto"/>
          <w:sz w:val="21"/>
          <w:szCs w:val="21"/>
        </w:rPr>
        <w:t>1合同范围内的工程内容,已报价工程量清单中所有的综合单价按照比例进行折算，最终的综合单价=（1-（响应报价-磋商最终报价）/响应报价）*100%*响应文件中的综合单价，据此综合单价进行结算。合同范围外的变更工程内容（按照合同范围内工程内容下浮比例进行折算）：</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（1）合同中有适用于变更的工程内容，以成交金额中标单价进行结算；</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2）合同中无适用于变更的工程内容，则依据2018版定额套取子目及取费标准重新组价进行结算，若2018版定额缺项的，则采用其他湖北省现行定额重新组价进行结算；材料价格参照武汉市建筑工程（施工）当月市场价格信息；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（3）若无定额套用而采用市场价进行组价的，均不再计取任何税费。</w:t>
      </w:r>
    </w:p>
    <w:p>
      <w:pPr>
        <w:spacing w:line="360" w:lineRule="auto"/>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2工程完工后，经学校修缮工程验收工作领导小组验收合格后，按照学校审计处审定结算价进行结算。</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3工程进度款支付方式及付款节点</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乙方根据工程进度和支付节点要求提供税务发票及证明其真伪材料（盖公章）、且提供的发票必须真实有效。甲方收到上述资料后，及时为乙方办理工程款结账及支付手续。最终依据《武汉工程大学建设工程审计意见书》的审定结算价为工程支付总价，在施工方交付质保金后付结清工程款。</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（2）关于付款节点的约定：</w:t>
      </w:r>
    </w:p>
    <w:tbl>
      <w:tblPr>
        <w:tblStyle w:val="26"/>
        <w:tblW w:w="8506" w:type="dxa"/>
        <w:jc w:val="center"/>
        <w:tblLayout w:type="fixed"/>
        <w:tblCellMar>
          <w:top w:w="34" w:type="dxa"/>
          <w:left w:w="108" w:type="dxa"/>
          <w:bottom w:w="0" w:type="dxa"/>
          <w:right w:w="48" w:type="dxa"/>
        </w:tblCellMar>
      </w:tblPr>
      <w:tblGrid>
        <w:gridCol w:w="543"/>
        <w:gridCol w:w="1301"/>
        <w:gridCol w:w="1559"/>
        <w:gridCol w:w="4255"/>
        <w:gridCol w:w="848"/>
      </w:tblGrid>
      <w:tr>
        <w:tblPrEx>
          <w:tblCellMar>
            <w:top w:w="34" w:type="dxa"/>
            <w:left w:w="108" w:type="dxa"/>
            <w:bottom w:w="0" w:type="dxa"/>
            <w:right w:w="48" w:type="dxa"/>
          </w:tblCellMar>
        </w:tblPrEx>
        <w:trPr>
          <w:trHeight w:val="554"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时间</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支付比例（基数为合同价）</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支付要求</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累计</w:t>
            </w:r>
          </w:p>
        </w:tc>
      </w:tr>
      <w:tr>
        <w:tblPrEx>
          <w:tblCellMar>
            <w:top w:w="34" w:type="dxa"/>
            <w:left w:w="108" w:type="dxa"/>
            <w:bottom w:w="0" w:type="dxa"/>
            <w:right w:w="48" w:type="dxa"/>
          </w:tblCellMar>
        </w:tblPrEx>
        <w:trPr>
          <w:trHeight w:val="554"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 </w:t>
            </w:r>
          </w:p>
        </w:tc>
        <w:tc>
          <w:tcPr>
            <w:tcW w:w="130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第一次支付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10% </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履约保函到学校后支付10%进场款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r>
      <w:tr>
        <w:tblPrEx>
          <w:tblCellMar>
            <w:top w:w="34" w:type="dxa"/>
            <w:left w:w="108" w:type="dxa"/>
            <w:bottom w:w="0" w:type="dxa"/>
            <w:right w:w="48" w:type="dxa"/>
          </w:tblCellMar>
        </w:tblPrEx>
        <w:trPr>
          <w:trHeight w:val="109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 </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第二次支付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60% </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default" w:ascii="宋体" w:hAnsi="宋体" w:eastAsia="宋体" w:cs="宋体"/>
                <w:color w:val="auto"/>
                <w:sz w:val="21"/>
                <w:szCs w:val="21"/>
                <w:lang w:val="en-US"/>
              </w:rPr>
            </w:pPr>
            <w:r>
              <w:rPr>
                <w:rFonts w:hint="eastAsia" w:ascii="宋体" w:hAnsi="宋体" w:eastAsia="宋体" w:cs="宋体"/>
                <w:color w:val="FF0000"/>
                <w:sz w:val="21"/>
                <w:szCs w:val="21"/>
                <w:vertAlign w:val="baseline"/>
                <w:lang w:val="en-US" w:eastAsia="zh-CN"/>
              </w:rPr>
              <w:t>按工程形象进度付款，工程量已完成至70%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r>
      <w:tr>
        <w:tblPrEx>
          <w:tblCellMar>
            <w:top w:w="34" w:type="dxa"/>
            <w:left w:w="108" w:type="dxa"/>
            <w:bottom w:w="0" w:type="dxa"/>
            <w:right w:w="48" w:type="dxa"/>
          </w:tblCellMar>
        </w:tblPrEx>
        <w:trPr>
          <w:trHeight w:val="109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第三次支付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竣工验收合格、技术资料齐全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85%</w:t>
            </w:r>
          </w:p>
        </w:tc>
      </w:tr>
      <w:tr>
        <w:tblPrEx>
          <w:tblCellMar>
            <w:top w:w="34" w:type="dxa"/>
            <w:left w:w="108" w:type="dxa"/>
            <w:bottom w:w="0" w:type="dxa"/>
            <w:right w:w="48" w:type="dxa"/>
          </w:tblCellMar>
        </w:tblPrEx>
        <w:trPr>
          <w:trHeight w:val="82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4 </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第四次支付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15% </w:t>
            </w:r>
          </w:p>
        </w:tc>
        <w:tc>
          <w:tcPr>
            <w:tcW w:w="4255"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竣工结算审计完成，资料交接，水电费已交、垃圾外运校外、校园基础设施已修复，向学校交质量保证金3%审定价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100% </w:t>
            </w:r>
          </w:p>
        </w:tc>
      </w:tr>
    </w:tbl>
    <w:p>
      <w:pPr>
        <w:spacing w:line="360" w:lineRule="auto"/>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8.4</w:t>
      </w:r>
      <w:r>
        <w:rPr>
          <w:rFonts w:hint="eastAsia" w:ascii="宋体" w:hAnsi="宋体" w:eastAsia="宋体" w:cs="宋体"/>
          <w:color w:val="auto"/>
          <w:sz w:val="21"/>
          <w:szCs w:val="21"/>
        </w:rPr>
        <w:t>凡涉及到国家税务及税收政策调整问题，则依据国家政策执行，结算时不再有任何争议。</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9、其它：</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9.1供应商在进场施工之前需统一进行现场踏勘，并认真核对甲方提供的需求、方案及工程量清单，提出有无重大漏项、漏量。竣工决算时，漏项及漏量部分的费用由乙方承担。</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9.2合同签订之后3个日历天内提供施工方案，经采购人认可后方可施工。</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9.3工程竣工，由成交供应商提供竣工图及竣工决算表，报采购人审计（包含由采购人委托的审计单位）。</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rPr>
          <w:rFonts w:hint="eastAsia"/>
          <w:lang w:val="en-US" w:eastAsia="zh-CN"/>
        </w:rPr>
      </w:pPr>
      <w:r>
        <w:rPr>
          <w:rFonts w:hint="eastAsia" w:asciiTheme="minorEastAsia" w:hAnsiTheme="minorEastAsia" w:eastAsiaTheme="minorEastAsia" w:cstheme="minorEastAsia"/>
          <w:b/>
          <w:bCs/>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bookmarkStart w:id="107" w:name="_Toc8365"/>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7"/>
    </w:p>
    <w:p>
      <w:pPr>
        <w:spacing w:line="360" w:lineRule="auto"/>
        <w:outlineLvl w:val="1"/>
        <w:rPr>
          <w:rFonts w:hint="eastAsia" w:asciiTheme="minorEastAsia" w:hAnsiTheme="minorEastAsia" w:eastAsiaTheme="minorEastAsia" w:cstheme="minorEastAsia"/>
          <w:b/>
          <w:szCs w:val="21"/>
        </w:rPr>
      </w:pPr>
      <w:bookmarkStart w:id="108" w:name="_Toc5013"/>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8"/>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21"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eastAsia="zh-CN"/>
              </w:rPr>
              <w:t>磋商</w:t>
            </w:r>
            <w:r>
              <w:rPr>
                <w:rFonts w:hint="eastAsia" w:asciiTheme="minorEastAsia" w:hAnsiTheme="minorEastAsia" w:eastAsiaTheme="minorEastAsia" w:cstheme="minorEastAsia"/>
                <w:kern w:val="0"/>
                <w:szCs w:val="21"/>
              </w:rPr>
              <w:t>函中的大写报价与已标价工程量清单中的投标总价一致</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eastAsia="zh-CN"/>
              </w:rPr>
              <w:t>磋商</w:t>
            </w:r>
            <w:r>
              <w:rPr>
                <w:rFonts w:hint="eastAsia" w:asciiTheme="minorEastAsia" w:hAnsiTheme="minorEastAsia" w:eastAsiaTheme="minorEastAsia" w:cstheme="minorEastAsia"/>
                <w:kern w:val="0"/>
                <w:szCs w:val="21"/>
              </w:rPr>
              <w:t>函中的大写报价不大于本标段招标控制价总价</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3）算术错误修正后的投标总报价不大于本标段招标控制价总价</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4）投标报价不低于其成本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宋体" w:hAnsi="宋体"/>
                <w:szCs w:val="21"/>
              </w:rPr>
              <w:t>已标价工程量清单</w:t>
            </w:r>
          </w:p>
        </w:tc>
        <w:tc>
          <w:tcPr>
            <w:tcW w:w="4730" w:type="dxa"/>
            <w:vAlign w:val="center"/>
          </w:tcPr>
          <w:p>
            <w:pPr>
              <w:jc w:val="left"/>
              <w:rPr>
                <w:rFonts w:hint="eastAsia" w:ascii="宋体" w:hAnsi="宋体"/>
                <w:szCs w:val="21"/>
              </w:rPr>
            </w:pPr>
            <w:r>
              <w:rPr>
                <w:rFonts w:hint="eastAsia" w:ascii="宋体" w:hAnsi="宋体"/>
                <w:szCs w:val="21"/>
              </w:rPr>
              <w:t>1）已标价工程量清单项</w:t>
            </w:r>
            <w:r>
              <w:rPr>
                <w:rFonts w:ascii="宋体" w:hAnsi="宋体"/>
                <w:szCs w:val="21"/>
              </w:rPr>
              <w:t>目编码</w:t>
            </w:r>
            <w:r>
              <w:rPr>
                <w:rFonts w:hint="eastAsia" w:ascii="宋体" w:hAnsi="宋体"/>
                <w:szCs w:val="21"/>
              </w:rPr>
              <w:t>顺序与第</w:t>
            </w:r>
            <w:r>
              <w:rPr>
                <w:rFonts w:hint="eastAsia" w:ascii="宋体" w:hAnsi="宋体"/>
                <w:szCs w:val="21"/>
                <w:lang w:eastAsia="zh-CN"/>
              </w:rPr>
              <w:t>三</w:t>
            </w:r>
            <w:r>
              <w:rPr>
                <w:rFonts w:hint="eastAsia" w:ascii="宋体" w:hAnsi="宋体"/>
                <w:szCs w:val="21"/>
              </w:rPr>
              <w:t>章“工程量清单”给出的项</w:t>
            </w:r>
            <w:r>
              <w:rPr>
                <w:rFonts w:ascii="宋体" w:hAnsi="宋体"/>
                <w:szCs w:val="21"/>
              </w:rPr>
              <w:t>目编码</w:t>
            </w:r>
            <w:r>
              <w:rPr>
                <w:rFonts w:hint="eastAsia" w:ascii="宋体" w:hAnsi="宋体"/>
                <w:szCs w:val="21"/>
              </w:rPr>
              <w:t>顺序一致；</w:t>
            </w:r>
          </w:p>
          <w:p>
            <w:pPr>
              <w:jc w:val="left"/>
              <w:rPr>
                <w:rFonts w:hint="eastAsia" w:ascii="宋体" w:hAnsi="宋体"/>
                <w:szCs w:val="21"/>
              </w:rPr>
            </w:pPr>
            <w:r>
              <w:rPr>
                <w:rFonts w:hint="eastAsia" w:ascii="宋体" w:hAnsi="宋体"/>
                <w:szCs w:val="21"/>
              </w:rPr>
              <w:t>2）已标价工程量清单符合第</w:t>
            </w:r>
            <w:r>
              <w:rPr>
                <w:rFonts w:hint="eastAsia" w:ascii="宋体" w:hAnsi="宋体"/>
                <w:szCs w:val="21"/>
                <w:lang w:eastAsia="zh-CN"/>
              </w:rPr>
              <w:t>三</w:t>
            </w:r>
            <w:r>
              <w:rPr>
                <w:rFonts w:hint="eastAsia" w:ascii="宋体" w:hAnsi="宋体"/>
                <w:szCs w:val="21"/>
              </w:rPr>
              <w:t>章“工程量清单”给出的项</w:t>
            </w:r>
            <w:r>
              <w:rPr>
                <w:rFonts w:ascii="宋体" w:hAnsi="宋体"/>
                <w:szCs w:val="21"/>
              </w:rPr>
              <w:t>目编码、</w:t>
            </w:r>
            <w:r>
              <w:rPr>
                <w:rFonts w:hint="eastAsia" w:ascii="宋体" w:hAnsi="宋体"/>
                <w:szCs w:val="21"/>
              </w:rPr>
              <w:t>项</w:t>
            </w:r>
            <w:r>
              <w:rPr>
                <w:rFonts w:ascii="宋体" w:hAnsi="宋体"/>
                <w:szCs w:val="21"/>
              </w:rPr>
              <w:t>目名称、</w:t>
            </w:r>
            <w:r>
              <w:rPr>
                <w:rFonts w:hint="eastAsia" w:ascii="宋体" w:hAnsi="宋体"/>
                <w:szCs w:val="21"/>
              </w:rPr>
              <w:t>项</w:t>
            </w:r>
            <w:r>
              <w:rPr>
                <w:rFonts w:ascii="宋体" w:hAnsi="宋体"/>
                <w:szCs w:val="21"/>
              </w:rPr>
              <w:t>目特征、计量单位和工程量</w:t>
            </w:r>
            <w:r>
              <w:rPr>
                <w:rFonts w:hint="eastAsia" w:ascii="宋体" w:hAnsi="宋体"/>
                <w:szCs w:val="21"/>
              </w:rPr>
              <w:t>；</w:t>
            </w:r>
          </w:p>
          <w:p>
            <w:pPr>
              <w:jc w:val="left"/>
              <w:rPr>
                <w:rFonts w:hint="eastAsia" w:ascii="宋体" w:hAnsi="宋体"/>
                <w:szCs w:val="21"/>
              </w:rPr>
            </w:pPr>
            <w:r>
              <w:rPr>
                <w:rFonts w:hint="eastAsia" w:ascii="宋体" w:hAnsi="宋体"/>
                <w:szCs w:val="21"/>
              </w:rPr>
              <w:t>3）</w:t>
            </w:r>
            <w:r>
              <w:rPr>
                <w:rFonts w:ascii="宋体" w:hAnsi="宋体"/>
                <w:szCs w:val="21"/>
              </w:rPr>
              <w:t>暂列金额</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列出的金额</w:t>
            </w:r>
            <w:r>
              <w:rPr>
                <w:rFonts w:hint="eastAsia" w:ascii="宋体" w:hAnsi="宋体"/>
                <w:szCs w:val="21"/>
              </w:rPr>
              <w:t>；</w:t>
            </w:r>
          </w:p>
          <w:p>
            <w:pPr>
              <w:jc w:val="left"/>
              <w:rPr>
                <w:rFonts w:hint="eastAsia" w:ascii="宋体" w:hAnsi="宋体"/>
                <w:szCs w:val="21"/>
              </w:rPr>
            </w:pPr>
            <w:r>
              <w:rPr>
                <w:rFonts w:hint="eastAsia" w:ascii="宋体" w:hAnsi="宋体"/>
                <w:szCs w:val="21"/>
              </w:rPr>
              <w:t>4）</w:t>
            </w:r>
            <w:r>
              <w:rPr>
                <w:rFonts w:ascii="宋体" w:hAnsi="宋体"/>
                <w:szCs w:val="21"/>
              </w:rPr>
              <w:t>专业工程暂估价</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列出的金额</w:t>
            </w:r>
            <w:r>
              <w:rPr>
                <w:rFonts w:hint="eastAsia" w:ascii="宋体" w:hAnsi="宋体"/>
                <w:szCs w:val="21"/>
              </w:rPr>
              <w:t>；</w:t>
            </w:r>
          </w:p>
          <w:p>
            <w:pPr>
              <w:jc w:val="left"/>
              <w:rPr>
                <w:rFonts w:hint="eastAsia" w:ascii="宋体" w:hAnsi="宋体"/>
                <w:szCs w:val="21"/>
              </w:rPr>
            </w:pPr>
            <w:r>
              <w:rPr>
                <w:rFonts w:hint="eastAsia" w:ascii="宋体" w:hAnsi="宋体"/>
                <w:szCs w:val="21"/>
              </w:rPr>
              <w:t>5）</w:t>
            </w:r>
            <w:r>
              <w:rPr>
                <w:rFonts w:ascii="宋体" w:hAnsi="宋体"/>
                <w:szCs w:val="21"/>
              </w:rPr>
              <w:t>材料</w:t>
            </w:r>
            <w:r>
              <w:rPr>
                <w:rFonts w:hint="eastAsia" w:ascii="宋体" w:hAnsi="宋体"/>
                <w:szCs w:val="21"/>
              </w:rPr>
              <w:t>（工程设备）</w:t>
            </w:r>
            <w:r>
              <w:rPr>
                <w:rFonts w:ascii="宋体" w:hAnsi="宋体"/>
                <w:szCs w:val="21"/>
              </w:rPr>
              <w:t>暂估价</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列出的单价</w:t>
            </w:r>
            <w:r>
              <w:rPr>
                <w:rFonts w:hint="eastAsia" w:ascii="宋体" w:hAnsi="宋体"/>
                <w:szCs w:val="21"/>
              </w:rPr>
              <w:t>并</w:t>
            </w:r>
            <w:r>
              <w:rPr>
                <w:rFonts w:ascii="宋体" w:hAnsi="宋体"/>
                <w:szCs w:val="21"/>
              </w:rPr>
              <w:t>计入综合单价</w:t>
            </w:r>
            <w:r>
              <w:rPr>
                <w:rFonts w:hint="eastAsia" w:ascii="宋体" w:hAnsi="宋体"/>
                <w:szCs w:val="21"/>
              </w:rPr>
              <w:t>；</w:t>
            </w:r>
          </w:p>
          <w:p>
            <w:pPr>
              <w:jc w:val="left"/>
              <w:rPr>
                <w:rFonts w:hint="eastAsia" w:ascii="宋体" w:hAnsi="宋体"/>
                <w:szCs w:val="21"/>
              </w:rPr>
            </w:pPr>
            <w:r>
              <w:rPr>
                <w:rFonts w:hint="eastAsia" w:ascii="宋体" w:hAnsi="宋体"/>
                <w:szCs w:val="21"/>
              </w:rPr>
              <w:t>6）安全文明施工费、规费和税金等不可竞争费用，按照规定的标准计取；</w:t>
            </w:r>
          </w:p>
          <w:p>
            <w:pPr>
              <w:jc w:val="left"/>
              <w:rPr>
                <w:rFonts w:hint="eastAsia" w:asciiTheme="minorEastAsia" w:hAnsiTheme="minorEastAsia" w:eastAsiaTheme="minorEastAsia" w:cstheme="minorEastAsia"/>
                <w:kern w:val="0"/>
                <w:szCs w:val="21"/>
              </w:rPr>
            </w:pPr>
            <w:r>
              <w:rPr>
                <w:rFonts w:hint="eastAsia" w:ascii="宋体" w:hAnsi="宋体"/>
                <w:szCs w:val="21"/>
                <w:lang w:val="en-US" w:eastAsia="zh-CN"/>
              </w:rPr>
              <w:t>7</w:t>
            </w:r>
            <w:r>
              <w:rPr>
                <w:rFonts w:hint="eastAsia" w:ascii="宋体" w:hAnsi="宋体"/>
                <w:szCs w:val="21"/>
              </w:rPr>
              <w:t>）已标价工程量清单项</w:t>
            </w:r>
            <w:r>
              <w:rPr>
                <w:rFonts w:ascii="宋体" w:hAnsi="宋体"/>
                <w:szCs w:val="21"/>
              </w:rPr>
              <w:t>目</w:t>
            </w:r>
            <w:r>
              <w:rPr>
                <w:rFonts w:hint="eastAsia" w:ascii="宋体" w:hAnsi="宋体"/>
                <w:szCs w:val="21"/>
              </w:rPr>
              <w:t>未填报的项目不超过三项，或不超过三项未填报的项目的费用合计（按招标控制价相应项目的费用合计计算）不超过其投标总报价（修正后的投标总报价，如有）的±1%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jc w:val="left"/>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jc w:val="left"/>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3</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09" w:name="_Toc4036"/>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9"/>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spacing w:line="360" w:lineRule="auto"/>
        <w:outlineLvl w:val="1"/>
        <w:rPr>
          <w:rFonts w:hint="eastAsia" w:asciiTheme="minorEastAsia" w:hAnsiTheme="minorEastAsia" w:eastAsiaTheme="minorEastAsia" w:cstheme="minorEastAsia"/>
          <w:b/>
          <w:szCs w:val="21"/>
        </w:rPr>
      </w:pPr>
      <w:bookmarkStart w:id="110" w:name="_Toc5483"/>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10"/>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512" w:type="dxa"/>
            <w:vAlign w:val="center"/>
          </w:tcPr>
          <w:p>
            <w:pPr>
              <w:widowControl/>
              <w:spacing w:line="360" w:lineRule="auto"/>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spacing w:val="-6"/>
                <w:sz w:val="21"/>
                <w:szCs w:val="21"/>
              </w:rPr>
              <w:t>30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360" w:lineRule="auto"/>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360" w:lineRule="auto"/>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spacing w:val="-6"/>
                <w:sz w:val="21"/>
                <w:szCs w:val="21"/>
              </w:rPr>
              <w:t>30</w:t>
            </w:r>
          </w:p>
          <w:p>
            <w:pPr>
              <w:widowControl/>
              <w:spacing w:line="360" w:lineRule="auto"/>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sz w:val="21"/>
                <w:szCs w:val="21"/>
              </w:rPr>
              <w:t>30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商</w:t>
            </w:r>
            <w:r>
              <w:rPr>
                <w:rFonts w:hint="eastAsia" w:asciiTheme="minorEastAsia" w:hAnsiTheme="minorEastAsia" w:eastAsiaTheme="minorEastAsia" w:cstheme="minorEastAsia"/>
                <w:color w:val="auto"/>
                <w:spacing w:val="-6"/>
                <w:sz w:val="21"/>
                <w:szCs w:val="21"/>
              </w:rPr>
              <w:t>务</w:t>
            </w:r>
            <w:r>
              <w:rPr>
                <w:rFonts w:hint="eastAsia" w:asciiTheme="minorEastAsia" w:hAnsiTheme="minorEastAsia" w:eastAsiaTheme="minorEastAsia" w:cstheme="minorEastAsia"/>
                <w:color w:val="auto"/>
                <w:spacing w:val="-6"/>
                <w:sz w:val="21"/>
                <w:szCs w:val="21"/>
                <w:lang w:val="en-US" w:eastAsia="zh-CN"/>
              </w:rPr>
              <w:t>30</w:t>
            </w:r>
            <w:r>
              <w:rPr>
                <w:rFonts w:hint="eastAsia" w:asciiTheme="minorEastAsia" w:hAnsiTheme="minorEastAsia" w:eastAsiaTheme="minorEastAsia" w:cstheme="minorEastAsia"/>
                <w:color w:val="auto"/>
                <w:spacing w:val="-6"/>
                <w:sz w:val="21"/>
                <w:szCs w:val="21"/>
              </w:rPr>
              <w:t>分</w:t>
            </w:r>
          </w:p>
        </w:tc>
        <w:tc>
          <w:tcPr>
            <w:tcW w:w="1376" w:type="dxa"/>
            <w:vMerge w:val="restart"/>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rPr>
              <w:t>企业业绩及用户反馈</w:t>
            </w:r>
          </w:p>
        </w:tc>
        <w:tc>
          <w:tcPr>
            <w:tcW w:w="6512"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rPr>
              <w:t>根据供应商近三年（磋商截止时间往前推算36个月）以来参与具有</w:t>
            </w:r>
            <w:r>
              <w:rPr>
                <w:rFonts w:hint="eastAsia" w:asciiTheme="minorEastAsia" w:hAnsiTheme="minorEastAsia" w:eastAsiaTheme="minorEastAsia" w:cstheme="minorEastAsia"/>
                <w:color w:val="auto"/>
                <w:sz w:val="21"/>
                <w:szCs w:val="21"/>
                <w:lang w:val="en-US" w:eastAsia="zh-CN"/>
              </w:rPr>
              <w:t>类似</w:t>
            </w:r>
            <w:r>
              <w:rPr>
                <w:rFonts w:hint="eastAsia" w:asciiTheme="minorEastAsia" w:hAnsiTheme="minorEastAsia" w:eastAsiaTheme="minorEastAsia" w:cstheme="minorEastAsia"/>
                <w:color w:val="auto"/>
                <w:sz w:val="21"/>
                <w:szCs w:val="21"/>
                <w:lang w:val="zh-CN"/>
              </w:rPr>
              <w:t>工程业绩证明材料（提供中标通知书、合同</w:t>
            </w:r>
            <w:r>
              <w:rPr>
                <w:rFonts w:hint="eastAsia" w:asciiTheme="minorEastAsia" w:hAnsiTheme="minorEastAsia" w:eastAsiaTheme="minorEastAsia" w:cstheme="minorEastAsia"/>
                <w:color w:val="auto"/>
                <w:sz w:val="21"/>
                <w:szCs w:val="21"/>
                <w:lang w:val="en-US" w:eastAsia="zh-CN"/>
              </w:rPr>
              <w:t>及竣工</w:t>
            </w:r>
            <w:r>
              <w:rPr>
                <w:rFonts w:hint="eastAsia" w:asciiTheme="minorEastAsia" w:hAnsiTheme="minorEastAsia" w:eastAsiaTheme="minorEastAsia" w:cstheme="minorEastAsia"/>
                <w:color w:val="auto"/>
                <w:sz w:val="21"/>
                <w:szCs w:val="21"/>
                <w:lang w:val="zh-CN"/>
              </w:rPr>
              <w:t>验收证明），1个得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分，最高得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kern w:val="0"/>
                <w:sz w:val="21"/>
                <w:szCs w:val="21"/>
              </w:rPr>
            </w:pPr>
          </w:p>
        </w:tc>
        <w:tc>
          <w:tcPr>
            <w:tcW w:w="6512"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eastAsia="zh-CN"/>
              </w:rPr>
              <w:t>根据供应商提供的业主出具的满意评价证明（盖用户单位公章），每提供1个得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eastAsia="zh-CN"/>
              </w:rPr>
              <w:t>分，最高得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eastAsia="zh-CN"/>
              </w:rPr>
              <w:t>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认证资质</w:t>
            </w:r>
          </w:p>
        </w:tc>
        <w:tc>
          <w:tcPr>
            <w:tcW w:w="6512"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default" w:asciiTheme="minorEastAsia" w:hAnsiTheme="minorEastAsia" w:eastAsiaTheme="minorEastAsia" w:cstheme="minorEastAsia"/>
                <w:color w:val="auto"/>
                <w:sz w:val="21"/>
                <w:szCs w:val="21"/>
                <w:lang w:val="en-US" w:eastAsia="zh-CN"/>
              </w:rPr>
              <w:t>供应商具有效期内ISO9001质量管理体系认证证书、ISO14001环境管理体系认证证书、OHSAS18001职业健康安全管理体系认证证书的</w:t>
            </w:r>
            <w:r>
              <w:rPr>
                <w:rFonts w:hint="eastAsia" w:asciiTheme="minorEastAsia" w:hAnsiTheme="minorEastAsia" w:eastAsiaTheme="minorEastAsia" w:cstheme="minorEastAsia"/>
                <w:color w:val="auto"/>
                <w:sz w:val="21"/>
                <w:szCs w:val="21"/>
                <w:lang w:val="en-US" w:eastAsia="zh-CN"/>
              </w:rPr>
              <w:t>，每提供一个得1分，最高得3</w:t>
            </w:r>
            <w:r>
              <w:rPr>
                <w:rFonts w:hint="default" w:asciiTheme="minorEastAsia" w:hAnsiTheme="minorEastAsia" w:eastAsiaTheme="minorEastAsia" w:cstheme="minorEastAsia"/>
                <w:color w:val="auto"/>
                <w:sz w:val="21"/>
                <w:szCs w:val="21"/>
                <w:lang w:val="en-US" w:eastAsia="zh-CN"/>
              </w:rPr>
              <w:t>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tcBorders>
              <w:bottom w:val="single" w:color="auto" w:sz="4" w:space="0"/>
            </w:tcBorders>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企业信誉</w:t>
            </w:r>
          </w:p>
        </w:tc>
        <w:tc>
          <w:tcPr>
            <w:tcW w:w="6512" w:type="dxa"/>
            <w:tcBorders>
              <w:bottom w:val="single" w:color="auto" w:sz="4" w:space="0"/>
            </w:tcBorders>
            <w:vAlign w:val="center"/>
          </w:tcPr>
          <w:p>
            <w:pPr>
              <w:spacing w:line="360" w:lineRule="auto"/>
              <w:jc w:val="left"/>
              <w:rPr>
                <w:rFonts w:hint="eastAsia" w:ascii="宋体" w:hAnsi="宋体" w:eastAsia="宋体" w:cs="宋体"/>
                <w:kern w:val="2"/>
                <w:sz w:val="21"/>
                <w:szCs w:val="21"/>
                <w:lang w:val="en-US" w:eastAsia="zh-CN" w:bidi="ar-SA"/>
              </w:rPr>
            </w:pPr>
            <w:r>
              <w:rPr>
                <w:rFonts w:hint="eastAsia" w:ascii="宋体" w:hAnsi="宋体" w:cs="宋体"/>
                <w:szCs w:val="21"/>
              </w:rPr>
              <w:t>获得信用管理服务中心信用等级、银行信用等级或第三方服务中心，ＡＡＡ的得 3 分；ＡＡ的得 2 分；Ａ的得 1 分；未提供证书清晰复印件的不得分。</w:t>
            </w:r>
          </w:p>
        </w:tc>
        <w:tc>
          <w:tcPr>
            <w:tcW w:w="664" w:type="dxa"/>
            <w:tcBorders>
              <w:bottom w:val="single" w:color="auto" w:sz="4" w:space="0"/>
            </w:tcBorders>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tcBorders>
              <w:top w:val="single" w:color="auto" w:sz="4" w:space="0"/>
            </w:tcBorders>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财务状况</w:t>
            </w:r>
          </w:p>
        </w:tc>
        <w:tc>
          <w:tcPr>
            <w:tcW w:w="6512" w:type="dxa"/>
            <w:tcBorders>
              <w:top w:val="single" w:color="auto" w:sz="4" w:space="0"/>
            </w:tcBorders>
            <w:vAlign w:val="center"/>
          </w:tcPr>
          <w:p>
            <w:pPr>
              <w:widowControl/>
              <w:spacing w:line="360" w:lineRule="auto"/>
              <w:jc w:val="left"/>
              <w:rPr>
                <w:rFonts w:ascii="宋体" w:hAnsi="宋体" w:cs="宋体"/>
                <w:szCs w:val="21"/>
              </w:rPr>
            </w:pPr>
            <w:r>
              <w:rPr>
                <w:rFonts w:hint="eastAsia" w:ascii="宋体" w:hAnsi="宋体" w:cs="宋体"/>
                <w:szCs w:val="21"/>
              </w:rPr>
              <w:t>根据供应商提供的近三年（2017、2018、2019）财务报告，对其经营状况、财务状况相互比较：</w:t>
            </w:r>
          </w:p>
          <w:p>
            <w:pPr>
              <w:widowControl/>
              <w:spacing w:line="360" w:lineRule="auto"/>
              <w:jc w:val="left"/>
              <w:rPr>
                <w:rFonts w:ascii="宋体" w:hAnsi="宋体" w:cs="宋体"/>
                <w:szCs w:val="21"/>
              </w:rPr>
            </w:pPr>
            <w:r>
              <w:rPr>
                <w:rFonts w:hint="eastAsia" w:ascii="宋体" w:hAnsi="宋体" w:cs="宋体"/>
                <w:szCs w:val="21"/>
              </w:rPr>
              <w:t>连续盈利，偿债能力、盈利能力和抗风险能力强的，得</w:t>
            </w:r>
            <w:r>
              <w:rPr>
                <w:rFonts w:hint="eastAsia" w:ascii="宋体" w:hAnsi="宋体" w:cs="宋体"/>
                <w:szCs w:val="21"/>
                <w:lang w:val="en-US" w:eastAsia="zh-CN"/>
              </w:rPr>
              <w:t>4</w:t>
            </w:r>
            <w:r>
              <w:rPr>
                <w:rFonts w:hint="eastAsia" w:ascii="宋体" w:hAnsi="宋体" w:cs="宋体"/>
                <w:szCs w:val="21"/>
              </w:rPr>
              <w:t>分；</w:t>
            </w:r>
          </w:p>
          <w:p>
            <w:pPr>
              <w:widowControl/>
              <w:spacing w:line="360" w:lineRule="auto"/>
              <w:jc w:val="left"/>
              <w:rPr>
                <w:rFonts w:ascii="宋体" w:hAnsi="宋体" w:cs="宋体"/>
                <w:szCs w:val="21"/>
              </w:rPr>
            </w:pPr>
            <w:r>
              <w:rPr>
                <w:rFonts w:hint="eastAsia" w:ascii="宋体" w:hAnsi="宋体" w:cs="宋体"/>
                <w:szCs w:val="21"/>
              </w:rPr>
              <w:t>盈利情况一般，偿债能力和抗风险能力较弱的，得</w:t>
            </w:r>
            <w:r>
              <w:rPr>
                <w:rFonts w:hint="eastAsia" w:ascii="宋体" w:hAnsi="宋体" w:cs="宋体"/>
                <w:szCs w:val="21"/>
                <w:lang w:val="en-US" w:eastAsia="zh-CN"/>
              </w:rPr>
              <w:t>3</w:t>
            </w:r>
            <w:r>
              <w:rPr>
                <w:rFonts w:hint="eastAsia" w:ascii="宋体" w:hAnsi="宋体" w:cs="宋体"/>
                <w:szCs w:val="21"/>
              </w:rPr>
              <w:t>分；</w:t>
            </w:r>
          </w:p>
          <w:p>
            <w:pPr>
              <w:widowControl/>
              <w:spacing w:line="360" w:lineRule="auto"/>
              <w:jc w:val="left"/>
              <w:rPr>
                <w:rFonts w:ascii="宋体" w:hAnsi="宋体" w:cs="宋体"/>
                <w:szCs w:val="21"/>
              </w:rPr>
            </w:pPr>
            <w:r>
              <w:rPr>
                <w:rFonts w:hint="eastAsia" w:ascii="宋体" w:hAnsi="宋体" w:cs="宋体"/>
                <w:szCs w:val="21"/>
              </w:rPr>
              <w:t>无盈利，偿债能力和抗风险能力差的，得</w:t>
            </w:r>
            <w:r>
              <w:rPr>
                <w:rFonts w:hint="eastAsia" w:ascii="宋体" w:hAnsi="宋体" w:cs="宋体"/>
                <w:szCs w:val="21"/>
                <w:lang w:val="en-US" w:eastAsia="zh-CN"/>
              </w:rPr>
              <w:t>2</w:t>
            </w:r>
            <w:r>
              <w:rPr>
                <w:rFonts w:hint="eastAsia" w:ascii="宋体" w:hAnsi="宋体" w:cs="宋体"/>
                <w:szCs w:val="21"/>
              </w:rPr>
              <w:t>分；</w:t>
            </w:r>
          </w:p>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cs="宋体"/>
                <w:szCs w:val="21"/>
              </w:rPr>
              <w:t>（成立不足三年的按公司成立时间起算）</w:t>
            </w:r>
          </w:p>
        </w:tc>
        <w:tc>
          <w:tcPr>
            <w:tcW w:w="664" w:type="dxa"/>
            <w:tcBorders>
              <w:top w:val="single" w:color="auto" w:sz="4" w:space="0"/>
            </w:tcBorders>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pacing w:val="-10"/>
                <w:kern w:val="0"/>
                <w:szCs w:val="21"/>
                <w:lang w:val="en-US" w:eastAsia="zh-CN"/>
              </w:rPr>
              <w:t>4</w:t>
            </w:r>
            <w:r>
              <w:rPr>
                <w:rFonts w:hint="eastAsia" w:ascii="宋体" w:hAnsi="宋体" w:cs="宋体"/>
                <w:spacing w:val="-1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restart"/>
            <w:tcBorders>
              <w:top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人员配备情况</w:t>
            </w:r>
          </w:p>
          <w:p>
            <w:pPr>
              <w:spacing w:line="360" w:lineRule="auto"/>
              <w:jc w:val="center"/>
              <w:rPr>
                <w:rFonts w:hint="eastAsia" w:ascii="宋体" w:hAnsi="宋体" w:cs="宋体"/>
                <w:szCs w:val="21"/>
              </w:rPr>
            </w:pPr>
          </w:p>
        </w:tc>
        <w:tc>
          <w:tcPr>
            <w:tcW w:w="6512" w:type="dxa"/>
            <w:tcBorders>
              <w:top w:val="single" w:color="auto" w:sz="4" w:space="0"/>
            </w:tcBorders>
            <w:vAlign w:val="center"/>
          </w:tcPr>
          <w:p>
            <w:pPr>
              <w:numPr>
                <w:ilvl w:val="0"/>
                <w:numId w:val="0"/>
              </w:numPr>
              <w:spacing w:line="360" w:lineRule="auto"/>
              <w:jc w:val="left"/>
              <w:rPr>
                <w:rFonts w:hint="eastAsia" w:ascii="宋体" w:hAnsi="宋体" w:cs="宋体"/>
                <w:szCs w:val="21"/>
              </w:rPr>
            </w:pPr>
            <w:r>
              <w:rPr>
                <w:rFonts w:hint="eastAsia" w:asciiTheme="minorEastAsia" w:hAnsiTheme="minorEastAsia" w:eastAsiaTheme="minorEastAsia" w:cstheme="minorEastAsia"/>
                <w:color w:val="auto"/>
                <w:u w:val="none"/>
                <w:lang w:val="en-US" w:eastAsia="zh-CN"/>
              </w:rPr>
              <w:t>供应商拟派的项目技术负责人具备建筑工程相关专业中级职称的得1分；具备建筑工程相关专业高级职称的得2分（提供身份证、职称证书、劳动合同及近三个月的社保证明）；</w:t>
            </w:r>
          </w:p>
        </w:tc>
        <w:tc>
          <w:tcPr>
            <w:tcW w:w="664" w:type="dxa"/>
            <w:tcBorders>
              <w:top w:val="single" w:color="auto" w:sz="4" w:space="0"/>
            </w:tcBorders>
            <w:vAlign w:val="center"/>
          </w:tcPr>
          <w:p>
            <w:pPr>
              <w:widowControl/>
              <w:spacing w:line="360" w:lineRule="auto"/>
              <w:jc w:val="center"/>
              <w:rPr>
                <w:rFonts w:hint="default" w:ascii="宋体" w:hAnsi="宋体" w:cs="宋体"/>
                <w:spacing w:val="-10"/>
                <w:kern w:val="0"/>
                <w:szCs w:val="21"/>
                <w:lang w:val="en-US" w:eastAsia="zh-CN"/>
              </w:rPr>
            </w:pPr>
            <w:r>
              <w:rPr>
                <w:rFonts w:hint="eastAsia" w:ascii="宋体" w:hAnsi="宋体" w:cs="宋体"/>
                <w:spacing w:val="-10"/>
                <w:kern w:val="0"/>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jc w:val="center"/>
              <w:rPr>
                <w:rFonts w:hint="eastAsia" w:ascii="宋体" w:hAnsi="宋体" w:cs="宋体"/>
                <w:szCs w:val="21"/>
              </w:rPr>
            </w:pPr>
          </w:p>
        </w:tc>
        <w:tc>
          <w:tcPr>
            <w:tcW w:w="6512" w:type="dxa"/>
            <w:tcBorders>
              <w:top w:val="single" w:color="auto" w:sz="4" w:space="0"/>
            </w:tcBorders>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供应商拟派的项目经理具备</w:t>
            </w:r>
            <w:r>
              <w:rPr>
                <w:rFonts w:hint="eastAsia" w:asciiTheme="minorEastAsia" w:hAnsiTheme="minorEastAsia" w:eastAsiaTheme="minorEastAsia" w:cstheme="minorEastAsia"/>
                <w:color w:val="auto"/>
              </w:rPr>
              <w:t>建设行政主管部门核发的</w:t>
            </w:r>
            <w:r>
              <w:rPr>
                <w:rFonts w:hint="eastAsia" w:asciiTheme="minorEastAsia" w:hAnsiTheme="minorEastAsia" w:eastAsiaTheme="minorEastAsia" w:cstheme="minorEastAsia"/>
                <w:color w:val="auto"/>
                <w:lang w:eastAsia="zh-CN"/>
              </w:rPr>
              <w:t>建筑</w:t>
            </w:r>
            <w:r>
              <w:rPr>
                <w:rFonts w:hint="eastAsia" w:asciiTheme="minorEastAsia" w:hAnsiTheme="minorEastAsia" w:eastAsiaTheme="minorEastAsia" w:cstheme="minorEastAsia"/>
                <w:color w:val="auto"/>
              </w:rPr>
              <w:t>工程</w:t>
            </w:r>
            <w:r>
              <w:rPr>
                <w:rFonts w:hint="eastAsia" w:asciiTheme="minorEastAsia" w:hAnsiTheme="minorEastAsia" w:eastAsiaTheme="minorEastAsia" w:cstheme="minorEastAsia"/>
                <w:color w:val="auto"/>
                <w:lang w:eastAsia="zh-CN"/>
              </w:rPr>
              <w:t>相关专业一</w:t>
            </w:r>
            <w:r>
              <w:rPr>
                <w:rFonts w:hint="eastAsia" w:asciiTheme="minorEastAsia" w:hAnsiTheme="minorEastAsia" w:eastAsiaTheme="minorEastAsia" w:cstheme="minorEastAsia"/>
                <w:color w:val="auto"/>
              </w:rPr>
              <w:t>级注册建造师资格</w:t>
            </w:r>
            <w:r>
              <w:rPr>
                <w:rFonts w:hint="eastAsia" w:asciiTheme="minorEastAsia" w:hAnsiTheme="minorEastAsia" w:eastAsiaTheme="minorEastAsia" w:cstheme="minorEastAsia"/>
                <w:color w:val="auto"/>
                <w:lang w:eastAsia="zh-CN"/>
              </w:rPr>
              <w:t>的得</w:t>
            </w:r>
            <w:r>
              <w:rPr>
                <w:rFonts w:hint="eastAsia" w:asciiTheme="minorEastAsia" w:hAnsiTheme="minorEastAsia" w:eastAsiaTheme="minorEastAsia" w:cstheme="minorEastAsia"/>
                <w:color w:val="auto"/>
                <w:lang w:val="en-US" w:eastAsia="zh-CN"/>
              </w:rPr>
              <w:t>2分</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提供身份证、</w:t>
            </w:r>
            <w:r>
              <w:rPr>
                <w:rFonts w:hint="eastAsia" w:asciiTheme="minorEastAsia" w:hAnsiTheme="minorEastAsia" w:eastAsiaTheme="minorEastAsia" w:cstheme="minorEastAsia"/>
                <w:color w:val="auto"/>
              </w:rPr>
              <w:t>资格证书</w:t>
            </w:r>
            <w:r>
              <w:rPr>
                <w:rFonts w:hint="eastAsia" w:asciiTheme="minorEastAsia" w:hAnsiTheme="minorEastAsia" w:eastAsiaTheme="minorEastAsia" w:cstheme="minorEastAsia"/>
                <w:color w:val="auto"/>
                <w:lang w:eastAsia="zh-CN"/>
              </w:rPr>
              <w:t>、劳动合同及近三个月的社保证明</w:t>
            </w:r>
            <w:r>
              <w:rPr>
                <w:rFonts w:hint="eastAsia" w:asciiTheme="minorEastAsia" w:hAnsiTheme="minorEastAsia" w:eastAsiaTheme="minorEastAsia" w:cstheme="minorEastAsia"/>
                <w:color w:val="auto"/>
              </w:rPr>
              <w:t>）</w:t>
            </w:r>
          </w:p>
        </w:tc>
        <w:tc>
          <w:tcPr>
            <w:tcW w:w="664" w:type="dxa"/>
            <w:tcBorders>
              <w:top w:val="single" w:color="auto" w:sz="4" w:space="0"/>
            </w:tcBorders>
            <w:vAlign w:val="center"/>
          </w:tcPr>
          <w:p>
            <w:pPr>
              <w:autoSpaceDE w:val="0"/>
              <w:autoSpaceDN w:val="0"/>
              <w:adjustRightInd w:val="0"/>
              <w:spacing w:line="360" w:lineRule="auto"/>
              <w:ind w:right="71" w:rightChars="34"/>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2</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jc w:val="center"/>
              <w:rPr>
                <w:rFonts w:hint="eastAsia" w:ascii="宋体" w:hAnsi="宋体" w:cs="宋体"/>
                <w:szCs w:val="21"/>
              </w:rPr>
            </w:pPr>
          </w:p>
        </w:tc>
        <w:tc>
          <w:tcPr>
            <w:tcW w:w="6512" w:type="dxa"/>
            <w:tcBorders>
              <w:top w:val="single" w:color="auto" w:sz="4" w:space="0"/>
            </w:tcBorders>
            <w:vAlign w:val="center"/>
          </w:tcPr>
          <w:p>
            <w:pPr>
              <w:widowControl/>
              <w:autoSpaceDE w:val="0"/>
              <w:autoSpaceDN w:val="0"/>
              <w:adjustRightInd w:val="0"/>
              <w:spacing w:line="360" w:lineRule="auto"/>
              <w:jc w:val="left"/>
              <w:textAlignment w:val="cente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根据拟投入本项目人员的配备情况，包括人员资质、职称、履历情况、合理分配情况评分（提供人员履历及相关证书复印件），第一名得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分，第二名得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分，第三名得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分，第四名及以下不得分。</w:t>
            </w:r>
          </w:p>
        </w:tc>
        <w:tc>
          <w:tcPr>
            <w:tcW w:w="664" w:type="dxa"/>
            <w:tcBorders>
              <w:top w:val="single" w:color="auto" w:sz="4" w:space="0"/>
            </w:tcBorders>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6</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40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bidi="ar"/>
              </w:rPr>
              <w:t>项目概况、施工方案</w:t>
            </w:r>
          </w:p>
        </w:tc>
        <w:tc>
          <w:tcPr>
            <w:tcW w:w="6512" w:type="dxa"/>
            <w:vAlign w:val="center"/>
          </w:tcPr>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根据各供应商对本项目的描述和理解程度，施工方案的完整性、组织设计的针对性比较后进行评分。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w:t>
            </w: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w:t>
            </w:r>
            <w:r>
              <w:rPr>
                <w:rFonts w:hint="eastAsia" w:asciiTheme="minorEastAsia" w:hAnsiTheme="minorEastAsia" w:eastAsiaTheme="minorEastAsia" w:cstheme="minorEastAsia"/>
                <w:color w:val="auto"/>
                <w:sz w:val="21"/>
                <w:szCs w:val="21"/>
                <w:lang w:val="en-US" w:eastAsia="zh-CN" w:bidi="ar"/>
              </w:rPr>
              <w:t>3</w:t>
            </w:r>
            <w:r>
              <w:rPr>
                <w:rFonts w:hint="eastAsia" w:asciiTheme="minorEastAsia" w:hAnsiTheme="minorEastAsia" w:eastAsiaTheme="minorEastAsia" w:cstheme="minorEastAsia"/>
                <w:color w:val="auto"/>
                <w:sz w:val="21"/>
                <w:szCs w:val="21"/>
                <w:lang w:bidi="ar"/>
              </w:rPr>
              <w:t xml:space="preserve"> 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w:t>
            </w:r>
            <w:r>
              <w:rPr>
                <w:rFonts w:hint="eastAsia" w:asciiTheme="minorEastAsia" w:hAnsiTheme="minorEastAsia" w:eastAsiaTheme="minorEastAsia" w:cstheme="minorEastAsia"/>
                <w:color w:val="auto"/>
                <w:sz w:val="21"/>
                <w:szCs w:val="21"/>
                <w:lang w:val="en-US" w:eastAsia="zh-CN" w:bidi="ar"/>
              </w:rPr>
              <w:t>1</w:t>
            </w:r>
            <w:r>
              <w:rPr>
                <w:rFonts w:hint="eastAsia" w:asciiTheme="minorEastAsia" w:hAnsiTheme="minorEastAsia" w:eastAsiaTheme="minorEastAsia" w:cstheme="minorEastAsia"/>
                <w:color w:val="auto"/>
                <w:sz w:val="21"/>
                <w:szCs w:val="21"/>
                <w:lang w:bidi="ar"/>
              </w:rPr>
              <w:t>分；</w:t>
            </w:r>
          </w:p>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bidi="ar"/>
              </w:rPr>
              <w:t>不可行，0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ind w:left="-4" w:leftChars="-2" w:firstLine="2" w:firstLineChars="1"/>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bidi="ar"/>
              </w:rPr>
              <w:t>主要施工方法、工序、施工工艺及标准</w:t>
            </w:r>
          </w:p>
        </w:tc>
        <w:tc>
          <w:tcPr>
            <w:tcW w:w="6512" w:type="dxa"/>
            <w:vAlign w:val="center"/>
          </w:tcPr>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根据各供应商主要施工方法、工序、施工工艺及标准及对本项目的针对性进行比较后评分。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科学、合理，针对性强，</w:t>
            </w: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合理，可行，</w:t>
            </w:r>
            <w:r>
              <w:rPr>
                <w:rFonts w:hint="eastAsia" w:asciiTheme="minorEastAsia" w:hAnsiTheme="minorEastAsia" w:eastAsiaTheme="minorEastAsia" w:cstheme="minorEastAsia"/>
                <w:color w:val="auto"/>
                <w:sz w:val="21"/>
                <w:szCs w:val="21"/>
                <w:lang w:val="en-US" w:eastAsia="zh-CN" w:bidi="ar"/>
              </w:rPr>
              <w:t>3</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36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欠合理，基本可行，1 分；</w:t>
            </w:r>
          </w:p>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bidi="ar"/>
              </w:rPr>
              <w:t>不可行，0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restart"/>
            <w:vAlign w:val="center"/>
          </w:tcPr>
          <w:p>
            <w:pPr>
              <w:spacing w:line="360" w:lineRule="auto"/>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kern w:val="0"/>
                <w:sz w:val="21"/>
                <w:szCs w:val="21"/>
                <w:lang w:bidi="ar"/>
              </w:rPr>
              <w:t>其他施工组织设计</w:t>
            </w: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拟投入的主要物资</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主材、耗材的</w:t>
            </w:r>
            <w:r>
              <w:rPr>
                <w:rFonts w:hint="eastAsia" w:asciiTheme="minorEastAsia" w:hAnsiTheme="minorEastAsia" w:eastAsiaTheme="minorEastAsia" w:cstheme="minorEastAsia"/>
                <w:color w:val="auto"/>
                <w:sz w:val="21"/>
                <w:szCs w:val="21"/>
                <w:lang w:val="en-US" w:eastAsia="zh-CN"/>
              </w:rPr>
              <w:t>市场认可度及</w:t>
            </w:r>
            <w:r>
              <w:rPr>
                <w:rFonts w:hint="eastAsia" w:asciiTheme="minorEastAsia" w:hAnsiTheme="minorEastAsia" w:eastAsiaTheme="minorEastAsia" w:cstheme="minorEastAsia"/>
                <w:color w:val="auto"/>
                <w:sz w:val="21"/>
                <w:szCs w:val="21"/>
                <w:lang w:val="zh-CN"/>
              </w:rPr>
              <w:t>品牌</w:t>
            </w:r>
            <w:r>
              <w:rPr>
                <w:rFonts w:hint="eastAsia" w:asciiTheme="minorEastAsia" w:hAnsiTheme="minorEastAsia" w:eastAsiaTheme="minorEastAsia" w:cstheme="minorEastAsia"/>
                <w:color w:val="auto"/>
                <w:sz w:val="21"/>
                <w:szCs w:val="21"/>
                <w:lang w:val="en-US" w:eastAsia="zh-CN"/>
              </w:rPr>
              <w:t>知名度</w:t>
            </w:r>
            <w:r>
              <w:rPr>
                <w:rFonts w:hint="eastAsia" w:asciiTheme="minorEastAsia" w:hAnsiTheme="minorEastAsia" w:eastAsiaTheme="minorEastAsia" w:cstheme="minorEastAsia"/>
                <w:color w:val="auto"/>
                <w:sz w:val="21"/>
                <w:szCs w:val="21"/>
                <w:lang w:val="zh-CN"/>
              </w:rPr>
              <w:t>、质量等级、环保节能情况</w:t>
            </w:r>
            <w:r>
              <w:rPr>
                <w:rFonts w:hint="eastAsia" w:asciiTheme="minorEastAsia" w:hAnsiTheme="minorEastAsia" w:eastAsiaTheme="minorEastAsia" w:cstheme="minorEastAsia"/>
                <w:color w:val="auto"/>
                <w:sz w:val="21"/>
                <w:szCs w:val="21"/>
                <w:lang w:val="en-US" w:eastAsia="zh-CN"/>
              </w:rPr>
              <w:t>等进行比较后评分</w:t>
            </w:r>
            <w:r>
              <w:rPr>
                <w:rFonts w:hint="eastAsia" w:asciiTheme="minorEastAsia" w:hAnsiTheme="minorEastAsia" w:eastAsiaTheme="minorEastAsia" w:cstheme="minorEastAsia"/>
                <w:color w:val="auto"/>
                <w:kern w:val="0"/>
                <w:sz w:val="21"/>
                <w:szCs w:val="21"/>
                <w:lang w:bidi="ar"/>
              </w:rPr>
              <w:t>：</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w:t>
            </w:r>
            <w:r>
              <w:rPr>
                <w:rFonts w:hint="eastAsia" w:asciiTheme="minorEastAsia" w:hAnsiTheme="minorEastAsia" w:eastAsiaTheme="minorEastAsia" w:cstheme="minorEastAsia"/>
                <w:color w:val="auto"/>
                <w:kern w:val="0"/>
                <w:sz w:val="21"/>
                <w:szCs w:val="21"/>
                <w:lang w:val="en-US" w:eastAsia="zh-CN" w:bidi="ar"/>
              </w:rPr>
              <w:t>5</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w:t>
            </w: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w:t>
            </w:r>
            <w:r>
              <w:rPr>
                <w:rFonts w:hint="eastAsia" w:asciiTheme="minorEastAsia" w:hAnsiTheme="minorEastAsia" w:eastAsiaTheme="minorEastAsia" w:cstheme="minorEastAsia"/>
                <w:color w:val="auto"/>
                <w:kern w:val="0"/>
                <w:sz w:val="21"/>
                <w:szCs w:val="21"/>
                <w:lang w:val="en-US" w:eastAsia="zh-CN" w:bidi="ar"/>
              </w:rPr>
              <w:t>1</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拟投入的主要施工机械计划：</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w:t>
            </w: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劳动力安排计划：</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科学、合理，针对性强，3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确保工程质量的技术组织措施：</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科学、合理，针对性强，3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确保安全生产的技术组织措施：</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科学、合理，针对性强，3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确保工期的技术组织措施：</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科学、合理，针对性强，3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确保文明施工的技术组织措施：</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科学、合理，针对性强，3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合理，可行，2 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Merge w:val="continue"/>
            <w:vAlign w:val="center"/>
          </w:tcPr>
          <w:p>
            <w:pPr>
              <w:spacing w:line="360" w:lineRule="auto"/>
              <w:rPr>
                <w:rFonts w:hint="eastAsia" w:asciiTheme="minorEastAsia" w:hAnsiTheme="minorEastAsia" w:eastAsiaTheme="minorEastAsia" w:cstheme="minorEastAsia"/>
                <w:spacing w:val="-6"/>
                <w:sz w:val="21"/>
                <w:szCs w:val="21"/>
              </w:rPr>
            </w:pPr>
          </w:p>
        </w:tc>
        <w:tc>
          <w:tcPr>
            <w:tcW w:w="6512"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工程施工进度表或施工网络图：</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设计科学、合理，针对性强，</w:t>
            </w: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w:t>
            </w:r>
            <w:r>
              <w:rPr>
                <w:rFonts w:hint="eastAsia" w:asciiTheme="minorEastAsia" w:hAnsiTheme="minorEastAsia" w:eastAsiaTheme="minorEastAsia" w:cstheme="minorEastAsia"/>
                <w:color w:val="auto"/>
                <w:kern w:val="0"/>
                <w:sz w:val="21"/>
                <w:szCs w:val="21"/>
                <w:lang w:val="en-US" w:eastAsia="zh-CN" w:bidi="ar"/>
              </w:rPr>
              <w:t>2</w:t>
            </w:r>
            <w:r>
              <w:rPr>
                <w:rFonts w:hint="eastAsia" w:asciiTheme="minorEastAsia" w:hAnsiTheme="minorEastAsia" w:eastAsiaTheme="minorEastAsia" w:cstheme="minorEastAsia"/>
                <w:color w:val="auto"/>
                <w:kern w:val="0"/>
                <w:sz w:val="21"/>
                <w:szCs w:val="21"/>
                <w:lang w:bidi="ar"/>
              </w:rPr>
              <w:t>分；</w:t>
            </w:r>
          </w:p>
          <w:p>
            <w:pPr>
              <w:keepNext w:val="0"/>
              <w:keepLines w:val="0"/>
              <w:pageBreakBefore w:val="0"/>
              <w:kinsoku/>
              <w:wordWrap/>
              <w:overflowPunct/>
              <w:topLinePunct w:val="0"/>
              <w:autoSpaceDE w:val="0"/>
              <w:autoSpaceDN w:val="0"/>
              <w:bidi w:val="0"/>
              <w:adjustRightInd w:val="0"/>
              <w:snapToGrid/>
              <w:spacing w:line="36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spacing w:line="36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Cs w:val="21"/>
              </w:rPr>
              <w:t>服务承诺</w:t>
            </w:r>
          </w:p>
        </w:tc>
        <w:tc>
          <w:tcPr>
            <w:tcW w:w="6512" w:type="dxa"/>
            <w:vAlign w:val="center"/>
          </w:tcPr>
          <w:p>
            <w:pPr>
              <w:widowControl/>
              <w:spacing w:line="360" w:lineRule="auto"/>
              <w:jc w:val="left"/>
              <w:textAlignment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根据</w:t>
            </w:r>
            <w:r>
              <w:rPr>
                <w:rFonts w:hint="eastAsia" w:asciiTheme="minorEastAsia" w:hAnsiTheme="minorEastAsia" w:eastAsiaTheme="minorEastAsia" w:cstheme="minorEastAsia"/>
                <w:color w:val="auto"/>
                <w:kern w:val="0"/>
                <w:szCs w:val="21"/>
                <w:lang w:eastAsia="zh-CN"/>
              </w:rPr>
              <w:t>供应商</w:t>
            </w:r>
            <w:r>
              <w:rPr>
                <w:rFonts w:hint="eastAsia" w:asciiTheme="minorEastAsia" w:hAnsiTheme="minorEastAsia" w:eastAsiaTheme="minorEastAsia" w:cstheme="minorEastAsia"/>
                <w:color w:val="auto"/>
                <w:szCs w:val="21"/>
              </w:rPr>
              <w:t>售后服务承诺、工期延误赔偿承诺</w:t>
            </w:r>
            <w:r>
              <w:rPr>
                <w:rFonts w:hint="eastAsia" w:asciiTheme="minorEastAsia" w:hAnsiTheme="minorEastAsia" w:eastAsiaTheme="minorEastAsia" w:cstheme="minorEastAsia"/>
                <w:color w:val="auto"/>
                <w:kern w:val="0"/>
                <w:szCs w:val="21"/>
              </w:rPr>
              <w:t>进行比较后评分。</w:t>
            </w:r>
          </w:p>
          <w:p>
            <w:pPr>
              <w:widowControl/>
              <w:spacing w:line="360" w:lineRule="auto"/>
              <w:jc w:val="left"/>
              <w:textAlignment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内容齐全，针对性强，</w:t>
            </w:r>
            <w:r>
              <w:rPr>
                <w:rFonts w:hint="eastAsia" w:asciiTheme="minorEastAsia" w:hAnsiTheme="minorEastAsia" w:eastAsiaTheme="minorEastAsia" w:cstheme="minorEastAsia"/>
                <w:color w:val="auto"/>
                <w:kern w:val="0"/>
                <w:szCs w:val="21"/>
                <w:lang w:val="en-US" w:eastAsia="zh-CN"/>
              </w:rPr>
              <w:t>4</w:t>
            </w:r>
            <w:r>
              <w:rPr>
                <w:rFonts w:hint="eastAsia" w:asciiTheme="minorEastAsia" w:hAnsiTheme="minorEastAsia" w:eastAsiaTheme="minorEastAsia" w:cstheme="minorEastAsia"/>
                <w:color w:val="auto"/>
                <w:kern w:val="0"/>
                <w:szCs w:val="21"/>
              </w:rPr>
              <w:t>分；</w:t>
            </w:r>
          </w:p>
          <w:p>
            <w:pPr>
              <w:widowControl/>
              <w:spacing w:line="360" w:lineRule="auto"/>
              <w:jc w:val="left"/>
              <w:textAlignment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内容较齐全、合理可行，</w:t>
            </w: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分；</w:t>
            </w:r>
          </w:p>
          <w:p>
            <w:pPr>
              <w:autoSpaceDE w:val="0"/>
              <w:autoSpaceDN w:val="0"/>
              <w:adjustRightInd w:val="0"/>
              <w:spacing w:line="360" w:lineRule="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Cs w:val="21"/>
                <w:lang w:val="en-US" w:eastAsia="zh-CN" w:bidi="ar"/>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rPr>
          <w:rFonts w:hint="eastAsia" w:asciiTheme="minorEastAsia" w:hAnsiTheme="minorEastAsia" w:eastAsiaTheme="minorEastAsia" w:cstheme="minorEastAsia"/>
          <w:b/>
          <w:szCs w:val="21"/>
          <w:lang w:val="en-US" w:eastAsia="zh-CN"/>
        </w:rPr>
      </w:pPr>
      <w:bookmarkStart w:id="111" w:name="_Toc27405"/>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1"/>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2" w:name="_Toc30424"/>
      <w:r>
        <w:rPr>
          <w:rFonts w:hint="eastAsia" w:asciiTheme="minorEastAsia" w:hAnsiTheme="minorEastAsia" w:eastAsiaTheme="minorEastAsia" w:cstheme="minorEastAsia"/>
          <w:b/>
          <w:szCs w:val="21"/>
          <w:lang w:val="en-US" w:eastAsia="zh-CN"/>
        </w:rPr>
        <w:t>五、磋商及评审步骤</w:t>
      </w:r>
      <w:bookmarkEnd w:id="112"/>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b w:val="0"/>
          <w:kern w:val="0"/>
          <w:szCs w:val="21"/>
        </w:rPr>
      </w:pPr>
      <w:bookmarkStart w:id="113" w:name="_Toc318643471"/>
      <w:bookmarkStart w:id="114" w:name="_Toc211783328"/>
      <w:bookmarkStart w:id="115" w:name="_Toc11287"/>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13"/>
      <w:bookmarkEnd w:id="114"/>
      <w:r>
        <w:rPr>
          <w:rFonts w:hint="eastAsia" w:asciiTheme="minorEastAsia" w:hAnsiTheme="minorEastAsia" w:eastAsiaTheme="minorEastAsia" w:cstheme="minorEastAsia"/>
          <w:sz w:val="36"/>
          <w:szCs w:val="36"/>
          <w:lang w:val="en-US" w:eastAsia="zh-CN"/>
        </w:rPr>
        <w:t>格式</w:t>
      </w:r>
      <w:bookmarkEnd w:id="115"/>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spacing w:before="312" w:beforeLines="100" w:after="312" w:afterLines="100" w:line="360" w:lineRule="auto"/>
        <w:jc w:val="center"/>
        <w:rPr>
          <w:rFonts w:hint="eastAsia"/>
          <w:b/>
          <w:sz w:val="44"/>
          <w:szCs w:val="44"/>
        </w:rPr>
      </w:pPr>
      <w:r>
        <w:rPr>
          <w:rFonts w:hint="eastAsia"/>
          <w:b/>
          <w:sz w:val="44"/>
          <w:szCs w:val="44"/>
        </w:rPr>
        <w:t>武汉工程大学</w:t>
      </w:r>
      <w:r>
        <w:rPr>
          <w:rFonts w:hint="eastAsia"/>
          <w:b/>
          <w:color w:val="FF0000"/>
          <w:sz w:val="44"/>
          <w:szCs w:val="44"/>
        </w:rPr>
        <w:t>XX</w:t>
      </w:r>
      <w:r>
        <w:rPr>
          <w:rFonts w:hint="eastAsia"/>
          <w:b/>
          <w:sz w:val="44"/>
          <w:szCs w:val="44"/>
        </w:rPr>
        <w:t>校区</w:t>
      </w:r>
      <w:r>
        <w:rPr>
          <w:rFonts w:hint="eastAsia" w:ascii="宋体" w:hAnsi="宋体"/>
          <w:b/>
          <w:color w:val="FF0000"/>
          <w:sz w:val="44"/>
          <w:szCs w:val="44"/>
        </w:rPr>
        <w:t>XX</w:t>
      </w:r>
      <w:r>
        <w:rPr>
          <w:rFonts w:hint="eastAsia"/>
          <w:b/>
          <w:sz w:val="44"/>
          <w:szCs w:val="44"/>
        </w:rPr>
        <w:t>工程</w:t>
      </w:r>
    </w:p>
    <w:p>
      <w:pPr>
        <w:spacing w:before="312" w:beforeLines="100" w:after="312" w:afterLines="100" w:line="360" w:lineRule="auto"/>
        <w:jc w:val="center"/>
        <w:rPr>
          <w:rFonts w:hint="eastAsia"/>
          <w:b/>
          <w:sz w:val="44"/>
          <w:szCs w:val="44"/>
        </w:rPr>
      </w:pPr>
      <w:r>
        <w:rPr>
          <w:rFonts w:hint="eastAsia"/>
          <w:b/>
          <w:sz w:val="44"/>
          <w:szCs w:val="44"/>
        </w:rPr>
        <w:t>（招标类）</w:t>
      </w:r>
    </w:p>
    <w:p>
      <w:pPr>
        <w:jc w:val="center"/>
        <w:rPr>
          <w:rFonts w:hint="eastAsia" w:ascii="宋体" w:hAnsi="宋体" w:cs="宋体"/>
          <w:b/>
          <w:bCs/>
          <w:sz w:val="52"/>
          <w:szCs w:val="52"/>
        </w:rPr>
      </w:pPr>
    </w:p>
    <w:p>
      <w:pPr>
        <w:jc w:val="center"/>
        <w:rPr>
          <w:rFonts w:hint="eastAsia" w:ascii="宋体" w:hAnsi="宋体" w:cs="宋体"/>
          <w:b/>
          <w:bCs/>
          <w:sz w:val="52"/>
          <w:szCs w:val="52"/>
        </w:rPr>
      </w:pPr>
    </w:p>
    <w:p>
      <w:pPr>
        <w:jc w:val="center"/>
        <w:rPr>
          <w:rFonts w:hint="eastAsia" w:ascii="宋体" w:hAnsi="宋体" w:cs="宋体"/>
          <w:b/>
          <w:bCs/>
          <w:sz w:val="84"/>
          <w:szCs w:val="84"/>
        </w:rPr>
      </w:pPr>
      <w:r>
        <w:rPr>
          <w:rFonts w:hint="eastAsia" w:ascii="宋体" w:hAnsi="宋体" w:cs="宋体"/>
          <w:b/>
          <w:bCs/>
          <w:sz w:val="84"/>
          <w:szCs w:val="84"/>
        </w:rPr>
        <w:t>合</w:t>
      </w:r>
    </w:p>
    <w:p>
      <w:pPr>
        <w:jc w:val="center"/>
        <w:rPr>
          <w:rFonts w:hint="eastAsia" w:ascii="宋体" w:hAnsi="宋体" w:cs="宋体"/>
          <w:b/>
          <w:bCs/>
          <w:sz w:val="84"/>
          <w:szCs w:val="84"/>
        </w:rPr>
      </w:pPr>
    </w:p>
    <w:p>
      <w:pPr>
        <w:jc w:val="center"/>
        <w:rPr>
          <w:rFonts w:hint="eastAsia" w:ascii="宋体" w:hAnsi="宋体" w:cs="宋体"/>
          <w:b/>
          <w:bCs/>
          <w:sz w:val="84"/>
          <w:szCs w:val="84"/>
        </w:rPr>
      </w:pPr>
      <w:r>
        <w:rPr>
          <w:rFonts w:hint="eastAsia" w:ascii="宋体" w:hAnsi="宋体" w:cs="宋体"/>
          <w:b/>
          <w:bCs/>
          <w:sz w:val="84"/>
          <w:szCs w:val="84"/>
        </w:rPr>
        <w:t>同</w:t>
      </w:r>
    </w:p>
    <w:p>
      <w:pPr>
        <w:jc w:val="center"/>
        <w:rPr>
          <w:rFonts w:hint="eastAsia" w:ascii="宋体" w:hAnsi="宋体" w:cs="宋体"/>
          <w:b/>
          <w:bCs/>
          <w:sz w:val="84"/>
          <w:szCs w:val="84"/>
        </w:rPr>
      </w:pPr>
    </w:p>
    <w:p>
      <w:pPr>
        <w:jc w:val="center"/>
        <w:rPr>
          <w:rFonts w:hint="eastAsia" w:ascii="宋体" w:hAnsi="宋体" w:cs="宋体"/>
          <w:b/>
          <w:bCs/>
          <w:sz w:val="84"/>
          <w:szCs w:val="84"/>
        </w:rPr>
      </w:pPr>
      <w:r>
        <w:rPr>
          <w:rFonts w:hint="eastAsia" w:ascii="宋体" w:hAnsi="宋体" w:cs="宋体"/>
          <w:b/>
          <w:bCs/>
          <w:sz w:val="84"/>
          <w:szCs w:val="84"/>
        </w:rPr>
        <w:t>书</w:t>
      </w:r>
    </w:p>
    <w:p>
      <w:pPr>
        <w:rPr>
          <w:rFonts w:hint="eastAsia" w:ascii="宋体" w:hAnsi="宋体" w:cs="宋体"/>
          <w:b/>
          <w:bCs/>
          <w:sz w:val="48"/>
          <w:szCs w:val="48"/>
        </w:rPr>
      </w:pPr>
    </w:p>
    <w:p>
      <w:pPr>
        <w:rPr>
          <w:rFonts w:hint="eastAsia" w:ascii="宋体" w:hAnsi="宋体" w:cs="宋体"/>
          <w:b/>
          <w:bCs/>
          <w:sz w:val="48"/>
          <w:szCs w:val="48"/>
        </w:rPr>
      </w:pPr>
    </w:p>
    <w:p>
      <w:pPr>
        <w:rPr>
          <w:rFonts w:hint="eastAsia" w:ascii="宋体" w:hAnsi="宋体" w:cs="宋体"/>
          <w:b/>
          <w:bCs/>
          <w:sz w:val="48"/>
          <w:szCs w:val="48"/>
        </w:rPr>
      </w:pPr>
    </w:p>
    <w:p>
      <w:pPr>
        <w:jc w:val="center"/>
        <w:rPr>
          <w:rFonts w:hint="eastAsia" w:ascii="宋体" w:hAnsi="宋体" w:cs="宋体"/>
          <w:b/>
          <w:bCs/>
          <w:sz w:val="36"/>
          <w:szCs w:val="36"/>
        </w:rPr>
      </w:pPr>
      <w:r>
        <w:rPr>
          <w:rFonts w:hint="eastAsia" w:ascii="宋体" w:hAnsi="宋体" w:cs="宋体"/>
          <w:b/>
          <w:bCs/>
          <w:sz w:val="36"/>
          <w:szCs w:val="36"/>
        </w:rPr>
        <w:t>日期：</w:t>
      </w:r>
      <w:r>
        <w:rPr>
          <w:rFonts w:hint="eastAsia" w:ascii="宋体" w:hAnsi="宋体" w:cs="宋体"/>
          <w:b/>
          <w:bCs/>
          <w:sz w:val="36"/>
          <w:szCs w:val="36"/>
          <w:u w:val="single"/>
        </w:rPr>
        <w:t>202</w:t>
      </w:r>
      <w:r>
        <w:rPr>
          <w:rFonts w:hint="eastAsia" w:ascii="宋体" w:hAnsi="宋体" w:cs="宋体"/>
          <w:b/>
          <w:bCs/>
          <w:color w:val="FF0000"/>
          <w:sz w:val="36"/>
          <w:szCs w:val="36"/>
          <w:u w:val="single"/>
        </w:rPr>
        <w:t>X</w:t>
      </w:r>
      <w:r>
        <w:rPr>
          <w:rFonts w:hint="eastAsia" w:ascii="宋体" w:hAnsi="宋体" w:cs="宋体"/>
          <w:b/>
          <w:bCs/>
          <w:sz w:val="36"/>
          <w:szCs w:val="36"/>
        </w:rPr>
        <w:t>年</w:t>
      </w:r>
      <w:r>
        <w:rPr>
          <w:rFonts w:hint="eastAsia" w:ascii="宋体" w:hAnsi="宋体" w:cs="宋体"/>
          <w:b/>
          <w:bCs/>
          <w:sz w:val="36"/>
          <w:szCs w:val="36"/>
          <w:u w:val="single"/>
        </w:rPr>
        <w:t xml:space="preserve">   </w:t>
      </w:r>
      <w:r>
        <w:rPr>
          <w:rFonts w:hint="eastAsia" w:ascii="宋体" w:hAnsi="宋体" w:cs="宋体"/>
          <w:b/>
          <w:bCs/>
          <w:sz w:val="36"/>
          <w:szCs w:val="36"/>
        </w:rPr>
        <w:t>月</w:t>
      </w:r>
      <w:r>
        <w:rPr>
          <w:rFonts w:hint="eastAsia" w:ascii="宋体" w:hAnsi="宋体" w:cs="宋体"/>
          <w:b/>
          <w:bCs/>
          <w:sz w:val="36"/>
          <w:szCs w:val="36"/>
          <w:u w:val="single"/>
        </w:rPr>
        <w:t xml:space="preserve">   </w:t>
      </w:r>
      <w:r>
        <w:rPr>
          <w:rFonts w:hint="eastAsia" w:ascii="宋体" w:hAnsi="宋体" w:cs="宋体"/>
          <w:b/>
          <w:bCs/>
          <w:sz w:val="36"/>
          <w:szCs w:val="36"/>
        </w:rPr>
        <w:t>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建设单位：武汉工程大学                   （以下简称甲方）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施工单位：</w:t>
      </w:r>
      <w:r>
        <w:rPr>
          <w:rFonts w:hint="eastAsia" w:ascii="宋体" w:hAnsi="宋体" w:eastAsia="宋体" w:cs="宋体"/>
          <w:color w:val="FF0000"/>
          <w:sz w:val="21"/>
          <w:szCs w:val="21"/>
        </w:rPr>
        <w:t xml:space="preserve">XX </w:t>
      </w:r>
      <w:r>
        <w:rPr>
          <w:rFonts w:hint="eastAsia" w:ascii="宋体" w:hAnsi="宋体" w:eastAsia="宋体" w:cs="宋体"/>
          <w:sz w:val="21"/>
          <w:szCs w:val="21"/>
        </w:rPr>
        <w:t xml:space="preserve">                            （以下简称乙方）</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武汉工程大学</w:t>
      </w:r>
      <w:r>
        <w:rPr>
          <w:rFonts w:hint="eastAsia" w:ascii="宋体" w:hAnsi="宋体" w:eastAsia="宋体" w:cs="宋体"/>
          <w:color w:val="FF0000"/>
          <w:sz w:val="21"/>
          <w:szCs w:val="21"/>
        </w:rPr>
        <w:t>XX</w:t>
      </w:r>
      <w:r>
        <w:rPr>
          <w:rFonts w:hint="eastAsia" w:ascii="宋体" w:hAnsi="宋体" w:eastAsia="宋体" w:cs="宋体"/>
          <w:sz w:val="21"/>
          <w:szCs w:val="21"/>
        </w:rPr>
        <w:t>校区</w:t>
      </w:r>
      <w:r>
        <w:rPr>
          <w:rFonts w:hint="eastAsia" w:ascii="宋体" w:hAnsi="宋体" w:eastAsia="宋体" w:cs="宋体"/>
          <w:color w:val="FF0000"/>
          <w:sz w:val="21"/>
          <w:szCs w:val="21"/>
        </w:rPr>
        <w:t>XX</w:t>
      </w:r>
      <w:r>
        <w:rPr>
          <w:rFonts w:hint="eastAsia" w:ascii="宋体" w:hAnsi="宋体" w:eastAsia="宋体" w:cs="宋体"/>
          <w:sz w:val="21"/>
          <w:szCs w:val="21"/>
        </w:rPr>
        <w:t>工程，拟列于《武汉工程大学20</w:t>
      </w:r>
      <w:r>
        <w:rPr>
          <w:rFonts w:hint="eastAsia" w:ascii="宋体" w:hAnsi="宋体" w:eastAsia="宋体" w:cs="宋体"/>
          <w:color w:val="FF0000"/>
          <w:sz w:val="21"/>
          <w:szCs w:val="21"/>
        </w:rPr>
        <w:t>XX</w:t>
      </w:r>
      <w:r>
        <w:rPr>
          <w:rFonts w:hint="eastAsia" w:ascii="宋体" w:hAnsi="宋体" w:eastAsia="宋体" w:cs="宋体"/>
          <w:sz w:val="21"/>
          <w:szCs w:val="21"/>
        </w:rPr>
        <w:t>年修缮项目明细及修缮项目库》。依据《武汉工程大学修缮工程管理办法》（现行），按学校招标采购处于20</w:t>
      </w:r>
      <w:r>
        <w:rPr>
          <w:rFonts w:hint="eastAsia" w:ascii="宋体" w:hAnsi="宋体" w:eastAsia="宋体" w:cs="宋体"/>
          <w:color w:val="FF0000"/>
          <w:sz w:val="21"/>
          <w:szCs w:val="21"/>
        </w:rPr>
        <w:t>XX</w:t>
      </w:r>
      <w:r>
        <w:rPr>
          <w:rFonts w:hint="eastAsia" w:ascii="宋体" w:hAnsi="宋体" w:eastAsia="宋体" w:cs="宋体"/>
          <w:sz w:val="21"/>
          <w:szCs w:val="21"/>
        </w:rPr>
        <w:t>年</w:t>
      </w:r>
      <w:r>
        <w:rPr>
          <w:rFonts w:hint="eastAsia" w:ascii="宋体" w:hAnsi="宋体" w:eastAsia="宋体" w:cs="宋体"/>
          <w:color w:val="FF0000"/>
          <w:sz w:val="21"/>
          <w:szCs w:val="21"/>
        </w:rPr>
        <w:t>XX</w:t>
      </w:r>
      <w:r>
        <w:rPr>
          <w:rFonts w:hint="eastAsia" w:ascii="宋体" w:hAnsi="宋体" w:eastAsia="宋体" w:cs="宋体"/>
          <w:sz w:val="21"/>
          <w:szCs w:val="21"/>
        </w:rPr>
        <w:t>月</w:t>
      </w:r>
      <w:r>
        <w:rPr>
          <w:rFonts w:hint="eastAsia" w:ascii="宋体" w:hAnsi="宋体" w:eastAsia="宋体" w:cs="宋体"/>
          <w:color w:val="FF0000"/>
          <w:sz w:val="21"/>
          <w:szCs w:val="21"/>
        </w:rPr>
        <w:t>XX</w:t>
      </w:r>
      <w:r>
        <w:rPr>
          <w:rFonts w:hint="eastAsia" w:ascii="宋体" w:hAnsi="宋体" w:eastAsia="宋体" w:cs="宋体"/>
          <w:sz w:val="21"/>
          <w:szCs w:val="21"/>
        </w:rPr>
        <w:t>日的</w:t>
      </w:r>
      <w:r>
        <w:rPr>
          <w:rFonts w:hint="eastAsia" w:ascii="宋体" w:hAnsi="宋体" w:eastAsia="宋体" w:cs="宋体"/>
          <w:color w:val="FF0000"/>
          <w:sz w:val="21"/>
          <w:szCs w:val="21"/>
        </w:rPr>
        <w:t>竞争性磋商成交结果告知函（或者中标通知书）</w:t>
      </w:r>
      <w:r>
        <w:rPr>
          <w:rFonts w:hint="eastAsia" w:ascii="宋体" w:hAnsi="宋体" w:eastAsia="宋体" w:cs="宋体"/>
          <w:sz w:val="21"/>
          <w:szCs w:val="21"/>
        </w:rPr>
        <w:t>，确定委托</w:t>
      </w:r>
      <w:r>
        <w:rPr>
          <w:rFonts w:hint="eastAsia" w:ascii="宋体" w:hAnsi="宋体" w:eastAsia="宋体" w:cs="宋体"/>
          <w:color w:val="FF0000"/>
          <w:sz w:val="21"/>
          <w:szCs w:val="21"/>
        </w:rPr>
        <w:t>成交供应商（或者中标人）</w:t>
      </w:r>
      <w:r>
        <w:rPr>
          <w:rFonts w:hint="eastAsia" w:ascii="宋体" w:hAnsi="宋体" w:eastAsia="宋体" w:cs="宋体"/>
          <w:sz w:val="21"/>
          <w:szCs w:val="21"/>
        </w:rPr>
        <w:t>：</w:t>
      </w:r>
      <w:r>
        <w:rPr>
          <w:rFonts w:hint="eastAsia" w:ascii="宋体" w:hAnsi="宋体" w:eastAsia="宋体" w:cs="宋体"/>
          <w:color w:val="FF0000"/>
          <w:sz w:val="21"/>
          <w:szCs w:val="21"/>
        </w:rPr>
        <w:t>XXXXXX</w:t>
      </w:r>
      <w:r>
        <w:rPr>
          <w:rFonts w:hint="eastAsia" w:ascii="宋体" w:hAnsi="宋体" w:eastAsia="宋体" w:cs="宋体"/>
          <w:sz w:val="21"/>
          <w:szCs w:val="21"/>
        </w:rPr>
        <w:t>施工。依照&lt;&lt;中华人民共和国合同法&gt;&gt;、&lt;&lt;中华人民共和国建筑法&gt;&gt;及相关法律、法规，遵循平等、自愿、公平和诚信的原则，经过甲、乙双方友好协商达成如下一致意见。</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一、项目概况</w:t>
      </w:r>
    </w:p>
    <w:p>
      <w:pPr>
        <w:spacing w:line="360" w:lineRule="auto"/>
        <w:ind w:firstLine="465"/>
        <w:rPr>
          <w:rFonts w:hint="eastAsia" w:ascii="宋体" w:hAnsi="宋体" w:eastAsia="宋体" w:cs="宋体"/>
          <w:sz w:val="21"/>
          <w:szCs w:val="21"/>
        </w:rPr>
      </w:pPr>
      <w:r>
        <w:rPr>
          <w:rFonts w:hint="eastAsia" w:ascii="宋体" w:hAnsi="宋体" w:eastAsia="宋体" w:cs="宋体"/>
          <w:sz w:val="21"/>
          <w:szCs w:val="21"/>
        </w:rPr>
        <w:t>（一）工程名称：武汉工程大学</w:t>
      </w:r>
      <w:r>
        <w:rPr>
          <w:rFonts w:hint="eastAsia" w:ascii="宋体" w:hAnsi="宋体" w:eastAsia="宋体" w:cs="宋体"/>
          <w:color w:val="FF0000"/>
          <w:sz w:val="21"/>
          <w:szCs w:val="21"/>
        </w:rPr>
        <w:t>XX</w:t>
      </w:r>
      <w:r>
        <w:rPr>
          <w:rFonts w:hint="eastAsia" w:ascii="宋体" w:hAnsi="宋体" w:eastAsia="宋体" w:cs="宋体"/>
          <w:sz w:val="21"/>
          <w:szCs w:val="21"/>
        </w:rPr>
        <w:t>校区</w:t>
      </w:r>
      <w:r>
        <w:rPr>
          <w:rFonts w:hint="eastAsia" w:ascii="宋体" w:hAnsi="宋体" w:eastAsia="宋体" w:cs="宋体"/>
          <w:color w:val="FF0000"/>
          <w:sz w:val="21"/>
          <w:szCs w:val="21"/>
        </w:rPr>
        <w:t>XX</w:t>
      </w:r>
      <w:r>
        <w:rPr>
          <w:rFonts w:hint="eastAsia" w:ascii="宋体" w:hAnsi="宋体" w:eastAsia="宋体" w:cs="宋体"/>
          <w:sz w:val="21"/>
          <w:szCs w:val="21"/>
        </w:rPr>
        <w:t>工程</w:t>
      </w:r>
    </w:p>
    <w:p>
      <w:pPr>
        <w:spacing w:line="360" w:lineRule="auto"/>
        <w:ind w:firstLine="465"/>
        <w:rPr>
          <w:rFonts w:hint="eastAsia" w:ascii="宋体" w:hAnsi="宋体" w:eastAsia="宋体" w:cs="宋体"/>
          <w:sz w:val="21"/>
          <w:szCs w:val="21"/>
        </w:rPr>
      </w:pPr>
      <w:r>
        <w:rPr>
          <w:rFonts w:hint="eastAsia" w:ascii="宋体" w:hAnsi="宋体" w:eastAsia="宋体" w:cs="宋体"/>
          <w:sz w:val="21"/>
          <w:szCs w:val="21"/>
        </w:rPr>
        <w:t xml:space="preserve">（二）工程地点： </w:t>
      </w:r>
      <w:r>
        <w:rPr>
          <w:rFonts w:hint="eastAsia" w:ascii="宋体" w:hAnsi="宋体" w:eastAsia="宋体" w:cs="宋体"/>
          <w:color w:val="FF0000"/>
          <w:sz w:val="21"/>
          <w:szCs w:val="21"/>
        </w:rPr>
        <w:t>XX校区XX</w:t>
      </w:r>
      <w:r>
        <w:rPr>
          <w:rFonts w:hint="eastAsia" w:ascii="宋体" w:hAnsi="宋体" w:eastAsia="宋体" w:cs="宋体"/>
          <w:sz w:val="21"/>
          <w:szCs w:val="21"/>
        </w:rPr>
        <w:t>楼</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 xml:space="preserve"> （三）工程内容：{详见</w:t>
      </w:r>
      <w:r>
        <w:rPr>
          <w:rFonts w:hint="eastAsia" w:ascii="宋体" w:hAnsi="宋体" w:eastAsia="宋体" w:cs="宋体"/>
          <w:color w:val="FF0000"/>
          <w:sz w:val="21"/>
          <w:szCs w:val="21"/>
        </w:rPr>
        <w:t>竞争性磋商采购文件（或者招标文件）、响应文件（或者投标文件）</w:t>
      </w:r>
      <w:r>
        <w:rPr>
          <w:rFonts w:hint="eastAsia" w:ascii="宋体" w:hAnsi="宋体" w:eastAsia="宋体" w:cs="宋体"/>
          <w:sz w:val="21"/>
          <w:szCs w:val="21"/>
        </w:rPr>
        <w:t>、已报价的工程量清单和第二次报价书（若有）等}</w:t>
      </w:r>
    </w:p>
    <w:p>
      <w:pPr>
        <w:spacing w:line="360" w:lineRule="auto"/>
        <w:ind w:firstLine="465"/>
        <w:rPr>
          <w:rFonts w:hint="eastAsia" w:ascii="宋体" w:hAnsi="宋体" w:eastAsia="宋体" w:cs="宋体"/>
          <w:color w:val="FF0000"/>
          <w:sz w:val="21"/>
          <w:szCs w:val="21"/>
        </w:rPr>
      </w:pPr>
      <w:r>
        <w:rPr>
          <w:rFonts w:hint="eastAsia" w:ascii="宋体" w:hAnsi="宋体" w:eastAsia="宋体" w:cs="宋体"/>
          <w:color w:val="FF0000"/>
          <w:sz w:val="21"/>
          <w:szCs w:val="21"/>
        </w:rPr>
        <w:t>1、XX。</w:t>
      </w:r>
    </w:p>
    <w:p>
      <w:pPr>
        <w:spacing w:line="360" w:lineRule="auto"/>
        <w:ind w:firstLine="465"/>
        <w:rPr>
          <w:rFonts w:hint="eastAsia" w:ascii="宋体" w:hAnsi="宋体" w:eastAsia="宋体" w:cs="宋体"/>
          <w:color w:val="FF0000"/>
          <w:sz w:val="21"/>
          <w:szCs w:val="21"/>
        </w:rPr>
      </w:pPr>
      <w:r>
        <w:rPr>
          <w:rFonts w:hint="eastAsia" w:ascii="宋体" w:hAnsi="宋体" w:eastAsia="宋体" w:cs="宋体"/>
          <w:color w:val="FF0000"/>
          <w:sz w:val="21"/>
          <w:szCs w:val="21"/>
        </w:rPr>
        <w:t>2、XX。</w:t>
      </w:r>
    </w:p>
    <w:p>
      <w:pPr>
        <w:spacing w:line="360" w:lineRule="auto"/>
        <w:ind w:firstLine="465"/>
        <w:rPr>
          <w:rFonts w:hint="eastAsia" w:ascii="宋体" w:hAnsi="宋体" w:eastAsia="宋体" w:cs="宋体"/>
          <w:color w:val="FF0000"/>
          <w:sz w:val="21"/>
          <w:szCs w:val="21"/>
        </w:rPr>
      </w:pPr>
      <w:r>
        <w:rPr>
          <w:rFonts w:hint="eastAsia" w:ascii="宋体" w:hAnsi="宋体" w:eastAsia="宋体" w:cs="宋体"/>
          <w:color w:val="FF0000"/>
          <w:sz w:val="21"/>
          <w:szCs w:val="21"/>
        </w:rPr>
        <w:t>3、XX。</w:t>
      </w:r>
    </w:p>
    <w:p>
      <w:pPr>
        <w:spacing w:line="360" w:lineRule="auto"/>
        <w:ind w:firstLine="465"/>
        <w:rPr>
          <w:rFonts w:hint="eastAsia" w:ascii="宋体" w:hAnsi="宋体" w:eastAsia="宋体" w:cs="宋体"/>
          <w:sz w:val="21"/>
          <w:szCs w:val="21"/>
        </w:rPr>
      </w:pPr>
      <w:r>
        <w:rPr>
          <w:rFonts w:hint="eastAsia" w:ascii="宋体" w:hAnsi="宋体" w:eastAsia="宋体" w:cs="宋体"/>
          <w:color w:val="FF0000"/>
          <w:sz w:val="21"/>
          <w:szCs w:val="21"/>
        </w:rPr>
        <w:t>4、XX。</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5、工完场清，施工产生的垃圾运至校外（政府允许倾倒处）处置,运距与</w:t>
      </w:r>
      <w:r>
        <w:rPr>
          <w:rFonts w:hint="eastAsia" w:ascii="宋体" w:hAnsi="宋体" w:eastAsia="宋体" w:cs="宋体"/>
          <w:color w:val="FF0000"/>
          <w:sz w:val="21"/>
          <w:szCs w:val="21"/>
        </w:rPr>
        <w:t>响应文件（或者投标文件）中已报价的工程量清单</w:t>
      </w:r>
      <w:r>
        <w:rPr>
          <w:rFonts w:hint="eastAsia" w:ascii="宋体" w:hAnsi="宋体" w:eastAsia="宋体" w:cs="宋体"/>
          <w:sz w:val="21"/>
          <w:szCs w:val="21"/>
        </w:rPr>
        <w:t>运距一致。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涉及其它内容，以甲方下发乙方联系函或任务单为准。隐蔽工程需留存影像资料，并及时反馈甲方，按要求及时办理相关签证手续。工程施工过程中如有变更或新增工程量，需向甲方办理相关书面手续。留存影像资料经甲方确认后方可施工，甲方书面确认工程量，并办理鉴证手续，按照本合同第二（三）条进行结算，工程增量金额不得超过</w:t>
      </w:r>
      <w:r>
        <w:rPr>
          <w:rFonts w:hint="eastAsia" w:ascii="宋体" w:hAnsi="宋体" w:eastAsia="宋体" w:cs="宋体"/>
          <w:color w:val="FF0000"/>
          <w:sz w:val="21"/>
          <w:szCs w:val="21"/>
        </w:rPr>
        <w:t>本</w:t>
      </w:r>
      <w:r>
        <w:rPr>
          <w:rFonts w:hint="eastAsia" w:ascii="宋体" w:hAnsi="宋体" w:eastAsia="宋体" w:cs="宋体"/>
          <w:sz w:val="21"/>
          <w:szCs w:val="21"/>
        </w:rPr>
        <w:t>合同金额的10%。</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（四）工期总日历天数：</w:t>
      </w:r>
      <w:r>
        <w:rPr>
          <w:rFonts w:hint="eastAsia" w:ascii="宋体" w:hAnsi="宋体" w:eastAsia="宋体" w:cs="宋体"/>
          <w:color w:val="FF0000"/>
          <w:sz w:val="21"/>
          <w:szCs w:val="21"/>
        </w:rPr>
        <w:t>XX</w:t>
      </w:r>
      <w:r>
        <w:rPr>
          <w:rFonts w:hint="eastAsia" w:ascii="宋体" w:hAnsi="宋体" w:eastAsia="宋体" w:cs="宋体"/>
          <w:sz w:val="21"/>
          <w:szCs w:val="21"/>
        </w:rPr>
        <w:t>天</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开竣工日期: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日 至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（五）承包方式：包工包料。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（六）质量要求及保修服务</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1、质量要求：符合《 建筑装饰装修工程质量验收规范》（GB50210-2001）、《建筑工程施工质量验收统一标准》（GB50300-2001）及国家现行有关标准的规定，达到合格要求，并完全符合甲方</w:t>
      </w:r>
      <w:r>
        <w:rPr>
          <w:rFonts w:hint="eastAsia" w:ascii="宋体" w:hAnsi="宋体" w:eastAsia="宋体" w:cs="宋体"/>
          <w:color w:val="FF0000"/>
          <w:sz w:val="21"/>
          <w:szCs w:val="21"/>
        </w:rPr>
        <w:t>竞争性磋商采购文件（或者招标文件）</w:t>
      </w:r>
      <w:r>
        <w:rPr>
          <w:rFonts w:hint="eastAsia" w:ascii="宋体" w:hAnsi="宋体" w:eastAsia="宋体" w:cs="宋体"/>
          <w:sz w:val="21"/>
          <w:szCs w:val="21"/>
        </w:rPr>
        <w:t>、乙方</w:t>
      </w:r>
      <w:r>
        <w:rPr>
          <w:rFonts w:hint="eastAsia" w:ascii="宋体" w:hAnsi="宋体" w:eastAsia="宋体" w:cs="宋体"/>
          <w:color w:val="FF0000"/>
          <w:sz w:val="21"/>
          <w:szCs w:val="21"/>
        </w:rPr>
        <w:t>响应文件（或者投标文件）</w:t>
      </w:r>
      <w:r>
        <w:rPr>
          <w:rFonts w:hint="eastAsia" w:ascii="宋体" w:hAnsi="宋体" w:eastAsia="宋体" w:cs="宋体"/>
          <w:sz w:val="21"/>
          <w:szCs w:val="21"/>
        </w:rPr>
        <w:t>，以及双方谈判期间所达成的全部质量要求。</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2、免费保修期：</w:t>
      </w:r>
      <w:r>
        <w:rPr>
          <w:rFonts w:hint="eastAsia" w:ascii="宋体" w:hAnsi="宋体" w:eastAsia="宋体" w:cs="宋体"/>
          <w:color w:val="FF0000"/>
          <w:sz w:val="21"/>
          <w:szCs w:val="21"/>
        </w:rPr>
        <w:t>按照国家规定，在正常使用条件下，达到最低保修期限（或者双方约定的保修期限）</w:t>
      </w:r>
      <w:r>
        <w:rPr>
          <w:rFonts w:hint="eastAsia" w:ascii="宋体" w:hAnsi="宋体" w:eastAsia="宋体" w:cs="宋体"/>
          <w:sz w:val="21"/>
          <w:szCs w:val="21"/>
        </w:rPr>
        <w:t>，从验收合格之日起计算。</w:t>
      </w:r>
    </w:p>
    <w:p>
      <w:pPr>
        <w:spacing w:line="360" w:lineRule="auto"/>
        <w:ind w:firstLine="105" w:firstLineChars="50"/>
        <w:rPr>
          <w:rFonts w:hint="eastAsia" w:ascii="宋体" w:hAnsi="宋体" w:eastAsia="宋体" w:cs="宋体"/>
          <w:sz w:val="21"/>
          <w:szCs w:val="21"/>
        </w:rPr>
      </w:pPr>
      <w:r>
        <w:rPr>
          <w:rFonts w:hint="eastAsia" w:ascii="宋体" w:hAnsi="宋体" w:eastAsia="宋体" w:cs="宋体"/>
          <w:sz w:val="21"/>
          <w:szCs w:val="21"/>
        </w:rPr>
        <w:t xml:space="preserve">  （七）经费渠道：</w:t>
      </w:r>
      <w:r>
        <w:rPr>
          <w:rFonts w:hint="eastAsia" w:ascii="宋体" w:hAnsi="宋体" w:eastAsia="宋体" w:cs="宋体"/>
          <w:color w:val="FF0000"/>
          <w:sz w:val="21"/>
          <w:szCs w:val="21"/>
        </w:rPr>
        <w:t>XX</w:t>
      </w:r>
      <w:r>
        <w:rPr>
          <w:rFonts w:hint="eastAsia" w:ascii="宋体" w:hAnsi="宋体" w:eastAsia="宋体" w:cs="宋体"/>
          <w:sz w:val="21"/>
          <w:szCs w:val="21"/>
        </w:rPr>
        <w:t>。</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二、合同价款、结算及支付方式</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（一）合同价：人民币大写：</w:t>
      </w:r>
      <w:r>
        <w:rPr>
          <w:rFonts w:hint="eastAsia" w:ascii="宋体" w:hAnsi="宋体" w:eastAsia="宋体" w:cs="宋体"/>
          <w:color w:val="FF0000"/>
          <w:sz w:val="21"/>
          <w:szCs w:val="21"/>
        </w:rPr>
        <w:t>XX</w:t>
      </w:r>
      <w:r>
        <w:rPr>
          <w:rFonts w:hint="eastAsia" w:ascii="宋体" w:hAnsi="宋体" w:eastAsia="宋体" w:cs="宋体"/>
          <w:sz w:val="21"/>
          <w:szCs w:val="21"/>
        </w:rPr>
        <w:t>元，小写：</w:t>
      </w:r>
      <w:r>
        <w:rPr>
          <w:rFonts w:hint="eastAsia" w:ascii="宋体" w:hAnsi="宋体" w:eastAsia="宋体" w:cs="宋体"/>
          <w:color w:val="FF0000"/>
          <w:sz w:val="21"/>
          <w:szCs w:val="21"/>
        </w:rPr>
        <w:t>XX</w:t>
      </w:r>
      <w:r>
        <w:rPr>
          <w:rFonts w:hint="eastAsia" w:ascii="宋体" w:hAnsi="宋体" w:eastAsia="宋体" w:cs="宋体"/>
          <w:sz w:val="21"/>
          <w:szCs w:val="21"/>
        </w:rPr>
        <w:t>。其中含暂列金</w:t>
      </w:r>
      <w:r>
        <w:rPr>
          <w:rStyle w:val="98"/>
          <w:rFonts w:hint="eastAsia" w:ascii="宋体" w:hAnsi="宋体" w:eastAsia="宋体" w:cs="宋体"/>
          <w:color w:val="FF0000"/>
          <w:sz w:val="21"/>
          <w:szCs w:val="21"/>
        </w:rPr>
        <w:t>XX</w:t>
      </w:r>
      <w:r>
        <w:rPr>
          <w:rFonts w:hint="eastAsia" w:ascii="宋体" w:hAnsi="宋体" w:eastAsia="宋体" w:cs="宋体"/>
          <w:sz w:val="21"/>
          <w:szCs w:val="21"/>
        </w:rPr>
        <w:t>（包含按照</w:t>
      </w:r>
      <w:r>
        <w:rPr>
          <w:rFonts w:hint="eastAsia" w:ascii="宋体" w:hAnsi="宋体" w:eastAsia="宋体" w:cs="宋体"/>
          <w:color w:val="FF0000"/>
          <w:sz w:val="21"/>
          <w:szCs w:val="21"/>
        </w:rPr>
        <w:t>竞争性磋商采购文件或者招标文件中有关</w:t>
      </w:r>
      <w:r>
        <w:rPr>
          <w:rFonts w:hint="eastAsia" w:ascii="宋体" w:hAnsi="宋体" w:eastAsia="宋体" w:cs="宋体"/>
          <w:sz w:val="21"/>
          <w:szCs w:val="21"/>
          <w:lang w:val="zh-CN"/>
        </w:rPr>
        <w:t>本项目造价编审费</w:t>
      </w:r>
      <w:r>
        <w:rPr>
          <w:rFonts w:hint="eastAsia" w:ascii="宋体" w:hAnsi="宋体" w:eastAsia="宋体" w:cs="宋体"/>
          <w:color w:val="FF0000"/>
          <w:sz w:val="21"/>
          <w:szCs w:val="21"/>
        </w:rPr>
        <w:t>XX</w:t>
      </w:r>
      <w:r>
        <w:rPr>
          <w:rFonts w:hint="eastAsia" w:ascii="宋体" w:hAnsi="宋体" w:eastAsia="宋体" w:cs="宋体"/>
          <w:sz w:val="21"/>
          <w:szCs w:val="21"/>
        </w:rPr>
        <w:t>元）</w:t>
      </w:r>
      <w:r>
        <w:rPr>
          <w:rFonts w:hint="eastAsia" w:ascii="宋体" w:hAnsi="宋体" w:eastAsia="宋体" w:cs="宋体"/>
          <w:color w:val="FF0000"/>
          <w:sz w:val="21"/>
          <w:szCs w:val="21"/>
        </w:rPr>
        <w:t>。</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（二）造价包含的内容</w:t>
      </w:r>
    </w:p>
    <w:p>
      <w:pPr>
        <w:spacing w:line="360" w:lineRule="auto"/>
        <w:ind w:firstLine="420" w:firstLineChars="200"/>
        <w:rPr>
          <w:rFonts w:hint="eastAsia" w:ascii="宋体" w:hAnsi="宋体" w:eastAsia="宋体" w:cs="宋体"/>
          <w:strike/>
          <w:sz w:val="21"/>
          <w:szCs w:val="21"/>
        </w:rPr>
      </w:pPr>
      <w:r>
        <w:rPr>
          <w:rFonts w:hint="eastAsia" w:ascii="宋体" w:hAnsi="宋体" w:eastAsia="宋体" w:cs="宋体"/>
          <w:sz w:val="21"/>
          <w:szCs w:val="21"/>
        </w:rPr>
        <w:t>含税造价，</w:t>
      </w:r>
      <w:r>
        <w:rPr>
          <w:rFonts w:hint="eastAsia" w:ascii="宋体" w:hAnsi="宋体" w:eastAsia="宋体" w:cs="宋体"/>
          <w:bCs/>
          <w:sz w:val="21"/>
          <w:szCs w:val="21"/>
        </w:rPr>
        <w:t>包括工程所需的人工费、主材费、辅料费、配件费、机械费、管理费、含</w:t>
      </w:r>
      <w:r>
        <w:rPr>
          <w:rFonts w:hint="eastAsia" w:ascii="宋体" w:hAnsi="宋体" w:eastAsia="宋体" w:cs="宋体"/>
          <w:b/>
          <w:sz w:val="21"/>
          <w:szCs w:val="21"/>
        </w:rPr>
        <w:t>安全文明施工费</w:t>
      </w:r>
      <w:r>
        <w:rPr>
          <w:rFonts w:hint="eastAsia" w:ascii="宋体" w:hAnsi="宋体" w:eastAsia="宋体" w:cs="宋体"/>
          <w:sz w:val="21"/>
          <w:szCs w:val="21"/>
        </w:rPr>
        <w:t>在内的措施费、</w:t>
      </w:r>
      <w:r>
        <w:rPr>
          <w:rFonts w:hint="eastAsia" w:ascii="宋体" w:hAnsi="宋体" w:eastAsia="宋体" w:cs="宋体"/>
          <w:bCs/>
          <w:sz w:val="21"/>
          <w:szCs w:val="21"/>
        </w:rPr>
        <w:t>税金、规费等所有费用</w:t>
      </w:r>
      <w:r>
        <w:rPr>
          <w:rFonts w:hint="eastAsia" w:ascii="宋体" w:hAnsi="宋体" w:eastAsia="宋体" w:cs="宋体"/>
          <w:sz w:val="21"/>
          <w:szCs w:val="21"/>
        </w:rPr>
        <w:t>。</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（三）结算及付款方式：</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合同范围内的工程内容,已报价工程量清单中所有的综合单价按照比例进行折算，最终的综合单价=（1-（响应报价-磋商最终报价）/响应报价）*100%*响应文件中的综合单价，据此综合单价进行结算。合同范围外的变更工程内容</w:t>
      </w:r>
      <w:r>
        <w:rPr>
          <w:rFonts w:hint="eastAsia" w:ascii="宋体" w:hAnsi="宋体" w:eastAsia="宋体" w:cs="宋体"/>
          <w:color w:val="FF0000"/>
          <w:sz w:val="21"/>
          <w:szCs w:val="21"/>
        </w:rPr>
        <w:t>（按照合同范围内工程内容下浮比例进行折算）</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（1）合同中有适用于变更的工程内容，以成交金额中标单价进行结算；</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（2）合同中无适用于变更的工程内容，</w:t>
      </w:r>
      <w:r>
        <w:rPr>
          <w:rFonts w:hint="eastAsia" w:ascii="宋体" w:hAnsi="宋体" w:eastAsia="宋体" w:cs="宋体"/>
          <w:color w:val="0000FF"/>
          <w:sz w:val="21"/>
          <w:szCs w:val="21"/>
        </w:rPr>
        <w:t>则</w:t>
      </w:r>
      <w:r>
        <w:rPr>
          <w:rFonts w:hint="eastAsia" w:ascii="宋体" w:hAnsi="宋体" w:eastAsia="宋体" w:cs="宋体"/>
          <w:sz w:val="21"/>
          <w:szCs w:val="21"/>
        </w:rPr>
        <w:t>依据2018版定额套取子目及取费标准</w:t>
      </w:r>
      <w:bookmarkStart w:id="116" w:name="_Hlk13428036"/>
      <w:r>
        <w:rPr>
          <w:rFonts w:hint="eastAsia" w:ascii="宋体" w:hAnsi="宋体" w:eastAsia="宋体" w:cs="宋体"/>
          <w:color w:val="0000FF"/>
          <w:sz w:val="21"/>
          <w:szCs w:val="21"/>
        </w:rPr>
        <w:t>重新组价进行结算</w:t>
      </w:r>
      <w:bookmarkEnd w:id="116"/>
      <w:r>
        <w:rPr>
          <w:rFonts w:hint="eastAsia" w:ascii="宋体" w:hAnsi="宋体" w:eastAsia="宋体" w:cs="宋体"/>
          <w:sz w:val="21"/>
          <w:szCs w:val="21"/>
        </w:rPr>
        <w:t>，若</w:t>
      </w:r>
      <w:r>
        <w:rPr>
          <w:rFonts w:hint="eastAsia" w:ascii="宋体" w:hAnsi="宋体" w:eastAsia="宋体" w:cs="宋体"/>
          <w:color w:val="FF0000"/>
          <w:sz w:val="21"/>
          <w:szCs w:val="21"/>
        </w:rPr>
        <w:t>2018版定额缺项的，则采用其他湖北省现行定额</w:t>
      </w:r>
      <w:r>
        <w:rPr>
          <w:rFonts w:hint="eastAsia" w:ascii="宋体" w:hAnsi="宋体" w:eastAsia="宋体" w:cs="宋体"/>
          <w:color w:val="0000FF"/>
          <w:sz w:val="21"/>
          <w:szCs w:val="21"/>
        </w:rPr>
        <w:t>重新组价进行结算</w:t>
      </w:r>
      <w:r>
        <w:rPr>
          <w:rFonts w:hint="eastAsia" w:ascii="宋体" w:hAnsi="宋体" w:eastAsia="宋体" w:cs="宋体"/>
          <w:sz w:val="21"/>
          <w:szCs w:val="21"/>
        </w:rPr>
        <w:t xml:space="preserve">；材料价格参照武汉市建筑工程（施工）当月市场价格信息；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（3）若无定额套用而采用市场价进行组价的，均不</w:t>
      </w:r>
      <w:r>
        <w:rPr>
          <w:rFonts w:hint="eastAsia" w:ascii="宋体" w:hAnsi="宋体" w:eastAsia="宋体" w:cs="宋体"/>
          <w:color w:val="FF0000"/>
          <w:sz w:val="21"/>
          <w:szCs w:val="21"/>
        </w:rPr>
        <w:t>再</w:t>
      </w:r>
      <w:r>
        <w:rPr>
          <w:rFonts w:hint="eastAsia" w:ascii="宋体" w:hAnsi="宋体" w:eastAsia="宋体" w:cs="宋体"/>
          <w:sz w:val="21"/>
          <w:szCs w:val="21"/>
        </w:rPr>
        <w:t>计取任何税费。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2、工程完工后，经学校修缮工程验收工作领导小组验收合格后，按照学校审计处审定结算价进行结算。</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3、工程进度款支付方式及付款节点</w:t>
      </w:r>
    </w:p>
    <w:p>
      <w:pPr>
        <w:spacing w:line="360" w:lineRule="auto"/>
        <w:ind w:firstLine="420" w:firstLineChars="200"/>
        <w:jc w:val="left"/>
        <w:rPr>
          <w:rFonts w:hint="eastAsia" w:ascii="宋体" w:hAnsi="宋体" w:eastAsia="宋体" w:cs="宋体"/>
          <w:color w:val="FF0000"/>
          <w:sz w:val="21"/>
          <w:szCs w:val="21"/>
        </w:rPr>
      </w:pPr>
      <w:r>
        <w:rPr>
          <w:rFonts w:hint="eastAsia" w:ascii="宋体" w:hAnsi="宋体" w:eastAsia="宋体" w:cs="宋体"/>
          <w:sz w:val="21"/>
          <w:szCs w:val="21"/>
        </w:rPr>
        <w:t>（1）</w:t>
      </w:r>
      <w:r>
        <w:rPr>
          <w:rFonts w:hint="eastAsia" w:ascii="宋体" w:hAnsi="宋体" w:eastAsia="宋体" w:cs="宋体"/>
          <w:color w:val="FF0000"/>
          <w:sz w:val="21"/>
          <w:szCs w:val="21"/>
        </w:rPr>
        <w:t>乙方根据工程进度和支付节点要求提供税务发票及证明其真伪材料（盖公章）、且提供的发票必须真实有效。甲方收到上述资料后，及时为乙方办理工程款结账及支付手续。最终依据《武汉工程大学建设工程审计意见书》的审定结算价为工程支付总价，在施工方交付质保金后付结清工程款。</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（2）关于付款节点的约定：</w:t>
      </w:r>
    </w:p>
    <w:tbl>
      <w:tblPr>
        <w:tblStyle w:val="26"/>
        <w:tblW w:w="8506" w:type="dxa"/>
        <w:jc w:val="center"/>
        <w:tblLayout w:type="fixed"/>
        <w:tblCellMar>
          <w:top w:w="34" w:type="dxa"/>
          <w:left w:w="108" w:type="dxa"/>
          <w:bottom w:w="0" w:type="dxa"/>
          <w:right w:w="48" w:type="dxa"/>
        </w:tblCellMar>
      </w:tblPr>
      <w:tblGrid>
        <w:gridCol w:w="543"/>
        <w:gridCol w:w="1301"/>
        <w:gridCol w:w="1559"/>
        <w:gridCol w:w="4255"/>
        <w:gridCol w:w="848"/>
      </w:tblGrid>
      <w:tr>
        <w:tblPrEx>
          <w:tblCellMar>
            <w:top w:w="34" w:type="dxa"/>
            <w:left w:w="108" w:type="dxa"/>
            <w:bottom w:w="0" w:type="dxa"/>
            <w:right w:w="48" w:type="dxa"/>
          </w:tblCellMar>
        </w:tblPrEx>
        <w:trPr>
          <w:trHeight w:val="554"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序号 </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时间 </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支付比例（基数为合同价） </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支付要求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累计 </w:t>
            </w:r>
          </w:p>
        </w:tc>
      </w:tr>
      <w:tr>
        <w:tblPrEx>
          <w:tblCellMar>
            <w:top w:w="34" w:type="dxa"/>
            <w:left w:w="108" w:type="dxa"/>
            <w:bottom w:w="0" w:type="dxa"/>
            <w:right w:w="48" w:type="dxa"/>
          </w:tblCellMar>
        </w:tblPrEx>
        <w:trPr>
          <w:trHeight w:val="554"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1 </w:t>
            </w:r>
          </w:p>
        </w:tc>
        <w:tc>
          <w:tcPr>
            <w:tcW w:w="130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第一次支付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10% </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履约保函到学校后支付10%进场款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10% </w:t>
            </w:r>
          </w:p>
        </w:tc>
      </w:tr>
      <w:tr>
        <w:tblPrEx>
          <w:tblCellMar>
            <w:top w:w="34" w:type="dxa"/>
            <w:left w:w="108" w:type="dxa"/>
            <w:bottom w:w="0" w:type="dxa"/>
            <w:right w:w="48" w:type="dxa"/>
          </w:tblCellMar>
        </w:tblPrEx>
        <w:trPr>
          <w:trHeight w:val="109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2 </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第二次支付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60% </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C00000"/>
                <w:sz w:val="21"/>
                <w:szCs w:val="21"/>
              </w:rPr>
            </w:pPr>
            <w:r>
              <w:rPr>
                <w:rFonts w:hint="eastAsia" w:ascii="宋体" w:hAnsi="宋体" w:eastAsia="宋体" w:cs="宋体"/>
                <w:color w:val="C00000"/>
                <w:sz w:val="21"/>
                <w:szCs w:val="21"/>
              </w:rPr>
              <w:t>按工程形象进度付款，工程量已完成至70%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C00000"/>
                <w:sz w:val="21"/>
                <w:szCs w:val="21"/>
              </w:rPr>
            </w:pPr>
            <w:r>
              <w:rPr>
                <w:rFonts w:hint="eastAsia" w:ascii="宋体" w:hAnsi="宋体" w:eastAsia="宋体" w:cs="宋体"/>
                <w:color w:val="C00000"/>
                <w:sz w:val="21"/>
                <w:szCs w:val="21"/>
              </w:rPr>
              <w:t>70%</w:t>
            </w:r>
          </w:p>
        </w:tc>
      </w:tr>
      <w:tr>
        <w:tblPrEx>
          <w:tblCellMar>
            <w:top w:w="34" w:type="dxa"/>
            <w:left w:w="108" w:type="dxa"/>
            <w:bottom w:w="0" w:type="dxa"/>
            <w:right w:w="48" w:type="dxa"/>
          </w:tblCellMar>
        </w:tblPrEx>
        <w:trPr>
          <w:trHeight w:val="109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3</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第三次支付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15%</w:t>
            </w:r>
          </w:p>
        </w:tc>
        <w:tc>
          <w:tcPr>
            <w:tcW w:w="42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竣工验收合格、技术资料齐全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85%</w:t>
            </w:r>
          </w:p>
        </w:tc>
      </w:tr>
      <w:tr>
        <w:tblPrEx>
          <w:tblCellMar>
            <w:top w:w="34" w:type="dxa"/>
            <w:left w:w="108" w:type="dxa"/>
            <w:bottom w:w="0" w:type="dxa"/>
            <w:right w:w="48" w:type="dxa"/>
          </w:tblCellMar>
        </w:tblPrEx>
        <w:trPr>
          <w:trHeight w:val="829" w:hRule="atLeast"/>
          <w:jc w:val="center"/>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4 </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第四次支付</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15% </w:t>
            </w:r>
          </w:p>
        </w:tc>
        <w:tc>
          <w:tcPr>
            <w:tcW w:w="4255"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竣工结算审计完成，资料交接，水电费已交、垃圾外运校外、校园基础设施已修复，向学校交质量保证金 3%审定价 </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C00000"/>
                <w:sz w:val="21"/>
                <w:szCs w:val="21"/>
              </w:rPr>
            </w:pPr>
            <w:r>
              <w:rPr>
                <w:rFonts w:hint="eastAsia" w:ascii="宋体" w:hAnsi="宋体" w:eastAsia="宋体" w:cs="宋体"/>
                <w:color w:val="C00000"/>
                <w:sz w:val="21"/>
                <w:szCs w:val="21"/>
              </w:rPr>
              <w:t xml:space="preserve">100% </w:t>
            </w:r>
          </w:p>
        </w:tc>
      </w:tr>
    </w:tbl>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color w:val="00B0F0"/>
          <w:sz w:val="21"/>
          <w:szCs w:val="21"/>
        </w:rPr>
      </w:pPr>
      <w:r>
        <w:rPr>
          <w:rFonts w:hint="eastAsia" w:ascii="宋体" w:hAnsi="宋体" w:eastAsia="宋体" w:cs="宋体"/>
          <w:color w:val="00B0F0"/>
          <w:sz w:val="21"/>
          <w:szCs w:val="21"/>
        </w:rPr>
        <w:t>4、凡涉及到国家税务及税收政策调整问题，则依据国家政策执行，结算时不再有任何争议。</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三、质保金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1、结账时，乙方先向学校缴存</w:t>
      </w:r>
      <w:r>
        <w:rPr>
          <w:rFonts w:hint="eastAsia" w:ascii="宋体" w:hAnsi="宋体" w:eastAsia="宋体" w:cs="宋体"/>
          <w:color w:val="FF0000"/>
          <w:sz w:val="21"/>
          <w:szCs w:val="21"/>
          <w:lang w:val="zh-CN"/>
        </w:rPr>
        <w:t>本工程项目造价编审费</w:t>
      </w:r>
      <w:r>
        <w:rPr>
          <w:rFonts w:hint="eastAsia" w:ascii="宋体" w:hAnsi="宋体" w:eastAsia="宋体" w:cs="宋体"/>
          <w:color w:val="FF0000"/>
          <w:sz w:val="21"/>
          <w:szCs w:val="21"/>
        </w:rPr>
        <w:t>XX元</w:t>
      </w:r>
      <w:r>
        <w:rPr>
          <w:rFonts w:hint="eastAsia" w:ascii="宋体" w:hAnsi="宋体" w:eastAsia="宋体" w:cs="宋体"/>
          <w:kern w:val="0"/>
          <w:sz w:val="21"/>
          <w:szCs w:val="21"/>
        </w:rPr>
        <w:t>（若有）和</w:t>
      </w:r>
      <w:r>
        <w:rPr>
          <w:rFonts w:hint="eastAsia" w:ascii="宋体" w:hAnsi="宋体" w:eastAsia="宋体" w:cs="宋体"/>
          <w:sz w:val="21"/>
          <w:szCs w:val="21"/>
        </w:rPr>
        <w:t>审定结算价的3％质保金，学校再按审定结算价的100％将工程款支付给乙方。</w:t>
      </w:r>
      <w:r>
        <w:rPr>
          <w:rFonts w:hint="eastAsia" w:ascii="宋体" w:hAnsi="宋体" w:eastAsia="宋体" w:cs="宋体"/>
          <w:color w:val="FF0000"/>
          <w:sz w:val="21"/>
          <w:szCs w:val="21"/>
        </w:rPr>
        <w:t>按照国家规定，在正常使用条件下，最低保修期限（或者双方约定的保修期限）</w:t>
      </w:r>
      <w:r>
        <w:rPr>
          <w:rFonts w:hint="eastAsia" w:ascii="宋体" w:hAnsi="宋体" w:eastAsia="宋体" w:cs="宋体"/>
          <w:sz w:val="21"/>
          <w:szCs w:val="21"/>
        </w:rPr>
        <w:t>满时，经学校修缮工程验收工作领导小组验收合格后无质量问题，乙方可按照《武汉工程大学建设工程审计意见书》</w:t>
      </w:r>
      <w:r>
        <w:rPr>
          <w:rFonts w:hint="eastAsia" w:ascii="宋体" w:hAnsi="宋体" w:eastAsia="宋体" w:cs="宋体"/>
          <w:kern w:val="0"/>
          <w:sz w:val="21"/>
          <w:szCs w:val="21"/>
        </w:rPr>
        <w:t>及施工合同书</w:t>
      </w:r>
      <w:r>
        <w:rPr>
          <w:rFonts w:hint="eastAsia" w:ascii="宋体" w:hAnsi="宋体" w:eastAsia="宋体" w:cs="宋体"/>
          <w:sz w:val="21"/>
          <w:szCs w:val="21"/>
        </w:rPr>
        <w:t>申领质保金，质保金不计算利息。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保修期内，乙方法人或委托代理人需保持联系电话畅通，二十四小时内应有回应。若乙方法人或委托代理人、联系电话及地址有变动，需及时来函告知，以便于双方沟通联系维修及办理质保金退还手续。若甲方</w:t>
      </w:r>
      <w:r>
        <w:rPr>
          <w:rFonts w:hint="eastAsia" w:ascii="宋体" w:hAnsi="宋体" w:eastAsia="宋体" w:cs="宋体"/>
          <w:color w:val="FF0000"/>
          <w:sz w:val="21"/>
          <w:szCs w:val="21"/>
        </w:rPr>
        <w:t>不能及时</w:t>
      </w:r>
      <w:r>
        <w:rPr>
          <w:rFonts w:hint="eastAsia" w:ascii="宋体" w:hAnsi="宋体" w:eastAsia="宋体" w:cs="宋体"/>
          <w:sz w:val="21"/>
          <w:szCs w:val="21"/>
        </w:rPr>
        <w:t>联系到乙方进行免费保修服务，甲方可自行委托其他施工单位进行维修，因此产生的维修费用将从质保金中扣除。</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四、双方的权利和义务</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（一）甲方权利</w:t>
      </w:r>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1、在乙方施工期间有权利监督乙方的工程质量、进度、安全文明施工，如果发现乙方在质量、工期、进度、现场安全文明施工有不满足施工合同要求时，甲方有权要求乙方及时整改、返工，由此造成的损失由乙方负责。若造成工期延误的，每延误壹日，甲方有权每日按照合同价的</w:t>
      </w:r>
      <w:r>
        <w:rPr>
          <w:rFonts w:hint="eastAsia" w:ascii="宋体" w:hAnsi="宋体" w:eastAsia="宋体" w:cs="宋体"/>
          <w:color w:val="FF0000"/>
          <w:sz w:val="21"/>
          <w:szCs w:val="21"/>
        </w:rPr>
        <w:t>3‰</w:t>
      </w:r>
      <w:r>
        <w:rPr>
          <w:rFonts w:hint="eastAsia" w:ascii="宋体" w:hAnsi="宋体" w:eastAsia="宋体" w:cs="宋体"/>
          <w:sz w:val="21"/>
          <w:szCs w:val="21"/>
        </w:rPr>
        <w:t>向乙方收取违约金，总额不超过合同价的5%。</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（二）甲方义务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1、施工期间，指派专人</w:t>
      </w:r>
      <w:r>
        <w:rPr>
          <w:rFonts w:hint="eastAsia" w:ascii="宋体" w:hAnsi="宋体" w:eastAsia="宋体" w:cs="宋体"/>
          <w:sz w:val="21"/>
          <w:szCs w:val="21"/>
          <w:u w:val="single"/>
        </w:rPr>
        <w:t xml:space="preserve"> </w:t>
      </w:r>
      <w:r>
        <w:rPr>
          <w:rFonts w:hint="eastAsia" w:ascii="宋体" w:hAnsi="宋体" w:eastAsia="宋体" w:cs="宋体"/>
          <w:color w:val="FF0000"/>
          <w:sz w:val="21"/>
          <w:szCs w:val="21"/>
          <w:u w:val="single"/>
        </w:rPr>
        <w:t>XX</w:t>
      </w:r>
      <w:r>
        <w:rPr>
          <w:rFonts w:hint="eastAsia" w:ascii="宋体" w:hAnsi="宋体" w:eastAsia="宋体" w:cs="宋体"/>
          <w:sz w:val="21"/>
          <w:szCs w:val="21"/>
          <w:u w:val="single"/>
        </w:rPr>
        <w:t xml:space="preserve"> </w:t>
      </w:r>
      <w:r>
        <w:rPr>
          <w:rFonts w:hint="eastAsia" w:ascii="宋体" w:hAnsi="宋体" w:eastAsia="宋体" w:cs="宋体"/>
          <w:sz w:val="21"/>
          <w:szCs w:val="21"/>
        </w:rPr>
        <w:t>（基建与维修处）、</w:t>
      </w:r>
      <w:r>
        <w:rPr>
          <w:rFonts w:hint="eastAsia" w:ascii="宋体" w:hAnsi="宋体" w:eastAsia="宋体" w:cs="宋体"/>
          <w:sz w:val="21"/>
          <w:szCs w:val="21"/>
          <w:u w:val="single"/>
        </w:rPr>
        <w:t xml:space="preserve">  </w:t>
      </w:r>
      <w:r>
        <w:rPr>
          <w:rFonts w:hint="eastAsia" w:ascii="宋体" w:hAnsi="宋体" w:eastAsia="宋体" w:cs="宋体"/>
          <w:color w:val="FF0000"/>
          <w:sz w:val="21"/>
          <w:szCs w:val="21"/>
          <w:u w:val="single"/>
        </w:rPr>
        <w:t>XX</w:t>
      </w:r>
      <w:r>
        <w:rPr>
          <w:rFonts w:hint="eastAsia" w:ascii="宋体" w:hAnsi="宋体" w:eastAsia="宋体" w:cs="宋体"/>
          <w:sz w:val="21"/>
          <w:szCs w:val="21"/>
          <w:u w:val="single"/>
        </w:rPr>
        <w:t xml:space="preserve">   </w:t>
      </w:r>
      <w:r>
        <w:rPr>
          <w:rFonts w:hint="eastAsia" w:ascii="宋体" w:hAnsi="宋体" w:eastAsia="宋体" w:cs="宋体"/>
          <w:sz w:val="21"/>
          <w:szCs w:val="21"/>
        </w:rPr>
        <w:t>（其他单位） 负责现场管理；负责协调处理校内有关部门关系，提供乙方施工用水、用电、材料堆放场地。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2、做好三通工作，使施工场地具备施工条件，并满足施工期间的需要。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3、尽可能提供各项施工技术资料。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4、根据《武汉工程大学修缮工程管理办法》（现行），甲方在收到乙方完整的工程竣工结算资料后，先对结算资料进行初审，再送至学校审计处进行审计。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5、甲方需及时通知乙方签收工程建设审计意见书。</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（三）乙方权利</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1、在施工期间，当甲方提出的专业问题，有不合理的地方，乙方有权提出自己的意见，并和甲方共同探讨可行性方案。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2、在甲方书面同意下，乙方可以处理在本工程活动中所产生的有利用价值的废品。                                                                                  </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（四）乙方义务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在施工现场显眼处设置施工标识牌（标明工程名称；建设单位及现场负责人、联系电话；施工单位及现场负责人、联系电话；开、竣工日期）；施工人员必须统一着装，佩戴胸牌及防护器具，必须具备较好的操作技能和安全生产、文明施工意识，服务态度热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2、乙方将施工所用主材先进行报验，提供主材的出厂证明、质量保证书、合格证及检验报告，经甲方代表现场书面确认后方可施工，并装订成册作为完工后结算资料报审计进行审核。</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3、乙方施工时，现场安全文明施工必须达到武汉市合格要求。乙方应采用必须的安全措施，施工现场指派专人</w:t>
      </w:r>
      <w:r>
        <w:rPr>
          <w:rFonts w:hint="eastAsia" w:ascii="宋体" w:hAnsi="宋体" w:eastAsia="宋体" w:cs="宋体"/>
          <w:color w:val="FF0000"/>
          <w:sz w:val="21"/>
          <w:szCs w:val="21"/>
          <w:u w:val="single"/>
        </w:rPr>
        <w:t>XXX</w:t>
      </w:r>
      <w:r>
        <w:rPr>
          <w:rFonts w:hint="eastAsia" w:ascii="宋体" w:hAnsi="宋体" w:eastAsia="宋体" w:cs="宋体"/>
          <w:sz w:val="21"/>
          <w:szCs w:val="21"/>
        </w:rPr>
        <w:t>负责施工现场安全。施工现场的任何安全事故（包括甲乙双方及第三人的人身</w:t>
      </w:r>
      <w:r>
        <w:rPr>
          <w:rFonts w:hint="eastAsia" w:ascii="宋体" w:hAnsi="宋体" w:eastAsia="宋体" w:cs="宋体"/>
          <w:color w:val="FF0000"/>
          <w:sz w:val="21"/>
          <w:szCs w:val="21"/>
        </w:rPr>
        <w:t>损害</w:t>
      </w:r>
      <w:r>
        <w:rPr>
          <w:rFonts w:hint="eastAsia" w:ascii="宋体" w:hAnsi="宋体" w:eastAsia="宋体" w:cs="宋体"/>
          <w:sz w:val="21"/>
          <w:szCs w:val="21"/>
        </w:rPr>
        <w:t>及财产损失事故），由乙方承担责任，甲方不</w:t>
      </w:r>
      <w:r>
        <w:rPr>
          <w:rFonts w:hint="eastAsia" w:ascii="宋体" w:hAnsi="宋体" w:eastAsia="宋体" w:cs="宋体"/>
          <w:color w:val="FF0000"/>
          <w:sz w:val="21"/>
          <w:szCs w:val="21"/>
        </w:rPr>
        <w:t>承担</w:t>
      </w:r>
      <w:r>
        <w:rPr>
          <w:rFonts w:hint="eastAsia" w:ascii="宋体" w:hAnsi="宋体" w:eastAsia="宋体" w:cs="宋体"/>
          <w:sz w:val="21"/>
          <w:szCs w:val="21"/>
        </w:rPr>
        <w:t>任何</w:t>
      </w:r>
      <w:r>
        <w:rPr>
          <w:rFonts w:hint="eastAsia" w:ascii="宋体" w:hAnsi="宋体" w:eastAsia="宋体" w:cs="宋体"/>
          <w:color w:val="FF0000"/>
          <w:sz w:val="21"/>
          <w:szCs w:val="21"/>
        </w:rPr>
        <w:t>赔偿</w:t>
      </w:r>
      <w:r>
        <w:rPr>
          <w:rFonts w:hint="eastAsia" w:ascii="宋体" w:hAnsi="宋体" w:eastAsia="宋体" w:cs="宋体"/>
          <w:sz w:val="21"/>
          <w:szCs w:val="21"/>
        </w:rPr>
        <w:t>任何责任。</w:t>
      </w:r>
      <w:r>
        <w:rPr>
          <w:rFonts w:hint="eastAsia" w:ascii="宋体" w:hAnsi="宋体" w:eastAsia="宋体" w:cs="宋体"/>
          <w:color w:val="FF0000"/>
          <w:sz w:val="21"/>
          <w:szCs w:val="21"/>
        </w:rPr>
        <w:t>甲方承担的，有权向乙方追偿。</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4、乙方应保护施工场地的环境，施工现场指派专人</w:t>
      </w:r>
      <w:r>
        <w:rPr>
          <w:rFonts w:hint="eastAsia" w:ascii="宋体" w:hAnsi="宋体" w:eastAsia="宋体" w:cs="宋体"/>
          <w:color w:val="FF0000"/>
          <w:sz w:val="21"/>
          <w:szCs w:val="21"/>
          <w:u w:val="single"/>
        </w:rPr>
        <w:t>XXX</w:t>
      </w:r>
      <w:r>
        <w:rPr>
          <w:rFonts w:hint="eastAsia" w:ascii="宋体" w:hAnsi="宋体" w:eastAsia="宋体" w:cs="宋体"/>
          <w:sz w:val="21"/>
          <w:szCs w:val="21"/>
        </w:rPr>
        <w:t>负责环保、健康及卫生清理。乙方要做好现场文明施工工作。建筑垃圾有组织地运输</w:t>
      </w:r>
      <w:r>
        <w:rPr>
          <w:rFonts w:hint="eastAsia" w:ascii="宋体" w:hAnsi="宋体" w:eastAsia="宋体" w:cs="宋体"/>
          <w:color w:val="FF0000"/>
          <w:sz w:val="21"/>
          <w:szCs w:val="21"/>
        </w:rPr>
        <w:t>至允许堆放地点</w:t>
      </w:r>
      <w:r>
        <w:rPr>
          <w:rFonts w:hint="eastAsia" w:ascii="宋体" w:hAnsi="宋体" w:eastAsia="宋体" w:cs="宋体"/>
          <w:sz w:val="21"/>
          <w:szCs w:val="21"/>
        </w:rPr>
        <w:t>，不得随意乱扔，</w:t>
      </w:r>
      <w:r>
        <w:rPr>
          <w:rFonts w:hint="eastAsia" w:ascii="宋体" w:hAnsi="宋体" w:eastAsia="宋体" w:cs="宋体"/>
          <w:color w:val="00B050"/>
          <w:sz w:val="21"/>
          <w:szCs w:val="21"/>
        </w:rPr>
        <w:t>否则由乙方承担法律责任</w:t>
      </w:r>
      <w:r>
        <w:rPr>
          <w:rFonts w:hint="eastAsia" w:ascii="宋体" w:hAnsi="宋体" w:eastAsia="宋体" w:cs="宋体"/>
          <w:sz w:val="21"/>
          <w:szCs w:val="21"/>
        </w:rPr>
        <w:t>。工程完工后，施工现场不得有施工用的工具、未用完的材料及建筑垃圾，对施工中产生的建筑垃圾及时运出校园外，做到工完场清。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5、乙方施工人员应遵守甲方各种规章制度、行为规范，服从甲方的现场管理。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6、由于质量问题造成的经济上的损失和工程工期上的延误，责任由乙方承担，甲方不负任何责任。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7、已竣工工程未交付甲方之前，乙方负责已完工程的保护工作，期间发生损坏，由乙方负责修复。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8、乙方必须提供给甲方真实完整的竣工资料。</w:t>
      </w:r>
    </w:p>
    <w:p>
      <w:pPr>
        <w:spacing w:line="360" w:lineRule="auto"/>
        <w:ind w:firstLine="555"/>
        <w:rPr>
          <w:rFonts w:hint="eastAsia" w:ascii="宋体" w:hAnsi="宋体" w:eastAsia="宋体" w:cs="宋体"/>
          <w:b/>
          <w:sz w:val="21"/>
          <w:szCs w:val="21"/>
        </w:rPr>
      </w:pPr>
      <w:r>
        <w:rPr>
          <w:rFonts w:hint="eastAsia" w:ascii="宋体" w:hAnsi="宋体" w:eastAsia="宋体" w:cs="宋体"/>
          <w:b/>
          <w:sz w:val="21"/>
          <w:szCs w:val="21"/>
        </w:rPr>
        <w:t>五、违约责任及处理规定</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(一)如果甲方未按合同的规定支付工程款，每延期一日按合同总价的</w:t>
      </w:r>
      <w:r>
        <w:rPr>
          <w:rFonts w:hint="eastAsia" w:ascii="宋体" w:hAnsi="宋体" w:eastAsia="宋体" w:cs="宋体"/>
          <w:color w:val="FF0000"/>
          <w:sz w:val="21"/>
          <w:szCs w:val="21"/>
        </w:rPr>
        <w:t>3‰金</w:t>
      </w:r>
      <w:r>
        <w:rPr>
          <w:rFonts w:hint="eastAsia" w:ascii="宋体" w:hAnsi="宋体" w:eastAsia="宋体" w:cs="宋体"/>
          <w:sz w:val="21"/>
          <w:szCs w:val="21"/>
        </w:rPr>
        <w:t>额计算违约金，总额不超过合同价的5%。</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(二)</w:t>
      </w:r>
      <w:r>
        <w:rPr>
          <w:rFonts w:hint="eastAsia" w:ascii="宋体" w:hAnsi="宋体" w:eastAsia="宋体" w:cs="宋体"/>
          <w:color w:val="FF0000"/>
          <w:sz w:val="21"/>
          <w:szCs w:val="21"/>
        </w:rPr>
        <w:t>乙方未按期完工，每逾期一日，按照合同总价的3‰支付甲方违约金，总额不超过合同价的5%；逾期超过30日，甲方有权解除合同，并要求乙方赔偿损失。</w:t>
      </w:r>
      <w:r>
        <w:rPr>
          <w:rFonts w:hint="eastAsia" w:ascii="宋体" w:hAnsi="宋体" w:eastAsia="宋体" w:cs="宋体"/>
          <w:sz w:val="21"/>
          <w:szCs w:val="21"/>
        </w:rPr>
        <w:t>乙方未认真履行合同，未兑现服务承诺，工程验收不合格，但未给甲方造成重大损失或不利影响的，甲方可责成乙方整改。并有权要求乙方按工程合同总价的3％向甲方支付违约金，由甲方直接从工程款中抵扣。</w:t>
      </w:r>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三）乙方未认真履行合同、兑现服务承诺，工程整改返工后验收仍不合格，或达不到招标文件要求的使用年限的，甲方可要求乙方按工程合同总价的10％支付违约金，违约金不足以弥补损失的，不足乙方另行支付。若造成重大损失或严重不利影响</w:t>
      </w:r>
      <w:r>
        <w:rPr>
          <w:rFonts w:hint="eastAsia" w:ascii="宋体" w:hAnsi="宋体" w:eastAsia="宋体" w:cs="宋体"/>
          <w:color w:val="FF0000"/>
          <w:sz w:val="21"/>
          <w:szCs w:val="21"/>
        </w:rPr>
        <w:t>或超过工期30日仍未验收合格，</w:t>
      </w:r>
      <w:r>
        <w:rPr>
          <w:rFonts w:hint="eastAsia" w:ascii="宋体" w:hAnsi="宋体" w:eastAsia="宋体" w:cs="宋体"/>
          <w:sz w:val="21"/>
          <w:szCs w:val="21"/>
        </w:rPr>
        <w:t>甲方有权单方面解除合同，并要求乙方赔偿损失。</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（四）因乙方原因，发生火灾、失窃等事件或乙方违反法律、法规和甲方规章制度的，甲方有权单方面解除合同，并责成乙方赔偿损失。</w:t>
      </w:r>
    </w:p>
    <w:p>
      <w:pPr>
        <w:spacing w:line="360" w:lineRule="auto"/>
        <w:ind w:firstLine="413" w:firstLineChars="197"/>
        <w:rPr>
          <w:rFonts w:hint="eastAsia" w:ascii="宋体" w:hAnsi="宋体" w:eastAsia="宋体" w:cs="宋体"/>
          <w:sz w:val="21"/>
          <w:szCs w:val="21"/>
        </w:rPr>
      </w:pPr>
      <w:r>
        <w:rPr>
          <w:rFonts w:hint="eastAsia" w:ascii="宋体" w:hAnsi="宋体" w:eastAsia="宋体" w:cs="宋体"/>
          <w:sz w:val="21"/>
          <w:szCs w:val="21"/>
        </w:rPr>
        <w:t>（五）乙方承诺已知晓并遵守甲方的各项规章制度，如有违反，</w:t>
      </w:r>
      <w:r>
        <w:rPr>
          <w:rFonts w:hint="eastAsia" w:ascii="宋体" w:hAnsi="宋体" w:eastAsia="宋体" w:cs="宋体"/>
          <w:color w:val="FF0000"/>
          <w:sz w:val="21"/>
          <w:szCs w:val="21"/>
        </w:rPr>
        <w:t>应支付甲方违约金，支付标准：参照甲方规章制度的处罚金额执行。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（六）因工作失误而造成甲方经济损失，由乙方负责赔偿经济损失（不可抗力的因素除外）。</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（七）乙方必须接受甲方对施工人员的服务质量、服务态度、安全等监督，若有违反相关的规定和质量标准，甲方有权开具通知书给乙方进行整改，并记录入信誉档案中。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（八）乙方不得将本项目转包、分包。如果发现转包、分包，甲方有权立即</w:t>
      </w:r>
      <w:r>
        <w:rPr>
          <w:rFonts w:hint="eastAsia" w:ascii="宋体" w:hAnsi="宋体" w:eastAsia="宋体" w:cs="宋体"/>
          <w:color w:val="FF0000"/>
          <w:sz w:val="21"/>
          <w:szCs w:val="21"/>
        </w:rPr>
        <w:t>解除</w:t>
      </w:r>
      <w:r>
        <w:rPr>
          <w:rFonts w:hint="eastAsia" w:ascii="宋体" w:hAnsi="宋体" w:eastAsia="宋体" w:cs="宋体"/>
          <w:sz w:val="21"/>
          <w:szCs w:val="21"/>
        </w:rPr>
        <w:t>合同，并追究乙方法律责任。</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六、合同的变更、终止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（一）合同期限内，本合同未尽事宜以双方协商书面形式补充协议为准；本合同与国家、省市人民政府强制性规定相抵触的，按国家、省、市有关规定执行。</w:t>
      </w:r>
    </w:p>
    <w:p>
      <w:pPr>
        <w:spacing w:line="36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（二）据实际工作的需要，双方可对本合同进行相应的补充、并以书面形式签订补充协议，补充协议与本合同具同等法律效力。补充协议不得与本合同及甲方</w:t>
      </w:r>
      <w:r>
        <w:rPr>
          <w:rFonts w:hint="eastAsia" w:ascii="宋体" w:hAnsi="宋体" w:eastAsia="宋体" w:cs="宋体"/>
          <w:color w:val="FF0000"/>
          <w:sz w:val="21"/>
          <w:szCs w:val="21"/>
        </w:rPr>
        <w:t>竞争性磋商采购文件（或者招标文件）</w:t>
      </w:r>
      <w:r>
        <w:rPr>
          <w:rFonts w:hint="eastAsia" w:ascii="宋体" w:hAnsi="宋体" w:eastAsia="宋体" w:cs="宋体"/>
          <w:sz w:val="21"/>
          <w:szCs w:val="21"/>
        </w:rPr>
        <w:t>、乙方</w:t>
      </w:r>
      <w:r>
        <w:rPr>
          <w:rFonts w:hint="eastAsia" w:ascii="宋体" w:hAnsi="宋体" w:eastAsia="宋体" w:cs="宋体"/>
          <w:color w:val="FF0000"/>
          <w:sz w:val="21"/>
          <w:szCs w:val="21"/>
        </w:rPr>
        <w:t>响应文件（或者投标文件）</w:t>
      </w:r>
      <w:r>
        <w:rPr>
          <w:rFonts w:hint="eastAsia" w:ascii="宋体" w:hAnsi="宋体" w:eastAsia="宋体" w:cs="宋体"/>
          <w:sz w:val="21"/>
          <w:szCs w:val="21"/>
        </w:rPr>
        <w:t>的实质性内容背离。</w:t>
      </w:r>
    </w:p>
    <w:p>
      <w:pPr>
        <w:spacing w:line="360" w:lineRule="auto"/>
        <w:ind w:left="-359" w:leftChars="-171" w:firstLine="728" w:firstLineChars="347"/>
        <w:rPr>
          <w:rFonts w:hint="eastAsia" w:ascii="宋体" w:hAnsi="宋体" w:eastAsia="宋体" w:cs="宋体"/>
          <w:sz w:val="21"/>
          <w:szCs w:val="21"/>
        </w:rPr>
      </w:pPr>
      <w:r>
        <w:rPr>
          <w:rFonts w:hint="eastAsia" w:ascii="宋体" w:hAnsi="宋体" w:eastAsia="宋体" w:cs="宋体"/>
          <w:sz w:val="21"/>
          <w:szCs w:val="21"/>
        </w:rPr>
        <w:t>（三）合同及附件和补充协议的签订、履行发生争议，甲乙双方协商解决，不能协商一致的，双方同意由甲方所在地人民法院诉讼解决。</w:t>
      </w:r>
    </w:p>
    <w:p>
      <w:pPr>
        <w:spacing w:line="360" w:lineRule="auto"/>
        <w:ind w:left="-359" w:leftChars="-171" w:firstLine="728" w:firstLineChars="347"/>
        <w:rPr>
          <w:rFonts w:hint="eastAsia" w:ascii="宋体" w:hAnsi="宋体" w:eastAsia="宋体" w:cs="宋体"/>
          <w:sz w:val="21"/>
          <w:szCs w:val="21"/>
        </w:rPr>
      </w:pPr>
      <w:r>
        <w:rPr>
          <w:rFonts w:hint="eastAsia" w:ascii="宋体" w:hAnsi="宋体" w:eastAsia="宋体" w:cs="宋体"/>
          <w:sz w:val="21"/>
          <w:szCs w:val="21"/>
        </w:rPr>
        <w:t>（四）合同壹式陆份，甲方执留叁份，乙方执留叁份。</w:t>
      </w:r>
    </w:p>
    <w:p>
      <w:pPr>
        <w:spacing w:line="360" w:lineRule="auto"/>
        <w:ind w:left="-359" w:leftChars="-171" w:firstLine="728" w:firstLineChars="347"/>
        <w:rPr>
          <w:rFonts w:hint="eastAsia" w:ascii="宋体" w:hAnsi="宋体" w:eastAsia="宋体" w:cs="宋体"/>
          <w:sz w:val="21"/>
          <w:szCs w:val="21"/>
        </w:rPr>
      </w:pPr>
      <w:r>
        <w:rPr>
          <w:rFonts w:hint="eastAsia" w:ascii="宋体" w:hAnsi="宋体" w:eastAsia="宋体" w:cs="宋体"/>
          <w:sz w:val="21"/>
          <w:szCs w:val="21"/>
        </w:rPr>
        <w:t>（五）合同经双方代表签字、盖章生效。</w:t>
      </w:r>
    </w:p>
    <w:p>
      <w:pPr>
        <w:widowControl/>
        <w:spacing w:line="360" w:lineRule="auto"/>
        <w:jc w:val="left"/>
        <w:rPr>
          <w:rFonts w:hint="eastAsia" w:ascii="宋体" w:hAnsi="宋体" w:eastAsia="宋体" w:cs="宋体"/>
          <w:sz w:val="21"/>
          <w:szCs w:val="21"/>
        </w:rPr>
      </w:pPr>
    </w:p>
    <w:p>
      <w:pPr>
        <w:widowControl/>
        <w:spacing w:line="360" w:lineRule="auto"/>
        <w:jc w:val="left"/>
        <w:rPr>
          <w:rFonts w:hint="eastAsia" w:ascii="宋体" w:hAnsi="宋体" w:eastAsia="宋体" w:cs="宋体"/>
          <w:sz w:val="21"/>
          <w:szCs w:val="21"/>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trPr>
        <w:tc>
          <w:tcPr>
            <w:tcW w:w="466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甲方: 武汉工程大学</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地址：武汉市东湖新技术开发区光谷一路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206号</w:t>
            </w:r>
          </w:p>
          <w:p>
            <w:pPr>
              <w:spacing w:line="360" w:lineRule="auto"/>
              <w:rPr>
                <w:rFonts w:hint="eastAsia" w:ascii="宋体" w:hAnsi="宋体" w:eastAsia="宋体" w:cs="宋体"/>
                <w:sz w:val="21"/>
                <w:szCs w:val="21"/>
              </w:rPr>
            </w:pPr>
            <w:r>
              <w:rPr>
                <w:rFonts w:hint="eastAsia" w:ascii="宋体" w:hAnsi="宋体" w:eastAsia="宋体" w:cs="宋体"/>
                <w:sz w:val="21"/>
                <w:szCs w:val="21"/>
              </w:rPr>
              <w:t>法人或委托代理人：</w:t>
            </w:r>
          </w:p>
          <w:p>
            <w:pPr>
              <w:spacing w:line="360" w:lineRule="auto"/>
              <w:rPr>
                <w:rFonts w:hint="eastAsia" w:ascii="宋体" w:hAnsi="宋体" w:eastAsia="宋体" w:cs="宋体"/>
                <w:sz w:val="21"/>
                <w:szCs w:val="21"/>
              </w:rPr>
            </w:pPr>
            <w:r>
              <w:rPr>
                <w:rFonts w:hint="eastAsia" w:ascii="宋体" w:hAnsi="宋体" w:eastAsia="宋体" w:cs="宋体"/>
                <w:sz w:val="21"/>
                <w:szCs w:val="21"/>
              </w:rPr>
              <w:t>电话：027-87992005</w:t>
            </w:r>
          </w:p>
          <w:p>
            <w:pPr>
              <w:spacing w:line="360" w:lineRule="auto"/>
              <w:rPr>
                <w:rFonts w:hint="eastAsia" w:ascii="宋体" w:hAnsi="宋体" w:eastAsia="宋体" w:cs="宋体"/>
                <w:sz w:val="21"/>
                <w:szCs w:val="21"/>
              </w:rPr>
            </w:pPr>
            <w:r>
              <w:rPr>
                <w:rFonts w:hint="eastAsia" w:ascii="宋体" w:hAnsi="宋体" w:eastAsia="宋体" w:cs="宋体"/>
                <w:sz w:val="21"/>
                <w:szCs w:val="21"/>
              </w:rPr>
              <w:t>传真：</w:t>
            </w:r>
          </w:p>
          <w:p>
            <w:pPr>
              <w:spacing w:line="360" w:lineRule="auto"/>
              <w:rPr>
                <w:rFonts w:hint="eastAsia" w:ascii="宋体" w:hAnsi="宋体" w:eastAsia="宋体" w:cs="宋体"/>
                <w:sz w:val="21"/>
                <w:szCs w:val="21"/>
              </w:rPr>
            </w:pPr>
            <w:r>
              <w:rPr>
                <w:rFonts w:hint="eastAsia" w:ascii="宋体" w:hAnsi="宋体" w:eastAsia="宋体" w:cs="宋体"/>
                <w:sz w:val="21"/>
                <w:szCs w:val="21"/>
              </w:rPr>
              <w:t>经费来源单位：</w:t>
            </w:r>
          </w:p>
          <w:p>
            <w:pPr>
              <w:spacing w:line="360" w:lineRule="auto"/>
              <w:rPr>
                <w:rFonts w:hint="eastAsia" w:ascii="宋体" w:hAnsi="宋体" w:eastAsia="宋体" w:cs="宋体"/>
                <w:sz w:val="21"/>
                <w:szCs w:val="21"/>
              </w:rPr>
            </w:pPr>
            <w:r>
              <w:rPr>
                <w:rFonts w:hint="eastAsia" w:ascii="宋体" w:hAnsi="宋体" w:eastAsia="宋体" w:cs="宋体"/>
                <w:sz w:val="21"/>
                <w:szCs w:val="21"/>
              </w:rPr>
              <w:t>统一社会信用代码：12420000441626834Y</w:t>
            </w:r>
          </w:p>
          <w:p>
            <w:pPr>
              <w:spacing w:line="360" w:lineRule="auto"/>
              <w:rPr>
                <w:rFonts w:hint="eastAsia" w:ascii="宋体" w:hAnsi="宋体" w:eastAsia="宋体" w:cs="宋体"/>
                <w:sz w:val="21"/>
                <w:szCs w:val="21"/>
              </w:rPr>
            </w:pPr>
            <w:r>
              <w:rPr>
                <w:rFonts w:hint="eastAsia" w:ascii="宋体" w:hAnsi="宋体" w:eastAsia="宋体" w:cs="宋体"/>
                <w:sz w:val="21"/>
                <w:szCs w:val="21"/>
              </w:rPr>
              <w:t>开户银行：中国农业银行化工学院支行</w:t>
            </w:r>
          </w:p>
          <w:p>
            <w:pPr>
              <w:spacing w:line="360" w:lineRule="auto"/>
              <w:rPr>
                <w:rFonts w:hint="eastAsia" w:ascii="宋体" w:hAnsi="宋体" w:eastAsia="宋体" w:cs="宋体"/>
                <w:sz w:val="21"/>
                <w:szCs w:val="21"/>
              </w:rPr>
            </w:pPr>
            <w:r>
              <w:rPr>
                <w:rFonts w:hint="eastAsia" w:ascii="宋体" w:hAnsi="宋体" w:eastAsia="宋体" w:cs="宋体"/>
                <w:sz w:val="21"/>
                <w:szCs w:val="21"/>
              </w:rPr>
              <w:t>账号：1703 9801 0400 07128</w:t>
            </w:r>
          </w:p>
          <w:p>
            <w:pPr>
              <w:spacing w:line="360" w:lineRule="auto"/>
              <w:rPr>
                <w:rFonts w:hint="eastAsia" w:ascii="宋体" w:hAnsi="宋体" w:eastAsia="宋体" w:cs="宋体"/>
                <w:sz w:val="21"/>
                <w:szCs w:val="21"/>
              </w:rPr>
            </w:pPr>
            <w:r>
              <w:rPr>
                <w:rFonts w:hint="eastAsia" w:ascii="宋体" w:hAnsi="宋体" w:eastAsia="宋体" w:cs="宋体"/>
                <w:sz w:val="21"/>
                <w:szCs w:val="21"/>
              </w:rPr>
              <w:t>邮政编码：430070</w:t>
            </w:r>
          </w:p>
          <w:p>
            <w:pPr>
              <w:spacing w:line="360" w:lineRule="auto"/>
              <w:ind w:firstLine="105" w:firstLineChars="50"/>
              <w:rPr>
                <w:rFonts w:hint="eastAsia" w:ascii="宋体" w:hAnsi="宋体" w:eastAsia="宋体" w:cs="宋体"/>
                <w:sz w:val="21"/>
                <w:szCs w:val="21"/>
              </w:rPr>
            </w:pPr>
            <w:r>
              <w:rPr>
                <w:rFonts w:hint="eastAsia" w:ascii="宋体" w:hAnsi="宋体" w:eastAsia="宋体" w:cs="宋体"/>
                <w:sz w:val="21"/>
                <w:szCs w:val="21"/>
              </w:rPr>
              <w:t>日期： 20   年    月   日</w:t>
            </w:r>
          </w:p>
        </w:tc>
        <w:tc>
          <w:tcPr>
            <w:tcW w:w="502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359" w:leftChars="-171" w:firstLine="420" w:firstLineChars="200"/>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color w:val="FF0000"/>
                <w:sz w:val="21"/>
                <w:szCs w:val="21"/>
              </w:rPr>
              <w:t>XX</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地址：</w:t>
            </w:r>
            <w:r>
              <w:rPr>
                <w:rFonts w:hint="eastAsia" w:ascii="宋体" w:hAnsi="宋体" w:eastAsia="宋体" w:cs="宋体"/>
                <w:color w:val="FF0000"/>
                <w:sz w:val="21"/>
                <w:szCs w:val="21"/>
              </w:rPr>
              <w:t>XX</w:t>
            </w:r>
          </w:p>
          <w:p>
            <w:pPr>
              <w:spacing w:line="360" w:lineRule="auto"/>
              <w:ind w:left="-359" w:leftChars="-171" w:firstLine="420" w:firstLineChars="200"/>
              <w:rPr>
                <w:rFonts w:hint="eastAsia" w:ascii="宋体" w:hAnsi="宋体" w:eastAsia="宋体" w:cs="宋体"/>
                <w:sz w:val="21"/>
                <w:szCs w:val="21"/>
              </w:rPr>
            </w:pPr>
            <w:r>
              <w:rPr>
                <w:rFonts w:hint="eastAsia" w:ascii="宋体" w:hAnsi="宋体" w:eastAsia="宋体" w:cs="宋体"/>
                <w:sz w:val="21"/>
                <w:szCs w:val="21"/>
              </w:rPr>
              <w:t>法人或委托代理人：</w:t>
            </w:r>
            <w:r>
              <w:rPr>
                <w:rFonts w:hint="eastAsia" w:ascii="宋体" w:hAnsi="宋体" w:eastAsia="宋体" w:cs="宋体"/>
                <w:color w:val="FF0000"/>
                <w:sz w:val="21"/>
                <w:szCs w:val="21"/>
              </w:rPr>
              <w:t>XX</w:t>
            </w:r>
          </w:p>
          <w:p>
            <w:pPr>
              <w:spacing w:line="360" w:lineRule="auto"/>
              <w:ind w:left="-359" w:leftChars="-171" w:firstLine="420" w:firstLineChars="200"/>
              <w:rPr>
                <w:rFonts w:hint="eastAsia" w:ascii="宋体" w:hAnsi="宋体" w:eastAsia="宋体" w:cs="宋体"/>
                <w:sz w:val="21"/>
                <w:szCs w:val="21"/>
              </w:rPr>
            </w:pPr>
            <w:r>
              <w:rPr>
                <w:rFonts w:hint="eastAsia" w:ascii="宋体" w:hAnsi="宋体" w:eastAsia="宋体" w:cs="宋体"/>
                <w:sz w:val="21"/>
                <w:szCs w:val="21"/>
              </w:rPr>
              <w:t>传真：</w:t>
            </w:r>
            <w:r>
              <w:rPr>
                <w:rFonts w:hint="eastAsia" w:ascii="宋体" w:hAnsi="宋体" w:eastAsia="宋体" w:cs="宋体"/>
                <w:color w:val="FF0000"/>
                <w:sz w:val="21"/>
                <w:szCs w:val="21"/>
              </w:rPr>
              <w:t>XX</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电话：</w:t>
            </w:r>
            <w:r>
              <w:rPr>
                <w:rFonts w:hint="eastAsia" w:ascii="宋体" w:hAnsi="宋体" w:eastAsia="宋体" w:cs="宋体"/>
                <w:color w:val="FF0000"/>
                <w:sz w:val="21"/>
                <w:szCs w:val="21"/>
              </w:rPr>
              <w:t>XX</w:t>
            </w:r>
          </w:p>
          <w:p>
            <w:pPr>
              <w:spacing w:line="360" w:lineRule="auto"/>
              <w:ind w:firstLine="105" w:firstLineChars="50"/>
              <w:rPr>
                <w:rFonts w:hint="eastAsia" w:ascii="宋体" w:hAnsi="宋体" w:eastAsia="宋体" w:cs="宋体"/>
                <w:sz w:val="21"/>
                <w:szCs w:val="21"/>
              </w:rPr>
            </w:pPr>
            <w:r>
              <w:rPr>
                <w:rFonts w:hint="eastAsia" w:ascii="宋体" w:hAnsi="宋体" w:eastAsia="宋体" w:cs="宋体"/>
                <w:sz w:val="21"/>
                <w:szCs w:val="21"/>
              </w:rPr>
              <w:t>开户银行：</w:t>
            </w:r>
            <w:r>
              <w:rPr>
                <w:rFonts w:hint="eastAsia" w:ascii="宋体" w:hAnsi="宋体" w:eastAsia="宋体" w:cs="宋体"/>
                <w:color w:val="FF0000"/>
                <w:sz w:val="21"/>
                <w:szCs w:val="21"/>
              </w:rPr>
              <w:t>XX</w:t>
            </w:r>
          </w:p>
          <w:p>
            <w:pPr>
              <w:spacing w:line="360" w:lineRule="auto"/>
              <w:ind w:firstLine="105" w:firstLineChars="50"/>
              <w:rPr>
                <w:rFonts w:hint="eastAsia" w:ascii="宋体" w:hAnsi="宋体" w:eastAsia="宋体" w:cs="宋体"/>
                <w:sz w:val="21"/>
                <w:szCs w:val="21"/>
              </w:rPr>
            </w:pPr>
            <w:r>
              <w:rPr>
                <w:rFonts w:hint="eastAsia" w:ascii="宋体" w:hAnsi="宋体" w:eastAsia="宋体" w:cs="宋体"/>
                <w:sz w:val="21"/>
                <w:szCs w:val="21"/>
              </w:rPr>
              <w:t>账号：</w:t>
            </w:r>
            <w:r>
              <w:rPr>
                <w:rFonts w:hint="eastAsia" w:ascii="宋体" w:hAnsi="宋体" w:eastAsia="宋体" w:cs="宋体"/>
                <w:color w:val="FF0000"/>
                <w:sz w:val="21"/>
                <w:szCs w:val="21"/>
              </w:rPr>
              <w:t>XX</w:t>
            </w:r>
          </w:p>
          <w:p>
            <w:pPr>
              <w:spacing w:line="360" w:lineRule="auto"/>
              <w:ind w:left="-359" w:leftChars="-171" w:firstLine="420" w:firstLineChars="200"/>
              <w:rPr>
                <w:rFonts w:hint="eastAsia" w:ascii="宋体" w:hAnsi="宋体" w:eastAsia="宋体" w:cs="宋体"/>
                <w:sz w:val="21"/>
                <w:szCs w:val="21"/>
              </w:rPr>
            </w:pPr>
            <w:r>
              <w:rPr>
                <w:rFonts w:hint="eastAsia" w:ascii="宋体" w:hAnsi="宋体" w:eastAsia="宋体" w:cs="宋体"/>
                <w:sz w:val="21"/>
                <w:szCs w:val="21"/>
              </w:rPr>
              <w:t>邮政编码：</w:t>
            </w:r>
          </w:p>
          <w:p>
            <w:pPr>
              <w:spacing w:line="360" w:lineRule="auto"/>
              <w:ind w:left="-359" w:leftChars="-171" w:firstLine="420" w:firstLineChars="200"/>
              <w:rPr>
                <w:rFonts w:hint="eastAsia" w:ascii="宋体" w:hAnsi="宋体" w:eastAsia="宋体" w:cs="宋体"/>
                <w:sz w:val="21"/>
                <w:szCs w:val="21"/>
              </w:rPr>
            </w:pPr>
            <w:r>
              <w:rPr>
                <w:rFonts w:hint="eastAsia" w:ascii="宋体" w:hAnsi="宋体" w:eastAsia="宋体" w:cs="宋体"/>
                <w:sz w:val="21"/>
                <w:szCs w:val="21"/>
              </w:rPr>
              <w:t>日 期：20  年   月   日</w:t>
            </w:r>
          </w:p>
        </w:tc>
      </w:tr>
    </w:tbl>
    <w:p>
      <w:pPr>
        <w:outlineLvl w:val="9"/>
        <w:rPr>
          <w:rFonts w:hint="eastAsia" w:asciiTheme="minorEastAsia" w:hAnsiTheme="minorEastAsia" w:eastAsiaTheme="minorEastAsia" w:cstheme="minorEastAsia"/>
          <w:kern w:val="0"/>
          <w:szCs w:val="21"/>
        </w:rPr>
      </w:pPr>
    </w:p>
    <w:p>
      <w:pPr>
        <w:outlineLvl w:val="9"/>
        <w:rPr>
          <w:rFonts w:hint="eastAsia"/>
        </w:rPr>
      </w:pPr>
    </w:p>
    <w:p>
      <w:pPr>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br w:type="textWrapping"/>
      </w:r>
    </w:p>
    <w:p>
      <w:pPr>
        <w:rPr>
          <w:rFonts w:hint="eastAsia"/>
        </w:rPr>
      </w:pPr>
    </w:p>
    <w:p>
      <w:pPr>
        <w:pStyle w:val="3"/>
        <w:numPr>
          <w:ilvl w:val="0"/>
          <w:numId w:val="4"/>
        </w:numPr>
        <w:jc w:val="center"/>
        <w:rPr>
          <w:rFonts w:hint="eastAsia" w:asciiTheme="minorEastAsia" w:hAnsiTheme="minorEastAsia" w:eastAsiaTheme="minorEastAsia" w:cstheme="minorEastAsia"/>
          <w:sz w:val="36"/>
          <w:szCs w:val="36"/>
        </w:rPr>
      </w:pPr>
      <w:bookmarkStart w:id="117" w:name="_Toc18023"/>
      <w:r>
        <w:rPr>
          <w:rFonts w:hint="eastAsia" w:asciiTheme="minorEastAsia" w:hAnsiTheme="minorEastAsia" w:eastAsiaTheme="minorEastAsia" w:cstheme="minorEastAsia"/>
          <w:sz w:val="36"/>
          <w:szCs w:val="36"/>
        </w:rPr>
        <w:t>竞争性磋商响应文件格式</w:t>
      </w:r>
      <w:bookmarkEnd w:id="117"/>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8" w:name="_Toc5751"/>
      <w:bookmarkStart w:id="119"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8"/>
    <w:bookmarkEnd w:id="119"/>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20" w:name="_Toc360174584"/>
      <w:bookmarkStart w:id="121" w:name="_Toc264644272"/>
      <w:bookmarkStart w:id="122" w:name="_Toc211783342"/>
      <w:bookmarkStart w:id="123" w:name="_Toc11320441"/>
      <w:bookmarkStart w:id="124" w:name="_Toc533330957"/>
      <w:bookmarkStart w:id="125"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0"/>
      <w:bookmarkEnd w:id="121"/>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6" w:name="_Toc15737"/>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6"/>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7" w:name="_Toc30144"/>
      <w:bookmarkStart w:id="128" w:name="_Toc18054"/>
      <w:bookmarkStart w:id="129" w:name="_Toc15789"/>
      <w:bookmarkStart w:id="130" w:name="_Toc479184125"/>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7"/>
      <w:bookmarkEnd w:id="128"/>
      <w:bookmarkEnd w:id="129"/>
      <w:bookmarkEnd w:id="130"/>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工程</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31" w:name="_Toc13969"/>
      <w:bookmarkStart w:id="132" w:name="_Toc24205"/>
      <w:bookmarkStart w:id="133" w:name="_Toc2706"/>
      <w:bookmarkStart w:id="134"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31"/>
      <w:bookmarkEnd w:id="132"/>
      <w:bookmarkEnd w:id="133"/>
      <w:bookmarkEnd w:id="134"/>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5" w:name="_Toc29143"/>
      <w:bookmarkStart w:id="136" w:name="_Toc479184127"/>
      <w:bookmarkStart w:id="137" w:name="_Toc360120184"/>
      <w:bookmarkStart w:id="138" w:name="_Toc424832832"/>
      <w:bookmarkStart w:id="139" w:name="_Toc29904"/>
      <w:bookmarkStart w:id="140" w:name="_Toc30245"/>
      <w:bookmarkStart w:id="141" w:name="_Toc432149008"/>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5"/>
      <w:bookmarkEnd w:id="136"/>
      <w:bookmarkEnd w:id="137"/>
      <w:bookmarkEnd w:id="138"/>
      <w:bookmarkEnd w:id="139"/>
      <w:bookmarkEnd w:id="140"/>
      <w:bookmarkEnd w:id="141"/>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2" w:name="_Toc422466732"/>
      <w:bookmarkStart w:id="143" w:name="_Toc432149006"/>
      <w:r>
        <w:rPr>
          <w:rFonts w:hint="eastAsia" w:asciiTheme="minorEastAsia" w:hAnsiTheme="minorEastAsia" w:eastAsiaTheme="minorEastAsia" w:cstheme="minorEastAsia"/>
          <w:b/>
          <w:bCs/>
          <w:sz w:val="24"/>
        </w:rPr>
        <w:br w:type="page"/>
      </w:r>
      <w:bookmarkStart w:id="144" w:name="_Toc6201"/>
      <w:bookmarkStart w:id="145" w:name="_Toc4301"/>
      <w:bookmarkStart w:id="146" w:name="_Toc4741"/>
      <w:bookmarkStart w:id="147" w:name="_Toc479184128"/>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42"/>
      <w:bookmarkEnd w:id="143"/>
      <w:bookmarkEnd w:id="144"/>
      <w:bookmarkEnd w:id="145"/>
      <w:bookmarkEnd w:id="146"/>
      <w:bookmarkEnd w:id="147"/>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工</w:t>
            </w:r>
            <w:r>
              <w:rPr>
                <w:rFonts w:hint="eastAsia" w:asciiTheme="minorEastAsia" w:hAnsiTheme="minorEastAsia" w:eastAsiaTheme="minorEastAsia" w:cstheme="minorEastAsia"/>
                <w:szCs w:val="21"/>
              </w:rPr>
              <w:t>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工程质量标准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项目经理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姓名：</w:t>
            </w:r>
            <w:r>
              <w:rPr>
                <w:rFonts w:hint="eastAsia"/>
                <w:lang w:val="en-US" w:eastAsia="zh-CN"/>
              </w:rPr>
              <w:br w:type="textWrapping"/>
            </w:r>
            <w:r>
              <w:rPr>
                <w:rFonts w:hint="eastAsia"/>
                <w:lang w:val="en-US" w:eastAsia="zh-CN"/>
              </w:rPr>
              <w:t>身份证号：</w:t>
            </w:r>
            <w:r>
              <w:rPr>
                <w:rFonts w:hint="eastAsia"/>
                <w:lang w:val="en-US" w:eastAsia="zh-CN"/>
              </w:rPr>
              <w:br w:type="textWrapping"/>
            </w:r>
            <w:r>
              <w:rPr>
                <w:rFonts w:hint="eastAsia"/>
                <w:lang w:val="en-US" w:eastAsia="zh-CN"/>
              </w:rPr>
              <w:t>注册类型及等级：</w:t>
            </w:r>
            <w:r>
              <w:rPr>
                <w:rFonts w:hint="eastAsia"/>
                <w:lang w:val="en-US" w:eastAsia="zh-CN"/>
              </w:rPr>
              <w:br w:type="textWrapping"/>
            </w:r>
            <w:r>
              <w:rPr>
                <w:rFonts w:hint="eastAsia"/>
                <w:lang w:val="en-US" w:eastAsia="zh-CN"/>
              </w:rPr>
              <w:t>注册证书编号：</w:t>
            </w:r>
            <w:r>
              <w:rPr>
                <w:rFonts w:hint="eastAsia"/>
                <w:lang w:val="en-US" w:eastAsia="zh-CN"/>
              </w:rPr>
              <w:br w:type="textWrapping"/>
            </w:r>
            <w:r>
              <w:rPr>
                <w:rFonts w:hint="eastAsia"/>
                <w:lang w:val="en-US" w:eastAsia="zh-CN"/>
              </w:rPr>
              <w:t>注册专业及有效期：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val="en-US" w:eastAsia="zh-CN"/>
        </w:rPr>
      </w:pPr>
      <w:bookmarkStart w:id="148" w:name="_Toc259028723"/>
      <w:bookmarkStart w:id="149" w:name="_Toc460258117"/>
      <w:bookmarkStart w:id="150" w:name="_Toc424832831"/>
      <w:bookmarkStart w:id="151" w:name="_Toc432149007"/>
      <w:r>
        <w:rPr>
          <w:rFonts w:hint="eastAsia" w:asciiTheme="minorEastAsia" w:hAnsiTheme="minorEastAsia" w:eastAsiaTheme="minorEastAsia" w:cstheme="minorEastAsia"/>
          <w:b/>
          <w:bCs/>
          <w:sz w:val="24"/>
        </w:rPr>
        <w:br w:type="page"/>
      </w:r>
      <w:bookmarkStart w:id="152" w:name="_Toc479184129"/>
      <w:bookmarkStart w:id="153" w:name="_Toc1079"/>
      <w:bookmarkStart w:id="154" w:name="_Toc18559"/>
      <w:bookmarkStart w:id="155" w:name="_Toc27957"/>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48"/>
      <w:bookmarkEnd w:id="149"/>
      <w:bookmarkEnd w:id="152"/>
      <w:bookmarkEnd w:id="153"/>
      <w:bookmarkEnd w:id="154"/>
      <w:r>
        <w:rPr>
          <w:rFonts w:hint="eastAsia" w:asciiTheme="minorEastAsia" w:hAnsiTheme="minorEastAsia" w:eastAsiaTheme="minorEastAsia" w:cstheme="minorEastAsia"/>
          <w:b/>
          <w:bCs/>
          <w:szCs w:val="21"/>
          <w:lang w:val="en-US" w:eastAsia="zh-CN"/>
        </w:rPr>
        <w:t>竞标</w:t>
      </w:r>
      <w:r>
        <w:rPr>
          <w:rFonts w:hint="eastAsia" w:asciiTheme="minorEastAsia" w:hAnsiTheme="minorEastAsia" w:eastAsiaTheme="minorEastAsia" w:cstheme="minorEastAsia"/>
          <w:b/>
          <w:bCs/>
          <w:szCs w:val="21"/>
          <w:lang w:eastAsia="zh-CN"/>
        </w:rPr>
        <w:t>分项报价表</w:t>
      </w:r>
      <w:bookmarkEnd w:id="155"/>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各供应商按照工程量清单的形式进行报价。</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6" w:name="_Toc479184130"/>
      <w:bookmarkStart w:id="157" w:name="_Toc26825"/>
      <w:bookmarkStart w:id="158" w:name="_Toc28656"/>
      <w:bookmarkStart w:id="159" w:name="_Toc16331"/>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56"/>
      <w:bookmarkEnd w:id="157"/>
      <w:bookmarkEnd w:id="158"/>
      <w:bookmarkEnd w:id="159"/>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0" w:name="_Toc7535"/>
      <w:bookmarkStart w:id="161" w:name="_Toc5530"/>
      <w:bookmarkStart w:id="162" w:name="_Toc32726"/>
      <w:bookmarkStart w:id="163" w:name="_Toc479184131"/>
      <w:r>
        <w:rPr>
          <w:rFonts w:hint="eastAsia" w:asciiTheme="minorEastAsia" w:hAnsiTheme="minorEastAsia" w:eastAsiaTheme="minorEastAsia" w:cstheme="minorEastAsia"/>
          <w:b/>
          <w:bCs/>
          <w:szCs w:val="21"/>
          <w:lang w:val="en-US" w:eastAsia="zh-CN"/>
        </w:rPr>
        <w:t>七、拟投入设备/备件、工具情况</w:t>
      </w:r>
      <w:bookmarkEnd w:id="160"/>
      <w:bookmarkEnd w:id="161"/>
      <w:bookmarkEnd w:id="162"/>
      <w:bookmarkEnd w:id="163"/>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4" w:name="_Toc27053"/>
      <w:bookmarkStart w:id="165" w:name="_Toc479184132"/>
      <w:bookmarkStart w:id="166" w:name="_Toc450827818"/>
      <w:bookmarkStart w:id="167" w:name="_Toc10449"/>
      <w:bookmarkStart w:id="168" w:name="_Toc9454"/>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4"/>
      <w:bookmarkEnd w:id="165"/>
      <w:bookmarkEnd w:id="166"/>
      <w:bookmarkEnd w:id="167"/>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8"/>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9" w:name="_Toc28200"/>
      <w:bookmarkStart w:id="170" w:name="_Toc432149012"/>
      <w:bookmarkStart w:id="171" w:name="_Toc1591"/>
      <w:bookmarkStart w:id="172" w:name="_Toc422466736"/>
      <w:bookmarkStart w:id="173" w:name="_Toc6238"/>
      <w:bookmarkStart w:id="174" w:name="_Toc47918413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69"/>
      <w:bookmarkEnd w:id="170"/>
      <w:bookmarkEnd w:id="171"/>
      <w:bookmarkEnd w:id="172"/>
      <w:bookmarkEnd w:id="173"/>
      <w:bookmarkEnd w:id="174"/>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432149013"/>
      <w:bookmarkStart w:id="176" w:name="_Toc32060"/>
      <w:bookmarkStart w:id="177" w:name="_Toc479184134"/>
      <w:bookmarkStart w:id="178" w:name="_Toc28283"/>
      <w:bookmarkStart w:id="179" w:name="_Toc362935521"/>
      <w:bookmarkStart w:id="180" w:name="_Toc7864"/>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szCs w:val="21"/>
        </w:rPr>
        <w:br w:type="textWrapping"/>
      </w:r>
      <w:bookmarkEnd w:id="180"/>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项目经理</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1" w:name="_Toc460258118"/>
      <w:bookmarkStart w:id="182"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30455"/>
      <w:bookmarkStart w:id="184" w:name="_Toc4834"/>
      <w:bookmarkStart w:id="185" w:name="_Toc479184135"/>
      <w:bookmarkStart w:id="186" w:name="_Toc23258"/>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81"/>
      <w:bookmarkEnd w:id="182"/>
      <w:bookmarkEnd w:id="183"/>
      <w:bookmarkEnd w:id="184"/>
      <w:bookmarkEnd w:id="185"/>
      <w:bookmarkEnd w:id="186"/>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7" w:name="_Toc10429"/>
      <w:bookmarkStart w:id="188" w:name="_Toc432149014"/>
      <w:bookmarkStart w:id="189" w:name="_Toc422466737"/>
      <w:bookmarkStart w:id="190" w:name="_Toc479184136"/>
      <w:bookmarkStart w:id="191" w:name="_Toc26838"/>
      <w:bookmarkStart w:id="192" w:name="_Toc955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3" w:name="_Toc479184137"/>
      <w:bookmarkStart w:id="194" w:name="_Toc259028731"/>
      <w:bookmarkStart w:id="195" w:name="_Toc17331"/>
      <w:bookmarkStart w:id="196" w:name="_Toc17406"/>
      <w:bookmarkStart w:id="197" w:name="_Toc450827823"/>
      <w:bookmarkStart w:id="198" w:name="_Toc1752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3"/>
      <w:bookmarkEnd w:id="194"/>
      <w:bookmarkEnd w:id="195"/>
      <w:bookmarkEnd w:id="196"/>
      <w:bookmarkEnd w:id="197"/>
      <w:bookmarkEnd w:id="198"/>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400" w:lineRule="exact"/>
        <w:ind w:firstLine="210" w:firstLineChars="100"/>
        <w:jc w:val="center"/>
        <w:outlineLvl w:val="9"/>
        <w:rPr>
          <w:rFonts w:hint="eastAsia" w:ascii="宋体" w:hAnsi="宋体" w:eastAsiaTheme="minorEastAsia"/>
          <w:b/>
          <w:szCs w:val="21"/>
          <w:lang w:val="en-US" w:eastAsia="zh-CN"/>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9" w:name="_Toc427239751"/>
      <w:bookmarkStart w:id="200" w:name="_Toc358447587"/>
      <w:bookmarkStart w:id="201" w:name="_Toc364868916"/>
      <w:bookmarkStart w:id="202" w:name="_Toc5793"/>
      <w:bookmarkStart w:id="203" w:name="_Toc18555"/>
      <w:bookmarkStart w:id="204" w:name="_Toc290207179"/>
      <w:bookmarkStart w:id="205" w:name="_Toc32187"/>
      <w:r>
        <w:rPr>
          <w:rFonts w:hint="eastAsia" w:asciiTheme="minorEastAsia" w:hAnsiTheme="minorEastAsia" w:eastAsiaTheme="minorEastAsia" w:cstheme="minorEastAsia"/>
          <w:b/>
          <w:bCs/>
          <w:kern w:val="0"/>
          <w:szCs w:val="21"/>
          <w:lang w:val="en-US" w:eastAsia="zh-CN"/>
        </w:rPr>
        <w:t>十四、</w:t>
      </w:r>
      <w:r>
        <w:rPr>
          <w:rFonts w:hint="eastAsia" w:asciiTheme="minorEastAsia" w:hAnsiTheme="minorEastAsia" w:eastAsiaTheme="minorEastAsia" w:cstheme="minorEastAsia"/>
          <w:b/>
          <w:bCs/>
          <w:kern w:val="0"/>
          <w:szCs w:val="21"/>
        </w:rPr>
        <w:t>机构配备情况</w:t>
      </w:r>
      <w:bookmarkEnd w:id="199"/>
      <w:bookmarkEnd w:id="200"/>
      <w:bookmarkEnd w:id="201"/>
      <w:bookmarkEnd w:id="202"/>
      <w:bookmarkEnd w:id="203"/>
      <w:bookmarkEnd w:id="204"/>
      <w:bookmarkEnd w:id="205"/>
      <w:r>
        <w:rPr>
          <w:rFonts w:hint="eastAsia" w:asciiTheme="minorEastAsia" w:hAnsiTheme="minorEastAsia" w:eastAsiaTheme="minorEastAsia" w:cstheme="minorEastAsia"/>
          <w:b/>
          <w:bCs/>
          <w:kern w:val="0"/>
          <w:szCs w:val="21"/>
          <w:lang w:val="en-US" w:eastAsia="zh-CN"/>
        </w:rPr>
        <w:t>一览表</w:t>
      </w:r>
    </w:p>
    <w:p>
      <w:pPr>
        <w:adjustRightInd w:val="0"/>
        <w:snapToGrid w:val="0"/>
        <w:spacing w:line="360" w:lineRule="auto"/>
        <w:rPr>
          <w:rFonts w:hint="eastAsia" w:ascii="宋体" w:hAnsi="宋体"/>
          <w:szCs w:val="21"/>
        </w:rPr>
      </w:pPr>
    </w:p>
    <w:p>
      <w:pPr>
        <w:rPr>
          <w:rFonts w:ascii="宋体" w:hAnsi="宋体"/>
          <w:b/>
          <w:szCs w:val="21"/>
        </w:rPr>
      </w:pPr>
      <w:bookmarkStart w:id="206" w:name="_Toc114376993"/>
      <w:bookmarkStart w:id="207" w:name="_Toc78098330"/>
      <w:bookmarkStart w:id="208" w:name="_Toc114375859"/>
      <w:bookmarkStart w:id="209" w:name="_Toc114887896"/>
      <w:bookmarkStart w:id="210" w:name="_Toc114916950"/>
      <w:bookmarkStart w:id="211" w:name="_Toc114371518"/>
      <w:bookmarkStart w:id="212" w:name="_Toc112752890"/>
      <w:bookmarkStart w:id="213" w:name="_Toc290207180"/>
      <w:bookmarkStart w:id="214" w:name="_Toc4196"/>
      <w:bookmarkStart w:id="215" w:name="_Toc114916889"/>
      <w:bookmarkStart w:id="216" w:name="_Toc114371669"/>
      <w:bookmarkStart w:id="217" w:name="_Toc164767936"/>
      <w:r>
        <w:rPr>
          <w:rFonts w:hint="eastAsia" w:ascii="宋体" w:hAnsi="宋体"/>
          <w:b/>
          <w:szCs w:val="21"/>
        </w:rPr>
        <w:t>（1）项目管理机构配备情况表</w:t>
      </w:r>
      <w:bookmarkEnd w:id="206"/>
      <w:bookmarkEnd w:id="207"/>
      <w:bookmarkEnd w:id="208"/>
      <w:bookmarkEnd w:id="209"/>
      <w:bookmarkEnd w:id="210"/>
      <w:bookmarkEnd w:id="211"/>
      <w:bookmarkEnd w:id="212"/>
      <w:bookmarkEnd w:id="213"/>
      <w:bookmarkEnd w:id="214"/>
      <w:bookmarkEnd w:id="215"/>
      <w:bookmarkEnd w:id="216"/>
      <w:bookmarkEnd w:id="217"/>
    </w:p>
    <w:p>
      <w:pPr>
        <w:rPr>
          <w:rFonts w:ascii="宋体" w:hAnsi="宋体"/>
          <w:szCs w:val="21"/>
        </w:rPr>
      </w:pPr>
      <w:r>
        <w:rPr>
          <w:rFonts w:hint="eastAsia" w:ascii="宋体" w:hAnsi="宋体"/>
          <w:szCs w:val="21"/>
          <w:u w:val="single"/>
        </w:rPr>
        <w:t xml:space="preserve">                        </w:t>
      </w:r>
      <w:r>
        <w:rPr>
          <w:rFonts w:hint="eastAsia" w:ascii="宋体" w:hAnsi="宋体"/>
          <w:szCs w:val="21"/>
        </w:rPr>
        <w:t xml:space="preserve">工程                                       </w:t>
      </w:r>
    </w:p>
    <w:tbl>
      <w:tblPr>
        <w:tblStyle w:val="2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929"/>
        <w:gridCol w:w="840"/>
        <w:gridCol w:w="828"/>
        <w:gridCol w:w="828"/>
        <w:gridCol w:w="840"/>
        <w:gridCol w:w="929"/>
        <w:gridCol w:w="75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839" w:type="dxa"/>
            <w:vMerge w:val="restart"/>
            <w:vAlign w:val="center"/>
          </w:tcPr>
          <w:p>
            <w:pPr>
              <w:rPr>
                <w:rFonts w:ascii="宋体" w:hAnsi="宋体"/>
                <w:szCs w:val="21"/>
              </w:rPr>
            </w:pPr>
            <w:r>
              <w:rPr>
                <w:rFonts w:hint="eastAsia" w:ascii="宋体" w:hAnsi="宋体"/>
                <w:szCs w:val="21"/>
              </w:rPr>
              <w:t>职务</w:t>
            </w:r>
          </w:p>
        </w:tc>
        <w:tc>
          <w:tcPr>
            <w:tcW w:w="929" w:type="dxa"/>
            <w:vMerge w:val="restart"/>
            <w:vAlign w:val="center"/>
          </w:tcPr>
          <w:p>
            <w:pPr>
              <w:rPr>
                <w:rFonts w:ascii="宋体" w:hAnsi="宋体"/>
                <w:szCs w:val="21"/>
              </w:rPr>
            </w:pPr>
            <w:r>
              <w:rPr>
                <w:rFonts w:hint="eastAsia" w:ascii="宋体" w:hAnsi="宋体"/>
                <w:szCs w:val="21"/>
              </w:rPr>
              <w:t>姓名</w:t>
            </w:r>
          </w:p>
        </w:tc>
        <w:tc>
          <w:tcPr>
            <w:tcW w:w="840" w:type="dxa"/>
            <w:vMerge w:val="restart"/>
            <w:vAlign w:val="center"/>
          </w:tcPr>
          <w:p>
            <w:pPr>
              <w:rPr>
                <w:rFonts w:ascii="宋体" w:hAnsi="宋体"/>
                <w:szCs w:val="21"/>
              </w:rPr>
            </w:pPr>
            <w:r>
              <w:rPr>
                <w:rFonts w:hint="eastAsia" w:ascii="宋体" w:hAnsi="宋体"/>
                <w:szCs w:val="21"/>
              </w:rPr>
              <w:t>职称</w:t>
            </w:r>
          </w:p>
        </w:tc>
        <w:tc>
          <w:tcPr>
            <w:tcW w:w="3425" w:type="dxa"/>
            <w:gridSpan w:val="4"/>
            <w:vAlign w:val="center"/>
          </w:tcPr>
          <w:p>
            <w:pPr>
              <w:rPr>
                <w:rFonts w:ascii="宋体" w:hAnsi="宋体"/>
                <w:szCs w:val="21"/>
              </w:rPr>
            </w:pPr>
            <w:r>
              <w:rPr>
                <w:rFonts w:hint="eastAsia" w:ascii="宋体" w:hAnsi="宋体"/>
                <w:szCs w:val="21"/>
              </w:rPr>
              <w:t>执业或职业资格证明</w:t>
            </w:r>
          </w:p>
        </w:tc>
        <w:tc>
          <w:tcPr>
            <w:tcW w:w="2427" w:type="dxa"/>
            <w:gridSpan w:val="2"/>
            <w:vAlign w:val="center"/>
          </w:tcPr>
          <w:p>
            <w:pPr>
              <w:rPr>
                <w:rFonts w:ascii="宋体" w:hAnsi="宋体"/>
                <w:szCs w:val="21"/>
              </w:rPr>
            </w:pPr>
            <w:r>
              <w:rPr>
                <w:rFonts w:hint="eastAsia" w:ascii="宋体" w:hAnsi="宋体"/>
                <w:szCs w:val="21"/>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839" w:type="dxa"/>
            <w:vMerge w:val="continue"/>
            <w:vAlign w:val="top"/>
          </w:tcPr>
          <w:p>
            <w:pPr>
              <w:rPr>
                <w:rFonts w:ascii="宋体" w:hAnsi="宋体"/>
                <w:szCs w:val="21"/>
              </w:rPr>
            </w:pPr>
          </w:p>
        </w:tc>
        <w:tc>
          <w:tcPr>
            <w:tcW w:w="929" w:type="dxa"/>
            <w:vMerge w:val="continue"/>
            <w:vAlign w:val="top"/>
          </w:tcPr>
          <w:p>
            <w:pPr>
              <w:rPr>
                <w:rFonts w:ascii="宋体" w:hAnsi="宋体"/>
                <w:szCs w:val="21"/>
              </w:rPr>
            </w:pPr>
          </w:p>
        </w:tc>
        <w:tc>
          <w:tcPr>
            <w:tcW w:w="840" w:type="dxa"/>
            <w:vMerge w:val="continue"/>
            <w:vAlign w:val="top"/>
          </w:tcPr>
          <w:p>
            <w:pPr>
              <w:rPr>
                <w:rFonts w:ascii="宋体" w:hAnsi="宋体"/>
                <w:szCs w:val="21"/>
              </w:rPr>
            </w:pPr>
          </w:p>
        </w:tc>
        <w:tc>
          <w:tcPr>
            <w:tcW w:w="828" w:type="dxa"/>
            <w:vAlign w:val="center"/>
          </w:tcPr>
          <w:p>
            <w:pPr>
              <w:rPr>
                <w:rFonts w:ascii="宋体" w:hAnsi="宋体"/>
                <w:szCs w:val="21"/>
              </w:rPr>
            </w:pPr>
            <w:r>
              <w:rPr>
                <w:rFonts w:hint="eastAsia" w:ascii="宋体" w:hAnsi="宋体"/>
                <w:szCs w:val="21"/>
              </w:rPr>
              <w:t>证书名称</w:t>
            </w:r>
          </w:p>
        </w:tc>
        <w:tc>
          <w:tcPr>
            <w:tcW w:w="828" w:type="dxa"/>
            <w:vAlign w:val="center"/>
          </w:tcPr>
          <w:p>
            <w:pPr>
              <w:rPr>
                <w:rFonts w:ascii="宋体" w:hAnsi="宋体"/>
                <w:szCs w:val="21"/>
              </w:rPr>
            </w:pPr>
            <w:r>
              <w:rPr>
                <w:rFonts w:hint="eastAsia" w:ascii="宋体" w:hAnsi="宋体"/>
                <w:szCs w:val="21"/>
              </w:rPr>
              <w:t>级别</w:t>
            </w:r>
          </w:p>
        </w:tc>
        <w:tc>
          <w:tcPr>
            <w:tcW w:w="840" w:type="dxa"/>
            <w:vAlign w:val="center"/>
          </w:tcPr>
          <w:p>
            <w:pPr>
              <w:rPr>
                <w:rFonts w:ascii="宋体" w:hAnsi="宋体"/>
                <w:szCs w:val="21"/>
              </w:rPr>
            </w:pPr>
            <w:r>
              <w:rPr>
                <w:rFonts w:hint="eastAsia" w:ascii="宋体" w:hAnsi="宋体"/>
                <w:szCs w:val="21"/>
              </w:rPr>
              <w:t>证号</w:t>
            </w:r>
          </w:p>
        </w:tc>
        <w:tc>
          <w:tcPr>
            <w:tcW w:w="929" w:type="dxa"/>
            <w:vAlign w:val="center"/>
          </w:tcPr>
          <w:p>
            <w:pPr>
              <w:rPr>
                <w:rFonts w:ascii="宋体" w:hAnsi="宋体"/>
                <w:szCs w:val="21"/>
              </w:rPr>
            </w:pPr>
            <w:r>
              <w:rPr>
                <w:rFonts w:hint="eastAsia" w:ascii="宋体" w:hAnsi="宋体"/>
                <w:szCs w:val="21"/>
              </w:rPr>
              <w:t>专业</w:t>
            </w:r>
          </w:p>
        </w:tc>
        <w:tc>
          <w:tcPr>
            <w:tcW w:w="750" w:type="dxa"/>
            <w:vAlign w:val="center"/>
          </w:tcPr>
          <w:p>
            <w:pPr>
              <w:rPr>
                <w:rFonts w:ascii="宋体" w:hAnsi="宋体"/>
                <w:szCs w:val="21"/>
              </w:rPr>
            </w:pPr>
            <w:r>
              <w:rPr>
                <w:rFonts w:hint="eastAsia" w:ascii="宋体" w:hAnsi="宋体"/>
                <w:szCs w:val="21"/>
              </w:rPr>
              <w:t>项目数</w:t>
            </w:r>
          </w:p>
        </w:tc>
        <w:tc>
          <w:tcPr>
            <w:tcW w:w="1677" w:type="dxa"/>
            <w:vAlign w:val="center"/>
          </w:tcPr>
          <w:p>
            <w:pPr>
              <w:rPr>
                <w:rFonts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8460" w:type="dxa"/>
            <w:gridSpan w:val="9"/>
            <w:vAlign w:val="top"/>
          </w:tcPr>
          <w:p>
            <w:pPr>
              <w:rPr>
                <w:rFonts w:ascii="宋体" w:hAnsi="宋体"/>
                <w:szCs w:val="21"/>
              </w:rPr>
            </w:pPr>
            <w:r>
              <w:rPr>
                <w:rFonts w:hint="eastAsia" w:ascii="宋体" w:hAnsi="宋体"/>
                <w:szCs w:val="21"/>
              </w:rPr>
              <w:t>一旦我单位中标，将实行项目经理负责制，并配备上述项目管理机构。我方保证上述填报内容真实，若不真实，愿按有关规定接受处理。项目管理班子机构设置、职责分工等情况另附资料说明</w:t>
            </w:r>
          </w:p>
        </w:tc>
      </w:tr>
    </w:tbl>
    <w:p>
      <w:pPr>
        <w:rPr>
          <w:rFonts w:ascii="宋体" w:hAnsi="宋体"/>
          <w:b/>
          <w:szCs w:val="21"/>
          <w:u w:val="single"/>
        </w:rPr>
      </w:pPr>
      <w:r>
        <w:rPr>
          <w:rFonts w:hint="eastAsia" w:ascii="宋体" w:hAnsi="宋体"/>
          <w:b/>
          <w:szCs w:val="21"/>
          <w:u w:val="single"/>
        </w:rPr>
        <w:t>注：后附拟投入本项目的管理班子组成人员的职称证、资格证、上岗证、二代身份证、经社保单位鉴定的劳动合同及缴纳社保的证明文件。</w:t>
      </w:r>
    </w:p>
    <w:p>
      <w:pPr>
        <w:rPr>
          <w:rFonts w:ascii="宋体" w:hAnsi="宋体"/>
          <w:b/>
          <w:szCs w:val="21"/>
        </w:rPr>
      </w:pPr>
      <w:r>
        <w:rPr>
          <w:rFonts w:ascii="宋体" w:hAnsi="宋体"/>
          <w:szCs w:val="21"/>
        </w:rPr>
        <w:br w:type="page"/>
      </w:r>
      <w:bookmarkStart w:id="218" w:name="_Toc114916951"/>
      <w:bookmarkStart w:id="219" w:name="_Toc114916890"/>
      <w:bookmarkStart w:id="220" w:name="_Toc28093"/>
      <w:bookmarkStart w:id="221" w:name="_Toc114371519"/>
      <w:bookmarkStart w:id="222" w:name="_Toc114371670"/>
      <w:bookmarkStart w:id="223" w:name="_Toc164767937"/>
      <w:bookmarkStart w:id="224" w:name="_Toc114375860"/>
      <w:bookmarkStart w:id="225" w:name="_Toc78098331"/>
      <w:bookmarkStart w:id="226" w:name="_Toc290207181"/>
      <w:bookmarkStart w:id="227" w:name="_Toc112752891"/>
      <w:bookmarkStart w:id="228" w:name="_Toc114376994"/>
      <w:bookmarkStart w:id="229" w:name="_Toc114887897"/>
      <w:r>
        <w:rPr>
          <w:rFonts w:hint="eastAsia" w:ascii="宋体" w:hAnsi="宋体"/>
          <w:b/>
          <w:szCs w:val="21"/>
        </w:rPr>
        <w:t>（2）项目经理简历表</w:t>
      </w:r>
      <w:bookmarkEnd w:id="218"/>
      <w:bookmarkEnd w:id="219"/>
      <w:bookmarkEnd w:id="220"/>
      <w:bookmarkEnd w:id="221"/>
      <w:bookmarkEnd w:id="222"/>
      <w:bookmarkEnd w:id="223"/>
      <w:bookmarkEnd w:id="224"/>
      <w:bookmarkEnd w:id="225"/>
      <w:bookmarkEnd w:id="226"/>
      <w:bookmarkEnd w:id="227"/>
      <w:bookmarkEnd w:id="228"/>
      <w:bookmarkEnd w:id="229"/>
    </w:p>
    <w:p>
      <w:pPr>
        <w:rPr>
          <w:rFonts w:ascii="宋体" w:hAnsi="宋体"/>
          <w:szCs w:val="21"/>
        </w:rPr>
      </w:pPr>
      <w:r>
        <w:rPr>
          <w:rFonts w:hint="eastAsia" w:ascii="宋体" w:hAnsi="宋体"/>
          <w:szCs w:val="21"/>
          <w:u w:val="single"/>
        </w:rPr>
        <w:t xml:space="preserve">（工程项目名称）     </w:t>
      </w:r>
      <w:r>
        <w:rPr>
          <w:rFonts w:hint="eastAsia" w:ascii="宋体" w:hAnsi="宋体"/>
          <w:szCs w:val="21"/>
        </w:rPr>
        <w:t xml:space="preserve">工程                                                </w:t>
      </w:r>
    </w:p>
    <w:tbl>
      <w:tblPr>
        <w:tblStyle w:val="26"/>
        <w:tblW w:w="8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868"/>
        <w:gridCol w:w="949"/>
        <w:gridCol w:w="42"/>
        <w:gridCol w:w="1336"/>
        <w:gridCol w:w="37"/>
        <w:gridCol w:w="1410"/>
        <w:gridCol w:w="1272"/>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14" w:type="dxa"/>
            <w:vAlign w:val="center"/>
          </w:tcPr>
          <w:p>
            <w:pPr>
              <w:rPr>
                <w:rFonts w:ascii="宋体" w:hAnsi="宋体"/>
                <w:szCs w:val="21"/>
              </w:rPr>
            </w:pPr>
            <w:r>
              <w:rPr>
                <w:rFonts w:hint="eastAsia" w:ascii="宋体" w:hAnsi="宋体"/>
                <w:szCs w:val="21"/>
              </w:rPr>
              <w:t>姓名</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性别</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年龄</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14" w:type="dxa"/>
            <w:vAlign w:val="center"/>
          </w:tcPr>
          <w:p>
            <w:pPr>
              <w:rPr>
                <w:rFonts w:ascii="宋体" w:hAnsi="宋体"/>
                <w:szCs w:val="21"/>
              </w:rPr>
            </w:pPr>
            <w:r>
              <w:rPr>
                <w:rFonts w:hint="eastAsia" w:ascii="宋体" w:hAnsi="宋体"/>
                <w:szCs w:val="21"/>
              </w:rPr>
              <w:t>职务</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职称</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学历</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82" w:type="dxa"/>
            <w:gridSpan w:val="2"/>
            <w:vAlign w:val="center"/>
          </w:tcPr>
          <w:p>
            <w:pPr>
              <w:rPr>
                <w:rFonts w:ascii="宋体" w:hAnsi="宋体"/>
                <w:szCs w:val="21"/>
              </w:rPr>
            </w:pPr>
            <w:r>
              <w:rPr>
                <w:rFonts w:hint="eastAsia" w:ascii="宋体" w:hAnsi="宋体"/>
                <w:szCs w:val="21"/>
              </w:rPr>
              <w:t>参加工作时间</w:t>
            </w:r>
          </w:p>
        </w:tc>
        <w:tc>
          <w:tcPr>
            <w:tcW w:w="2364" w:type="dxa"/>
            <w:gridSpan w:val="4"/>
            <w:vAlign w:val="center"/>
          </w:tcPr>
          <w:p>
            <w:pPr>
              <w:rPr>
                <w:rFonts w:ascii="宋体" w:hAnsi="宋体"/>
                <w:szCs w:val="21"/>
              </w:rPr>
            </w:pPr>
          </w:p>
        </w:tc>
        <w:tc>
          <w:tcPr>
            <w:tcW w:w="2682" w:type="dxa"/>
            <w:gridSpan w:val="2"/>
            <w:vAlign w:val="center"/>
          </w:tcPr>
          <w:p>
            <w:pPr>
              <w:rPr>
                <w:rFonts w:ascii="宋体" w:hAnsi="宋体"/>
                <w:szCs w:val="21"/>
              </w:rPr>
            </w:pPr>
            <w:r>
              <w:rPr>
                <w:rFonts w:hint="eastAsia" w:ascii="宋体" w:hAnsi="宋体"/>
                <w:szCs w:val="21"/>
              </w:rPr>
              <w:t>担任项目经理年限</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2" w:type="dxa"/>
            <w:gridSpan w:val="9"/>
            <w:vAlign w:val="center"/>
          </w:tcPr>
          <w:p>
            <w:pPr>
              <w:rPr>
                <w:rFonts w:ascii="宋体" w:hAnsi="宋体"/>
                <w:szCs w:val="21"/>
              </w:rPr>
            </w:pPr>
            <w:r>
              <w:rPr>
                <w:rFonts w:hint="eastAsia" w:ascii="宋体" w:hAnsi="宋体"/>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rPr>
                <w:rFonts w:ascii="宋体" w:hAnsi="宋体"/>
                <w:szCs w:val="21"/>
              </w:rPr>
            </w:pPr>
            <w:r>
              <w:rPr>
                <w:rFonts w:hint="eastAsia" w:ascii="宋体" w:hAnsi="宋体"/>
                <w:szCs w:val="21"/>
              </w:rPr>
              <w:t>建设单位</w:t>
            </w:r>
          </w:p>
        </w:tc>
        <w:tc>
          <w:tcPr>
            <w:tcW w:w="1817" w:type="dxa"/>
            <w:gridSpan w:val="2"/>
            <w:vAlign w:val="center"/>
          </w:tcPr>
          <w:p>
            <w:pPr>
              <w:rPr>
                <w:rFonts w:ascii="宋体" w:hAnsi="宋体"/>
                <w:szCs w:val="21"/>
              </w:rPr>
            </w:pPr>
            <w:r>
              <w:rPr>
                <w:rFonts w:hint="eastAsia" w:ascii="宋体" w:hAnsi="宋体"/>
                <w:szCs w:val="21"/>
              </w:rPr>
              <w:t>项目名称</w:t>
            </w:r>
          </w:p>
        </w:tc>
        <w:tc>
          <w:tcPr>
            <w:tcW w:w="1378" w:type="dxa"/>
            <w:gridSpan w:val="2"/>
            <w:vAlign w:val="center"/>
          </w:tcPr>
          <w:p>
            <w:pPr>
              <w:rPr>
                <w:rFonts w:ascii="宋体" w:hAnsi="宋体"/>
                <w:szCs w:val="21"/>
              </w:rPr>
            </w:pPr>
            <w:r>
              <w:rPr>
                <w:rFonts w:hint="eastAsia" w:ascii="宋体" w:hAnsi="宋体"/>
                <w:szCs w:val="21"/>
              </w:rPr>
              <w:t>建设规模</w:t>
            </w:r>
          </w:p>
        </w:tc>
        <w:tc>
          <w:tcPr>
            <w:tcW w:w="1447" w:type="dxa"/>
            <w:gridSpan w:val="2"/>
            <w:vAlign w:val="center"/>
          </w:tcPr>
          <w:p>
            <w:pPr>
              <w:rPr>
                <w:rFonts w:ascii="宋体" w:hAnsi="宋体"/>
                <w:szCs w:val="21"/>
              </w:rPr>
            </w:pPr>
            <w:r>
              <w:rPr>
                <w:rFonts w:hint="eastAsia" w:ascii="宋体" w:hAnsi="宋体"/>
                <w:szCs w:val="21"/>
              </w:rPr>
              <w:t>开、竣工</w:t>
            </w:r>
          </w:p>
          <w:p>
            <w:pPr>
              <w:rPr>
                <w:rFonts w:ascii="宋体" w:hAnsi="宋体"/>
                <w:szCs w:val="21"/>
              </w:rPr>
            </w:pPr>
            <w:r>
              <w:rPr>
                <w:rFonts w:hint="eastAsia" w:ascii="宋体" w:hAnsi="宋体"/>
                <w:szCs w:val="21"/>
              </w:rPr>
              <w:t>日期</w:t>
            </w:r>
          </w:p>
        </w:tc>
        <w:tc>
          <w:tcPr>
            <w:tcW w:w="1272" w:type="dxa"/>
            <w:vAlign w:val="center"/>
          </w:tcPr>
          <w:p>
            <w:pPr>
              <w:rPr>
                <w:rFonts w:ascii="宋体" w:hAnsi="宋体"/>
                <w:szCs w:val="21"/>
              </w:rPr>
            </w:pPr>
            <w:r>
              <w:rPr>
                <w:rFonts w:hint="eastAsia" w:ascii="宋体" w:hAnsi="宋体"/>
                <w:szCs w:val="21"/>
              </w:rPr>
              <w:t>在建或</w:t>
            </w:r>
          </w:p>
          <w:p>
            <w:pPr>
              <w:rPr>
                <w:rFonts w:ascii="宋体" w:hAnsi="宋体"/>
                <w:szCs w:val="21"/>
              </w:rPr>
            </w:pPr>
            <w:r>
              <w:rPr>
                <w:rFonts w:hint="eastAsia" w:ascii="宋体" w:hAnsi="宋体"/>
                <w:szCs w:val="21"/>
              </w:rPr>
              <w:t>已完</w:t>
            </w:r>
          </w:p>
        </w:tc>
        <w:tc>
          <w:tcPr>
            <w:tcW w:w="1784" w:type="dxa"/>
            <w:vAlign w:val="center"/>
          </w:tcPr>
          <w:p>
            <w:pPr>
              <w:rPr>
                <w:rFonts w:ascii="宋体" w:hAnsi="宋体"/>
                <w:szCs w:val="21"/>
              </w:rPr>
            </w:pPr>
            <w:r>
              <w:rPr>
                <w:rFonts w:hint="eastAsia" w:ascii="宋体" w:hAnsi="宋体"/>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bl>
    <w:p>
      <w:pPr>
        <w:rPr>
          <w:rFonts w:hint="eastAsia" w:ascii="宋体" w:hAnsi="宋体"/>
          <w:szCs w:val="21"/>
        </w:rPr>
      </w:pPr>
      <w:bookmarkStart w:id="230" w:name="_Toc114375861"/>
      <w:bookmarkStart w:id="231" w:name="_Toc114376995"/>
      <w:bookmarkStart w:id="232" w:name="_Toc112752892"/>
      <w:bookmarkStart w:id="233" w:name="_Toc164767938"/>
      <w:bookmarkStart w:id="234" w:name="_Toc114916891"/>
      <w:bookmarkStart w:id="235" w:name="_Toc114371520"/>
      <w:bookmarkStart w:id="236" w:name="_Toc114371671"/>
      <w:bookmarkStart w:id="237" w:name="_Toc78098332"/>
      <w:bookmarkStart w:id="238" w:name="_Toc290207182"/>
      <w:bookmarkStart w:id="239" w:name="_Toc114887898"/>
      <w:bookmarkStart w:id="240" w:name="_Toc114916952"/>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br w:type="textWrapping"/>
      </w:r>
    </w:p>
    <w:p>
      <w:pPr>
        <w:rPr>
          <w:rFonts w:hint="eastAsia" w:ascii="宋体" w:hAnsi="宋体"/>
          <w:szCs w:val="21"/>
        </w:rPr>
      </w:pPr>
    </w:p>
    <w:p>
      <w:pPr>
        <w:rPr>
          <w:rFonts w:hint="eastAsia" w:ascii="宋体" w:hAnsi="宋体"/>
          <w:b/>
          <w:szCs w:val="21"/>
        </w:rPr>
      </w:pPr>
    </w:p>
    <w:p>
      <w:pPr>
        <w:rPr>
          <w:rFonts w:ascii="宋体" w:hAnsi="宋体"/>
          <w:b/>
          <w:szCs w:val="21"/>
        </w:rPr>
      </w:pPr>
      <w:bookmarkStart w:id="241" w:name="_Toc11043"/>
      <w:r>
        <w:rPr>
          <w:rFonts w:hint="eastAsia" w:ascii="宋体" w:hAnsi="宋体"/>
          <w:b/>
          <w:szCs w:val="21"/>
        </w:rPr>
        <w:t>（3）项目技术负责人简历表</w:t>
      </w:r>
      <w:bookmarkEnd w:id="230"/>
      <w:bookmarkEnd w:id="231"/>
      <w:bookmarkEnd w:id="232"/>
      <w:bookmarkEnd w:id="233"/>
      <w:bookmarkEnd w:id="234"/>
      <w:bookmarkEnd w:id="235"/>
      <w:bookmarkEnd w:id="236"/>
      <w:bookmarkEnd w:id="237"/>
      <w:bookmarkEnd w:id="238"/>
      <w:bookmarkEnd w:id="239"/>
      <w:bookmarkEnd w:id="240"/>
      <w:bookmarkEnd w:id="241"/>
    </w:p>
    <w:p>
      <w:pPr>
        <w:rPr>
          <w:rFonts w:ascii="宋体" w:hAnsi="宋体"/>
          <w:szCs w:val="21"/>
        </w:rPr>
      </w:pPr>
      <w:r>
        <w:rPr>
          <w:rFonts w:hint="eastAsia" w:ascii="宋体" w:hAnsi="宋体"/>
          <w:szCs w:val="21"/>
          <w:u w:val="single"/>
        </w:rPr>
        <w:t xml:space="preserve">（工程项目名称）     </w:t>
      </w:r>
      <w:r>
        <w:rPr>
          <w:rFonts w:hint="eastAsia" w:ascii="宋体" w:hAnsi="宋体"/>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868"/>
        <w:gridCol w:w="949"/>
        <w:gridCol w:w="42"/>
        <w:gridCol w:w="1336"/>
        <w:gridCol w:w="37"/>
        <w:gridCol w:w="1410"/>
        <w:gridCol w:w="127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31" w:type="dxa"/>
            <w:vAlign w:val="center"/>
          </w:tcPr>
          <w:p>
            <w:pPr>
              <w:rPr>
                <w:rFonts w:ascii="宋体" w:hAnsi="宋体"/>
                <w:szCs w:val="21"/>
              </w:rPr>
            </w:pPr>
            <w:r>
              <w:rPr>
                <w:rFonts w:hint="eastAsia" w:ascii="宋体" w:hAnsi="宋体"/>
                <w:szCs w:val="21"/>
              </w:rPr>
              <w:t>姓名</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性别</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年龄</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31" w:type="dxa"/>
            <w:vAlign w:val="center"/>
          </w:tcPr>
          <w:p>
            <w:pPr>
              <w:rPr>
                <w:rFonts w:ascii="宋体" w:hAnsi="宋体"/>
                <w:szCs w:val="21"/>
              </w:rPr>
            </w:pPr>
            <w:r>
              <w:rPr>
                <w:rFonts w:hint="eastAsia" w:ascii="宋体" w:hAnsi="宋体"/>
                <w:szCs w:val="21"/>
              </w:rPr>
              <w:t>职务</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职称</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学历</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99" w:type="dxa"/>
            <w:gridSpan w:val="2"/>
            <w:vAlign w:val="center"/>
          </w:tcPr>
          <w:p>
            <w:pPr>
              <w:rPr>
                <w:rFonts w:ascii="宋体" w:hAnsi="宋体"/>
                <w:szCs w:val="21"/>
              </w:rPr>
            </w:pPr>
            <w:r>
              <w:rPr>
                <w:rFonts w:hint="eastAsia" w:ascii="宋体" w:hAnsi="宋体"/>
                <w:szCs w:val="21"/>
              </w:rPr>
              <w:t>参加工作时间</w:t>
            </w:r>
          </w:p>
        </w:tc>
        <w:tc>
          <w:tcPr>
            <w:tcW w:w="2364" w:type="dxa"/>
            <w:gridSpan w:val="4"/>
            <w:vAlign w:val="center"/>
          </w:tcPr>
          <w:p>
            <w:pPr>
              <w:rPr>
                <w:rFonts w:ascii="宋体" w:hAnsi="宋体"/>
                <w:szCs w:val="21"/>
              </w:rPr>
            </w:pPr>
          </w:p>
        </w:tc>
        <w:tc>
          <w:tcPr>
            <w:tcW w:w="2682" w:type="dxa"/>
            <w:gridSpan w:val="2"/>
            <w:vAlign w:val="center"/>
          </w:tcPr>
          <w:p>
            <w:pPr>
              <w:rPr>
                <w:rFonts w:ascii="宋体" w:hAnsi="宋体"/>
                <w:szCs w:val="21"/>
              </w:rPr>
            </w:pPr>
            <w:r>
              <w:rPr>
                <w:rFonts w:hint="eastAsia" w:ascii="宋体" w:hAnsi="宋体"/>
                <w:szCs w:val="21"/>
              </w:rPr>
              <w:t>担任技术负责人年限</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3" w:type="dxa"/>
            <w:gridSpan w:val="9"/>
            <w:vAlign w:val="center"/>
          </w:tcPr>
          <w:p>
            <w:pPr>
              <w:rPr>
                <w:rFonts w:ascii="宋体" w:hAnsi="宋体"/>
                <w:szCs w:val="21"/>
              </w:rPr>
            </w:pPr>
            <w:r>
              <w:rPr>
                <w:rFonts w:hint="eastAsia" w:ascii="宋体" w:hAnsi="宋体"/>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rPr>
                <w:rFonts w:ascii="宋体" w:hAnsi="宋体"/>
                <w:szCs w:val="21"/>
              </w:rPr>
            </w:pPr>
            <w:r>
              <w:rPr>
                <w:rFonts w:hint="eastAsia" w:ascii="宋体" w:hAnsi="宋体"/>
                <w:szCs w:val="21"/>
              </w:rPr>
              <w:t>建设单位</w:t>
            </w:r>
          </w:p>
        </w:tc>
        <w:tc>
          <w:tcPr>
            <w:tcW w:w="1817" w:type="dxa"/>
            <w:gridSpan w:val="2"/>
            <w:vAlign w:val="center"/>
          </w:tcPr>
          <w:p>
            <w:pPr>
              <w:rPr>
                <w:rFonts w:ascii="宋体" w:hAnsi="宋体"/>
                <w:szCs w:val="21"/>
              </w:rPr>
            </w:pPr>
            <w:r>
              <w:rPr>
                <w:rFonts w:hint="eastAsia" w:ascii="宋体" w:hAnsi="宋体"/>
                <w:szCs w:val="21"/>
              </w:rPr>
              <w:t>项目名称</w:t>
            </w:r>
          </w:p>
        </w:tc>
        <w:tc>
          <w:tcPr>
            <w:tcW w:w="1378" w:type="dxa"/>
            <w:gridSpan w:val="2"/>
            <w:vAlign w:val="center"/>
          </w:tcPr>
          <w:p>
            <w:pPr>
              <w:rPr>
                <w:rFonts w:ascii="宋体" w:hAnsi="宋体"/>
                <w:szCs w:val="21"/>
              </w:rPr>
            </w:pPr>
            <w:r>
              <w:rPr>
                <w:rFonts w:hint="eastAsia" w:ascii="宋体" w:hAnsi="宋体"/>
                <w:szCs w:val="21"/>
              </w:rPr>
              <w:t>建设规模</w:t>
            </w:r>
          </w:p>
        </w:tc>
        <w:tc>
          <w:tcPr>
            <w:tcW w:w="1447" w:type="dxa"/>
            <w:gridSpan w:val="2"/>
            <w:vAlign w:val="center"/>
          </w:tcPr>
          <w:p>
            <w:pPr>
              <w:rPr>
                <w:rFonts w:ascii="宋体" w:hAnsi="宋体"/>
                <w:szCs w:val="21"/>
              </w:rPr>
            </w:pPr>
            <w:r>
              <w:rPr>
                <w:rFonts w:hint="eastAsia" w:ascii="宋体" w:hAnsi="宋体"/>
                <w:szCs w:val="21"/>
              </w:rPr>
              <w:t>开、竣工</w:t>
            </w:r>
          </w:p>
          <w:p>
            <w:pPr>
              <w:rPr>
                <w:rFonts w:ascii="宋体" w:hAnsi="宋体"/>
                <w:szCs w:val="21"/>
              </w:rPr>
            </w:pPr>
            <w:r>
              <w:rPr>
                <w:rFonts w:hint="eastAsia" w:ascii="宋体" w:hAnsi="宋体"/>
                <w:szCs w:val="21"/>
              </w:rPr>
              <w:t>日期</w:t>
            </w:r>
          </w:p>
        </w:tc>
        <w:tc>
          <w:tcPr>
            <w:tcW w:w="1272" w:type="dxa"/>
            <w:vAlign w:val="center"/>
          </w:tcPr>
          <w:p>
            <w:pPr>
              <w:rPr>
                <w:rFonts w:ascii="宋体" w:hAnsi="宋体"/>
                <w:szCs w:val="21"/>
              </w:rPr>
            </w:pPr>
            <w:r>
              <w:rPr>
                <w:rFonts w:hint="eastAsia" w:ascii="宋体" w:hAnsi="宋体"/>
                <w:szCs w:val="21"/>
              </w:rPr>
              <w:t>在建或</w:t>
            </w:r>
          </w:p>
          <w:p>
            <w:pPr>
              <w:rPr>
                <w:rFonts w:ascii="宋体" w:hAnsi="宋体"/>
                <w:szCs w:val="21"/>
              </w:rPr>
            </w:pPr>
            <w:r>
              <w:rPr>
                <w:rFonts w:hint="eastAsia" w:ascii="宋体" w:hAnsi="宋体"/>
                <w:szCs w:val="21"/>
              </w:rPr>
              <w:t>已完</w:t>
            </w:r>
          </w:p>
        </w:tc>
        <w:tc>
          <w:tcPr>
            <w:tcW w:w="1668" w:type="dxa"/>
            <w:vAlign w:val="center"/>
          </w:tcPr>
          <w:p>
            <w:pPr>
              <w:rPr>
                <w:rFonts w:ascii="宋体" w:hAnsi="宋体"/>
                <w:szCs w:val="21"/>
              </w:rPr>
            </w:pPr>
            <w:r>
              <w:rPr>
                <w:rFonts w:hint="eastAsia" w:ascii="宋体" w:hAnsi="宋体"/>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bl>
    <w:p>
      <w:pPr>
        <w:rPr>
          <w:rFonts w:ascii="宋体" w:hAnsi="宋体"/>
          <w:b/>
          <w:szCs w:val="21"/>
        </w:rPr>
      </w:pPr>
      <w:r>
        <w:rPr>
          <w:rFonts w:ascii="宋体" w:hAnsi="宋体"/>
          <w:szCs w:val="21"/>
        </w:rPr>
        <w:br w:type="page"/>
      </w:r>
      <w:bookmarkStart w:id="242" w:name="_Toc114376996"/>
      <w:bookmarkStart w:id="243" w:name="_Toc112752893"/>
      <w:bookmarkStart w:id="244" w:name="_Toc114916892"/>
      <w:bookmarkStart w:id="245" w:name="_Toc114375862"/>
      <w:bookmarkStart w:id="246" w:name="_Toc21651"/>
      <w:bookmarkStart w:id="247" w:name="_Toc114371521"/>
      <w:bookmarkStart w:id="248" w:name="_Toc290207183"/>
      <w:bookmarkStart w:id="249" w:name="_Toc164767939"/>
      <w:bookmarkStart w:id="250" w:name="_Toc114371672"/>
      <w:bookmarkStart w:id="251" w:name="_Toc114887899"/>
      <w:bookmarkStart w:id="252" w:name="_Toc78098333"/>
      <w:bookmarkStart w:id="253" w:name="_Toc114916953"/>
      <w:r>
        <w:rPr>
          <w:rFonts w:hint="eastAsia" w:ascii="宋体" w:hAnsi="宋体"/>
          <w:b/>
          <w:szCs w:val="21"/>
        </w:rPr>
        <w:t>（4）项目管理机构配备情况辅助说明资料</w:t>
      </w:r>
      <w:bookmarkEnd w:id="242"/>
      <w:bookmarkEnd w:id="243"/>
      <w:bookmarkEnd w:id="244"/>
      <w:bookmarkEnd w:id="245"/>
      <w:bookmarkEnd w:id="246"/>
      <w:bookmarkEnd w:id="247"/>
      <w:bookmarkEnd w:id="248"/>
      <w:bookmarkEnd w:id="249"/>
      <w:bookmarkEnd w:id="250"/>
      <w:bookmarkEnd w:id="251"/>
      <w:bookmarkEnd w:id="252"/>
      <w:bookmarkEnd w:id="253"/>
    </w:p>
    <w:p>
      <w:pPr>
        <w:rPr>
          <w:rFonts w:ascii="宋体" w:hAnsi="宋体"/>
          <w:szCs w:val="21"/>
        </w:rPr>
      </w:pPr>
      <w:r>
        <w:rPr>
          <w:rFonts w:hint="eastAsia" w:ascii="宋体" w:hAnsi="宋体"/>
          <w:szCs w:val="21"/>
          <w:u w:val="single"/>
        </w:rPr>
        <w:t>（工程项目名称）</w:t>
      </w:r>
      <w:r>
        <w:rPr>
          <w:rFonts w:hint="eastAsia" w:ascii="宋体" w:hAnsi="宋体"/>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1" w:hRule="atLeast"/>
        </w:trPr>
        <w:tc>
          <w:tcPr>
            <w:tcW w:w="8913" w:type="dxa"/>
            <w:vAlign w:val="top"/>
          </w:tcPr>
          <w:p>
            <w:pPr>
              <w:rPr>
                <w:rFonts w:ascii="宋体" w:hAnsi="宋体"/>
                <w:szCs w:val="21"/>
              </w:rPr>
            </w:pPr>
          </w:p>
        </w:tc>
      </w:tr>
    </w:tbl>
    <w:p>
      <w:pPr>
        <w:spacing w:line="360" w:lineRule="auto"/>
        <w:ind w:left="168" w:leftChars="80"/>
        <w:rPr>
          <w:rFonts w:ascii="宋体" w:hAnsi="宋体"/>
          <w:szCs w:val="21"/>
        </w:rPr>
      </w:pPr>
    </w:p>
    <w:p>
      <w:pPr>
        <w:spacing w:line="360" w:lineRule="auto"/>
        <w:ind w:left="168" w:leftChars="80"/>
        <w:jc w:val="center"/>
        <w:outlineLvl w:val="9"/>
        <w:rPr>
          <w:rFonts w:hint="eastAsia" w:ascii="宋体" w:hAnsi="宋体"/>
          <w:szCs w:val="21"/>
        </w:rPr>
      </w:pPr>
      <w:r>
        <w:rPr>
          <w:rFonts w:hint="eastAsia" w:ascii="宋体" w:hAnsi="宋体"/>
          <w:szCs w:val="21"/>
        </w:rPr>
        <w:t>注：1、辅助说明资料主要包括管理机构的机构设置、职责分工、有关复印证明资料以及供应商认为有必要提供的资料。辅助说明资料格式不做统一规定，由供应商自行设计。</w:t>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宋体" w:hAnsi="宋体"/>
          <w:szCs w:val="21"/>
        </w:rPr>
        <w:t>2、项目管理班子配备情况辅助说明资料可另附（与本响应文件一起装订）。</w:t>
      </w:r>
      <w:r>
        <w:rPr>
          <w:rFonts w:hint="eastAsia" w:asciiTheme="minorEastAsia" w:hAnsiTheme="minorEastAsia" w:eastAsiaTheme="minorEastAsia" w:cstheme="minorEastAsia"/>
          <w:bCs/>
          <w:szCs w:val="21"/>
        </w:rPr>
        <w:br w:type="page"/>
      </w:r>
      <w:bookmarkStart w:id="254" w:name="_Toc29785"/>
      <w:bookmarkStart w:id="255" w:name="_Toc460258123"/>
      <w:bookmarkStart w:id="256" w:name="_Toc27229"/>
      <w:bookmarkStart w:id="257" w:name="_Toc479184138"/>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四</w:t>
      </w:r>
      <w:r>
        <w:rPr>
          <w:rFonts w:hint="eastAsia" w:asciiTheme="minorEastAsia" w:hAnsiTheme="minorEastAsia" w:eastAsiaTheme="minorEastAsia" w:cstheme="minorEastAsia"/>
          <w:b/>
        </w:rPr>
        <w:t>、报价技术文件</w:t>
      </w:r>
      <w:bookmarkEnd w:id="254"/>
      <w:bookmarkEnd w:id="255"/>
      <w:bookmarkEnd w:id="256"/>
      <w:bookmarkEnd w:id="257"/>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由供应商自行编制施工组织设计，目录清晰、内容详尽、易于理解和评审并富有建设性的技术方案将在评审时具有优势。</w:t>
      </w:r>
    </w:p>
    <w:p>
      <w:pPr>
        <w:adjustRightInd w:val="0"/>
        <w:snapToGrid w:val="0"/>
        <w:spacing w:line="360" w:lineRule="auto"/>
        <w:ind w:left="-88" w:leftChars="-42" w:firstLine="420" w:firstLineChars="200"/>
        <w:jc w:val="left"/>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编制的具体要求：编制时应采用文字并结合图表形式说明各分部分项工程的施工方法；拟投入的主要施工机械设备情况、主要施工机械进场计划、劳动力计划等；结合招标工程特点提出切实可行的保证工程质量、安全生产、文明施工、工程进度的技术组织措施，同时应对关键工序、复杂环节重点提出相应技术措施，如雨天施工技术措施、减少扰民噪音、降低环境污染技术措施、地下管线及其他地上地下设施的保护加固措施等。</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58" w:name="_Toc356836516"/>
      <w:bookmarkStart w:id="259" w:name="_Toc22465"/>
      <w:bookmarkStart w:id="260" w:name="_Toc432149016"/>
      <w:bookmarkStart w:id="261" w:name="_Toc12119"/>
      <w:bookmarkStart w:id="262" w:name="_Toc8098"/>
      <w:bookmarkStart w:id="263" w:name="_Toc355802499"/>
      <w:bookmarkStart w:id="264" w:name="_Toc2101"/>
      <w:bookmarkStart w:id="265" w:name="_Toc422466739"/>
      <w:bookmarkStart w:id="266" w:name="_Toc479184140"/>
      <w:bookmarkStart w:id="267" w:name="_Toc15791"/>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58"/>
      <w:bookmarkEnd w:id="259"/>
      <w:bookmarkEnd w:id="260"/>
      <w:bookmarkEnd w:id="261"/>
      <w:bookmarkEnd w:id="262"/>
      <w:bookmarkEnd w:id="263"/>
      <w:bookmarkEnd w:id="264"/>
      <w:bookmarkEnd w:id="265"/>
      <w:bookmarkEnd w:id="266"/>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67"/>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68" w:name="OLE_LINK5"/>
      <w:r>
        <w:rPr>
          <w:rFonts w:hint="eastAsia" w:asciiTheme="minorEastAsia" w:hAnsiTheme="minorEastAsia" w:eastAsiaTheme="minorEastAsia" w:cstheme="minorEastAsia"/>
          <w:spacing w:val="6"/>
          <w:szCs w:val="21"/>
        </w:rPr>
        <w:t>______（请填写：中型、小型、微型）企业</w:t>
      </w:r>
      <w:bookmarkEnd w:id="268"/>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3"/>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3"/>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2"/>
    <w:bookmarkEnd w:id="123"/>
    <w:bookmarkEnd w:id="124"/>
    <w:bookmarkEnd w:id="125"/>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69" w:name="_Toc8106"/>
      <w:bookmarkStart w:id="270" w:name="_Toc7229"/>
      <w:bookmarkStart w:id="271" w:name="_Toc476839034"/>
      <w:bookmarkStart w:id="272" w:name="_Toc479184141"/>
      <w:bookmarkStart w:id="273" w:name="_Toc30406"/>
      <w:bookmarkStart w:id="274" w:name="_Toc4320"/>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69"/>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75" w:name="_Toc23554"/>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75"/>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76" w:name="_Toc20943"/>
      <w:r>
        <w:rPr>
          <w:rFonts w:hint="eastAsia" w:asciiTheme="minorEastAsia" w:hAnsiTheme="minorEastAsia" w:eastAsiaTheme="minorEastAsia" w:cstheme="minorEastAsia"/>
          <w:b/>
          <w:lang w:val="en-US" w:eastAsia="zh-CN"/>
        </w:rPr>
        <w:t>十八、节能环保产品证明材料（若符合）</w:t>
      </w:r>
      <w:bookmarkEnd w:id="276"/>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r>
        <w:rPr>
          <w:rFonts w:hint="eastAsia" w:asciiTheme="minorEastAsia" w:hAnsiTheme="minorEastAsia" w:eastAsiaTheme="minorEastAsia" w:cstheme="minorEastAsia"/>
          <w:bCs/>
          <w:szCs w:val="21"/>
          <w:u w:val="single"/>
        </w:rPr>
        <w:t xml:space="preserve"> </w:t>
      </w:r>
    </w:p>
    <w:p>
      <w:pPr>
        <w:adjustRightInd w:val="0"/>
        <w:snapToGrid w:val="0"/>
        <w:spacing w:line="360" w:lineRule="auto"/>
        <w:jc w:val="center"/>
        <w:outlineLvl w:val="1"/>
        <w:rPr>
          <w:rFonts w:hint="eastAsia" w:asciiTheme="minorEastAsia" w:hAnsiTheme="minorEastAsia" w:eastAsiaTheme="minorEastAsia" w:cstheme="minorEastAsia"/>
          <w:b/>
        </w:rPr>
      </w:pPr>
      <w:bookmarkStart w:id="277" w:name="_Toc15063"/>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70"/>
      <w:bookmarkEnd w:id="271"/>
      <w:bookmarkEnd w:id="272"/>
      <w:bookmarkEnd w:id="273"/>
      <w:bookmarkEnd w:id="274"/>
      <w:bookmarkEnd w:id="277"/>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jc w:val="center"/>
        <w:outlineLvl w:val="1"/>
        <w:rPr>
          <w:rFonts w:hint="eastAsia" w:asciiTheme="minorEastAsia" w:hAnsiTheme="minorEastAsia" w:eastAsiaTheme="minorEastAsia" w:cstheme="minorEastAsia"/>
          <w:spacing w:val="6"/>
          <w:szCs w:val="21"/>
        </w:rPr>
      </w:pPr>
      <w:bookmarkStart w:id="278" w:name="_Toc3267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78"/>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10"/>
  </w:num>
  <w:num w:numId="3">
    <w:abstractNumId w:val="17"/>
  </w:num>
  <w:num w:numId="4">
    <w:abstractNumId w:val="26"/>
  </w:num>
  <w:num w:numId="5">
    <w:abstractNumId w:val="13"/>
  </w:num>
  <w:num w:numId="6">
    <w:abstractNumId w:val="12"/>
  </w:num>
  <w:num w:numId="7">
    <w:abstractNumId w:val="1"/>
  </w:num>
  <w:num w:numId="8">
    <w:abstractNumId w:val="30"/>
  </w:num>
  <w:num w:numId="9">
    <w:abstractNumId w:val="15"/>
  </w:num>
  <w:num w:numId="10">
    <w:abstractNumId w:val="8"/>
  </w:num>
  <w:num w:numId="11">
    <w:abstractNumId w:val="14"/>
  </w:num>
  <w:num w:numId="12">
    <w:abstractNumId w:val="32"/>
  </w:num>
  <w:num w:numId="13">
    <w:abstractNumId w:val="42"/>
  </w:num>
  <w:num w:numId="14">
    <w:abstractNumId w:val="43"/>
  </w:num>
  <w:num w:numId="15">
    <w:abstractNumId w:val="25"/>
  </w:num>
  <w:num w:numId="16">
    <w:abstractNumId w:val="28"/>
  </w:num>
  <w:num w:numId="17">
    <w:abstractNumId w:val="31"/>
  </w:num>
  <w:num w:numId="18">
    <w:abstractNumId w:val="33"/>
  </w:num>
  <w:num w:numId="19">
    <w:abstractNumId w:val="3"/>
  </w:num>
  <w:num w:numId="20">
    <w:abstractNumId w:val="35"/>
  </w:num>
  <w:num w:numId="21">
    <w:abstractNumId w:val="5"/>
  </w:num>
  <w:num w:numId="22">
    <w:abstractNumId w:val="23"/>
  </w:num>
  <w:num w:numId="23">
    <w:abstractNumId w:val="19"/>
  </w:num>
  <w:num w:numId="24">
    <w:abstractNumId w:val="38"/>
  </w:num>
  <w:num w:numId="25">
    <w:abstractNumId w:val="11"/>
  </w:num>
  <w:num w:numId="26">
    <w:abstractNumId w:val="24"/>
  </w:num>
  <w:num w:numId="27">
    <w:abstractNumId w:val="7"/>
  </w:num>
  <w:num w:numId="28">
    <w:abstractNumId w:val="37"/>
  </w:num>
  <w:num w:numId="29">
    <w:abstractNumId w:val="41"/>
  </w:num>
  <w:num w:numId="30">
    <w:abstractNumId w:val="27"/>
  </w:num>
  <w:num w:numId="31">
    <w:abstractNumId w:val="21"/>
  </w:num>
  <w:num w:numId="32">
    <w:abstractNumId w:val="9"/>
  </w:num>
  <w:num w:numId="33">
    <w:abstractNumId w:val="18"/>
  </w:num>
  <w:num w:numId="34">
    <w:abstractNumId w:val="40"/>
  </w:num>
  <w:num w:numId="35">
    <w:abstractNumId w:val="22"/>
  </w:num>
  <w:num w:numId="36">
    <w:abstractNumId w:val="39"/>
  </w:num>
  <w:num w:numId="37">
    <w:abstractNumId w:val="34"/>
  </w:num>
  <w:num w:numId="38">
    <w:abstractNumId w:val="16"/>
  </w:num>
  <w:num w:numId="39">
    <w:abstractNumId w:val="29"/>
  </w:num>
  <w:num w:numId="40">
    <w:abstractNumId w:val="2"/>
  </w:num>
  <w:num w:numId="41">
    <w:abstractNumId w:val="20"/>
  </w:num>
  <w:num w:numId="42">
    <w:abstractNumId w:val="6"/>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1D4"/>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836BB"/>
    <w:rsid w:val="022D649C"/>
    <w:rsid w:val="02351774"/>
    <w:rsid w:val="023A6ECB"/>
    <w:rsid w:val="023D7843"/>
    <w:rsid w:val="02420646"/>
    <w:rsid w:val="028223A8"/>
    <w:rsid w:val="02A9706C"/>
    <w:rsid w:val="030157F5"/>
    <w:rsid w:val="031C67BA"/>
    <w:rsid w:val="03511571"/>
    <w:rsid w:val="035E37BC"/>
    <w:rsid w:val="03A25185"/>
    <w:rsid w:val="03A92E0C"/>
    <w:rsid w:val="03A93F07"/>
    <w:rsid w:val="03DD17F0"/>
    <w:rsid w:val="03F730D5"/>
    <w:rsid w:val="040E4213"/>
    <w:rsid w:val="04137380"/>
    <w:rsid w:val="04160294"/>
    <w:rsid w:val="0424709F"/>
    <w:rsid w:val="04273734"/>
    <w:rsid w:val="042C6AE4"/>
    <w:rsid w:val="0439748C"/>
    <w:rsid w:val="04663DEE"/>
    <w:rsid w:val="048B6224"/>
    <w:rsid w:val="049C3EF3"/>
    <w:rsid w:val="04BC1BA0"/>
    <w:rsid w:val="04CC4566"/>
    <w:rsid w:val="04FD23FC"/>
    <w:rsid w:val="05005426"/>
    <w:rsid w:val="055A38B5"/>
    <w:rsid w:val="059C5F8E"/>
    <w:rsid w:val="05A5035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BA22D4"/>
    <w:rsid w:val="08C76CFD"/>
    <w:rsid w:val="08E340CC"/>
    <w:rsid w:val="08E95B0E"/>
    <w:rsid w:val="090C54BE"/>
    <w:rsid w:val="092936B1"/>
    <w:rsid w:val="096A4BCE"/>
    <w:rsid w:val="098226D8"/>
    <w:rsid w:val="09894939"/>
    <w:rsid w:val="0A165448"/>
    <w:rsid w:val="0A502EA2"/>
    <w:rsid w:val="0A5758F7"/>
    <w:rsid w:val="0A67144A"/>
    <w:rsid w:val="0A71618F"/>
    <w:rsid w:val="0A7E1671"/>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F21E7"/>
    <w:rsid w:val="10681B45"/>
    <w:rsid w:val="10D545EB"/>
    <w:rsid w:val="10E51E7E"/>
    <w:rsid w:val="1109548A"/>
    <w:rsid w:val="110C762E"/>
    <w:rsid w:val="11156035"/>
    <w:rsid w:val="111F2499"/>
    <w:rsid w:val="11296D36"/>
    <w:rsid w:val="112A6843"/>
    <w:rsid w:val="1146103D"/>
    <w:rsid w:val="116C7384"/>
    <w:rsid w:val="118359B0"/>
    <w:rsid w:val="12305D0B"/>
    <w:rsid w:val="12595354"/>
    <w:rsid w:val="12676ACE"/>
    <w:rsid w:val="128C79F5"/>
    <w:rsid w:val="12987FD1"/>
    <w:rsid w:val="12D57C7C"/>
    <w:rsid w:val="12DE2F04"/>
    <w:rsid w:val="12F453F7"/>
    <w:rsid w:val="13355E57"/>
    <w:rsid w:val="135A65CD"/>
    <w:rsid w:val="135E2EEF"/>
    <w:rsid w:val="13681291"/>
    <w:rsid w:val="139A72A6"/>
    <w:rsid w:val="13D75C16"/>
    <w:rsid w:val="14134EE1"/>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115F5C"/>
    <w:rsid w:val="16333435"/>
    <w:rsid w:val="16391530"/>
    <w:rsid w:val="166C136C"/>
    <w:rsid w:val="168C0198"/>
    <w:rsid w:val="16C6539F"/>
    <w:rsid w:val="16C83962"/>
    <w:rsid w:val="16ED23AA"/>
    <w:rsid w:val="173E2364"/>
    <w:rsid w:val="1761710C"/>
    <w:rsid w:val="17812612"/>
    <w:rsid w:val="1789592C"/>
    <w:rsid w:val="17933C9F"/>
    <w:rsid w:val="17B13E29"/>
    <w:rsid w:val="17D67A38"/>
    <w:rsid w:val="17DB1463"/>
    <w:rsid w:val="17ED5B45"/>
    <w:rsid w:val="180A3BFF"/>
    <w:rsid w:val="18260DD1"/>
    <w:rsid w:val="182656C2"/>
    <w:rsid w:val="18303541"/>
    <w:rsid w:val="183735E3"/>
    <w:rsid w:val="183918BD"/>
    <w:rsid w:val="18744310"/>
    <w:rsid w:val="189F0A2A"/>
    <w:rsid w:val="18A12DFD"/>
    <w:rsid w:val="18A922F3"/>
    <w:rsid w:val="18B137E8"/>
    <w:rsid w:val="18D46399"/>
    <w:rsid w:val="18F56002"/>
    <w:rsid w:val="1906092C"/>
    <w:rsid w:val="192F50C9"/>
    <w:rsid w:val="19633F03"/>
    <w:rsid w:val="19744101"/>
    <w:rsid w:val="199E02FC"/>
    <w:rsid w:val="19BA1CE3"/>
    <w:rsid w:val="19C0382B"/>
    <w:rsid w:val="19DF55C2"/>
    <w:rsid w:val="1A0C61A8"/>
    <w:rsid w:val="1A132F57"/>
    <w:rsid w:val="1A300E03"/>
    <w:rsid w:val="1A40469B"/>
    <w:rsid w:val="1A5F760F"/>
    <w:rsid w:val="1A6F3E95"/>
    <w:rsid w:val="1A6F6E85"/>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6843C7"/>
    <w:rsid w:val="1EA60FCA"/>
    <w:rsid w:val="1EA87417"/>
    <w:rsid w:val="1ED70A99"/>
    <w:rsid w:val="1F0D2511"/>
    <w:rsid w:val="1F1732FA"/>
    <w:rsid w:val="1F35766F"/>
    <w:rsid w:val="1F42381F"/>
    <w:rsid w:val="1F65672E"/>
    <w:rsid w:val="1F6B4880"/>
    <w:rsid w:val="1F6D18D3"/>
    <w:rsid w:val="1F855EC8"/>
    <w:rsid w:val="1F865B87"/>
    <w:rsid w:val="1F8D0E35"/>
    <w:rsid w:val="1FB611E4"/>
    <w:rsid w:val="1FBA2E91"/>
    <w:rsid w:val="1FC02D54"/>
    <w:rsid w:val="1FD92D82"/>
    <w:rsid w:val="1FEE1F52"/>
    <w:rsid w:val="20950348"/>
    <w:rsid w:val="20981E88"/>
    <w:rsid w:val="20A10137"/>
    <w:rsid w:val="20B97750"/>
    <w:rsid w:val="20BD2343"/>
    <w:rsid w:val="20C125E5"/>
    <w:rsid w:val="20FE0571"/>
    <w:rsid w:val="212F48FD"/>
    <w:rsid w:val="21B23C30"/>
    <w:rsid w:val="220D5F91"/>
    <w:rsid w:val="220F017A"/>
    <w:rsid w:val="223D6488"/>
    <w:rsid w:val="224F423C"/>
    <w:rsid w:val="227628DE"/>
    <w:rsid w:val="227710AB"/>
    <w:rsid w:val="229B4E78"/>
    <w:rsid w:val="22C77F82"/>
    <w:rsid w:val="22CC3284"/>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474E0A"/>
    <w:rsid w:val="244E4AD0"/>
    <w:rsid w:val="246B4679"/>
    <w:rsid w:val="249900C5"/>
    <w:rsid w:val="24BF7D42"/>
    <w:rsid w:val="24FB039B"/>
    <w:rsid w:val="255D2F2A"/>
    <w:rsid w:val="256C5A3D"/>
    <w:rsid w:val="257963F1"/>
    <w:rsid w:val="25A7402B"/>
    <w:rsid w:val="25FE15DC"/>
    <w:rsid w:val="261D47C2"/>
    <w:rsid w:val="26806C09"/>
    <w:rsid w:val="26863962"/>
    <w:rsid w:val="26FA6E39"/>
    <w:rsid w:val="271E4603"/>
    <w:rsid w:val="272A0710"/>
    <w:rsid w:val="27555997"/>
    <w:rsid w:val="276E4B45"/>
    <w:rsid w:val="277E0E1B"/>
    <w:rsid w:val="27C13C20"/>
    <w:rsid w:val="27E3360C"/>
    <w:rsid w:val="27E47883"/>
    <w:rsid w:val="28120519"/>
    <w:rsid w:val="281327C3"/>
    <w:rsid w:val="28195AAE"/>
    <w:rsid w:val="28323569"/>
    <w:rsid w:val="28326E12"/>
    <w:rsid w:val="28504863"/>
    <w:rsid w:val="28943CBF"/>
    <w:rsid w:val="28E96526"/>
    <w:rsid w:val="28F77A34"/>
    <w:rsid w:val="29213FAC"/>
    <w:rsid w:val="294019F3"/>
    <w:rsid w:val="295F6F3A"/>
    <w:rsid w:val="298168E8"/>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3157A"/>
    <w:rsid w:val="2C2E6F83"/>
    <w:rsid w:val="2C620007"/>
    <w:rsid w:val="2CB37806"/>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F1B0798"/>
    <w:rsid w:val="2F4F0438"/>
    <w:rsid w:val="2F506BFB"/>
    <w:rsid w:val="2F675377"/>
    <w:rsid w:val="2F7E2CC0"/>
    <w:rsid w:val="2F921764"/>
    <w:rsid w:val="2F98405A"/>
    <w:rsid w:val="2FD11EB8"/>
    <w:rsid w:val="301944B2"/>
    <w:rsid w:val="303D5772"/>
    <w:rsid w:val="306E40F7"/>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4F7140"/>
    <w:rsid w:val="34755DB1"/>
    <w:rsid w:val="349E0FB2"/>
    <w:rsid w:val="34A96A1A"/>
    <w:rsid w:val="34B370D1"/>
    <w:rsid w:val="34CA52FD"/>
    <w:rsid w:val="34E622D6"/>
    <w:rsid w:val="3518700F"/>
    <w:rsid w:val="352F2FF3"/>
    <w:rsid w:val="35375748"/>
    <w:rsid w:val="35486C73"/>
    <w:rsid w:val="355953B6"/>
    <w:rsid w:val="359E09BB"/>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6E331E3"/>
    <w:rsid w:val="3736228A"/>
    <w:rsid w:val="37671725"/>
    <w:rsid w:val="376F122C"/>
    <w:rsid w:val="3798526A"/>
    <w:rsid w:val="37B72EB1"/>
    <w:rsid w:val="37C806F3"/>
    <w:rsid w:val="37C85C3C"/>
    <w:rsid w:val="37CF1603"/>
    <w:rsid w:val="37D172EF"/>
    <w:rsid w:val="38585500"/>
    <w:rsid w:val="385D1C71"/>
    <w:rsid w:val="388E1434"/>
    <w:rsid w:val="38BA5460"/>
    <w:rsid w:val="38C62FF5"/>
    <w:rsid w:val="38D62476"/>
    <w:rsid w:val="38E27127"/>
    <w:rsid w:val="39027E88"/>
    <w:rsid w:val="39075875"/>
    <w:rsid w:val="391904A1"/>
    <w:rsid w:val="391C718D"/>
    <w:rsid w:val="394D30B0"/>
    <w:rsid w:val="39624091"/>
    <w:rsid w:val="397C6037"/>
    <w:rsid w:val="39C56DB9"/>
    <w:rsid w:val="39D43B66"/>
    <w:rsid w:val="39EC03FA"/>
    <w:rsid w:val="3A107AF4"/>
    <w:rsid w:val="3A1E303B"/>
    <w:rsid w:val="3A1F74C9"/>
    <w:rsid w:val="3A2A1F54"/>
    <w:rsid w:val="3A2D40D1"/>
    <w:rsid w:val="3A314B02"/>
    <w:rsid w:val="3A5C2602"/>
    <w:rsid w:val="3A79657B"/>
    <w:rsid w:val="3A8B77C7"/>
    <w:rsid w:val="3A9A32EA"/>
    <w:rsid w:val="3AC40816"/>
    <w:rsid w:val="3AC637A5"/>
    <w:rsid w:val="3ACD391F"/>
    <w:rsid w:val="3B026D00"/>
    <w:rsid w:val="3B1471CB"/>
    <w:rsid w:val="3B1D7D2D"/>
    <w:rsid w:val="3B655681"/>
    <w:rsid w:val="3B6C4553"/>
    <w:rsid w:val="3B6F3ABC"/>
    <w:rsid w:val="3B7527F4"/>
    <w:rsid w:val="3BAA143A"/>
    <w:rsid w:val="3BC378A6"/>
    <w:rsid w:val="3BDC08FD"/>
    <w:rsid w:val="3BE42ECD"/>
    <w:rsid w:val="3BFE1CAB"/>
    <w:rsid w:val="3C10260E"/>
    <w:rsid w:val="3C1142D8"/>
    <w:rsid w:val="3C145D60"/>
    <w:rsid w:val="3C274A05"/>
    <w:rsid w:val="3C5968AF"/>
    <w:rsid w:val="3C7511AE"/>
    <w:rsid w:val="3C862E58"/>
    <w:rsid w:val="3CA977D2"/>
    <w:rsid w:val="3CC733AF"/>
    <w:rsid w:val="3CF76813"/>
    <w:rsid w:val="3CFC6063"/>
    <w:rsid w:val="3D1319B5"/>
    <w:rsid w:val="3D260CA6"/>
    <w:rsid w:val="3D520CCB"/>
    <w:rsid w:val="3D5C6974"/>
    <w:rsid w:val="3D6678B0"/>
    <w:rsid w:val="3D772181"/>
    <w:rsid w:val="3D823D30"/>
    <w:rsid w:val="3DC231A8"/>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9A1756"/>
    <w:rsid w:val="41C02331"/>
    <w:rsid w:val="41C13A63"/>
    <w:rsid w:val="41C67037"/>
    <w:rsid w:val="41D229E1"/>
    <w:rsid w:val="41EC6E94"/>
    <w:rsid w:val="41F72149"/>
    <w:rsid w:val="42415ACC"/>
    <w:rsid w:val="427D539F"/>
    <w:rsid w:val="42991E30"/>
    <w:rsid w:val="42CE0B28"/>
    <w:rsid w:val="42CF6367"/>
    <w:rsid w:val="42DE1CCC"/>
    <w:rsid w:val="4308546B"/>
    <w:rsid w:val="43263445"/>
    <w:rsid w:val="433A5AAC"/>
    <w:rsid w:val="434157E3"/>
    <w:rsid w:val="43494860"/>
    <w:rsid w:val="434D380E"/>
    <w:rsid w:val="43934189"/>
    <w:rsid w:val="439D4850"/>
    <w:rsid w:val="43BE0096"/>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091950"/>
    <w:rsid w:val="481A3F29"/>
    <w:rsid w:val="48416760"/>
    <w:rsid w:val="48466F81"/>
    <w:rsid w:val="484D02A2"/>
    <w:rsid w:val="486B647A"/>
    <w:rsid w:val="48896934"/>
    <w:rsid w:val="48C12AEC"/>
    <w:rsid w:val="48D072A1"/>
    <w:rsid w:val="48D1341D"/>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C37D08"/>
    <w:rsid w:val="55C42CEF"/>
    <w:rsid w:val="55D11119"/>
    <w:rsid w:val="55DB1F79"/>
    <w:rsid w:val="560A42BD"/>
    <w:rsid w:val="560C1D89"/>
    <w:rsid w:val="56353B20"/>
    <w:rsid w:val="56443B98"/>
    <w:rsid w:val="56453A77"/>
    <w:rsid w:val="56757259"/>
    <w:rsid w:val="56B07FE6"/>
    <w:rsid w:val="56CB4BCB"/>
    <w:rsid w:val="56FE266C"/>
    <w:rsid w:val="57391A95"/>
    <w:rsid w:val="573F3C9E"/>
    <w:rsid w:val="574C52C4"/>
    <w:rsid w:val="57526FDB"/>
    <w:rsid w:val="57572F35"/>
    <w:rsid w:val="575B33A4"/>
    <w:rsid w:val="57674A5D"/>
    <w:rsid w:val="57C90530"/>
    <w:rsid w:val="57CA177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3A2277"/>
    <w:rsid w:val="5A482DEE"/>
    <w:rsid w:val="5A55295D"/>
    <w:rsid w:val="5A7E104A"/>
    <w:rsid w:val="5A8208A0"/>
    <w:rsid w:val="5A861FD5"/>
    <w:rsid w:val="5AE3253A"/>
    <w:rsid w:val="5AEA30C9"/>
    <w:rsid w:val="5AEA3475"/>
    <w:rsid w:val="5AF54C6B"/>
    <w:rsid w:val="5B0724B0"/>
    <w:rsid w:val="5B087B94"/>
    <w:rsid w:val="5B0C2FBE"/>
    <w:rsid w:val="5B0E3E89"/>
    <w:rsid w:val="5B124740"/>
    <w:rsid w:val="5B3F66E7"/>
    <w:rsid w:val="5B872AE6"/>
    <w:rsid w:val="5BA77753"/>
    <w:rsid w:val="5BC025EF"/>
    <w:rsid w:val="5C1203C7"/>
    <w:rsid w:val="5C1F35AE"/>
    <w:rsid w:val="5C233F4F"/>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185132"/>
    <w:rsid w:val="5E2A0167"/>
    <w:rsid w:val="5E5D68E8"/>
    <w:rsid w:val="5E9074FF"/>
    <w:rsid w:val="5EB62A77"/>
    <w:rsid w:val="5EB80355"/>
    <w:rsid w:val="5EBB2226"/>
    <w:rsid w:val="5EBE5F24"/>
    <w:rsid w:val="5EF07004"/>
    <w:rsid w:val="5F0E1E9A"/>
    <w:rsid w:val="5F860C23"/>
    <w:rsid w:val="5FC44411"/>
    <w:rsid w:val="605C7AA6"/>
    <w:rsid w:val="605F132B"/>
    <w:rsid w:val="608510A4"/>
    <w:rsid w:val="608762FF"/>
    <w:rsid w:val="60BD4FD1"/>
    <w:rsid w:val="60D507D0"/>
    <w:rsid w:val="60EA1511"/>
    <w:rsid w:val="60FD5C7B"/>
    <w:rsid w:val="613D7E7B"/>
    <w:rsid w:val="617162E9"/>
    <w:rsid w:val="61A52BAA"/>
    <w:rsid w:val="61CA374D"/>
    <w:rsid w:val="61FA0AE4"/>
    <w:rsid w:val="623438BB"/>
    <w:rsid w:val="624B10F0"/>
    <w:rsid w:val="624F3E48"/>
    <w:rsid w:val="62635981"/>
    <w:rsid w:val="629A0DBB"/>
    <w:rsid w:val="629B3E75"/>
    <w:rsid w:val="629B5D43"/>
    <w:rsid w:val="62A36D1F"/>
    <w:rsid w:val="62A40365"/>
    <w:rsid w:val="62A469A9"/>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4EF390C"/>
    <w:rsid w:val="65075A96"/>
    <w:rsid w:val="650E600B"/>
    <w:rsid w:val="650F0C7B"/>
    <w:rsid w:val="653C384F"/>
    <w:rsid w:val="65B221E6"/>
    <w:rsid w:val="66426031"/>
    <w:rsid w:val="66593B74"/>
    <w:rsid w:val="66651C8A"/>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9D1F4B"/>
    <w:rsid w:val="68A8123A"/>
    <w:rsid w:val="68B84F4C"/>
    <w:rsid w:val="69055229"/>
    <w:rsid w:val="6929374C"/>
    <w:rsid w:val="692F20BB"/>
    <w:rsid w:val="69467A85"/>
    <w:rsid w:val="69784C3F"/>
    <w:rsid w:val="69965D12"/>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0C68E5"/>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9415EA"/>
    <w:rsid w:val="6FCA5E7C"/>
    <w:rsid w:val="6FE3419F"/>
    <w:rsid w:val="6FF778F1"/>
    <w:rsid w:val="700346D4"/>
    <w:rsid w:val="70287F2C"/>
    <w:rsid w:val="70AF69EB"/>
    <w:rsid w:val="70F97D93"/>
    <w:rsid w:val="71181113"/>
    <w:rsid w:val="711D7CA6"/>
    <w:rsid w:val="71227E63"/>
    <w:rsid w:val="71614B6B"/>
    <w:rsid w:val="718D2905"/>
    <w:rsid w:val="719909D2"/>
    <w:rsid w:val="719B61D4"/>
    <w:rsid w:val="71A10922"/>
    <w:rsid w:val="71D214DD"/>
    <w:rsid w:val="72091DAA"/>
    <w:rsid w:val="72267D97"/>
    <w:rsid w:val="72283454"/>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5FE451A"/>
    <w:rsid w:val="76781DCD"/>
    <w:rsid w:val="76D84698"/>
    <w:rsid w:val="775865D7"/>
    <w:rsid w:val="775B4584"/>
    <w:rsid w:val="776234AF"/>
    <w:rsid w:val="776D12AE"/>
    <w:rsid w:val="77AD0FE0"/>
    <w:rsid w:val="77BE7384"/>
    <w:rsid w:val="78821B50"/>
    <w:rsid w:val="788E2A2A"/>
    <w:rsid w:val="78C52EE0"/>
    <w:rsid w:val="78D23C9C"/>
    <w:rsid w:val="78E675D1"/>
    <w:rsid w:val="7913610A"/>
    <w:rsid w:val="791A167A"/>
    <w:rsid w:val="793F6DE5"/>
    <w:rsid w:val="796B6F7E"/>
    <w:rsid w:val="79935707"/>
    <w:rsid w:val="799A2128"/>
    <w:rsid w:val="79C30D65"/>
    <w:rsid w:val="79CC3295"/>
    <w:rsid w:val="7A0B1561"/>
    <w:rsid w:val="7A25258A"/>
    <w:rsid w:val="7A2C646D"/>
    <w:rsid w:val="7A55546C"/>
    <w:rsid w:val="7A743686"/>
    <w:rsid w:val="7A824E2E"/>
    <w:rsid w:val="7A9E7BE0"/>
    <w:rsid w:val="7AE31D01"/>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22702A"/>
    <w:rsid w:val="7D5E51C4"/>
    <w:rsid w:val="7D7525FB"/>
    <w:rsid w:val="7DC111D1"/>
    <w:rsid w:val="7DC43A43"/>
    <w:rsid w:val="7DC74225"/>
    <w:rsid w:val="7DDA69EF"/>
    <w:rsid w:val="7E6C26A2"/>
    <w:rsid w:val="7E9C7FD8"/>
    <w:rsid w:val="7EB35583"/>
    <w:rsid w:val="7EB5276C"/>
    <w:rsid w:val="7EBC57D7"/>
    <w:rsid w:val="7ED0794B"/>
    <w:rsid w:val="7ED70A6F"/>
    <w:rsid w:val="7EE20D78"/>
    <w:rsid w:val="7F216E2F"/>
    <w:rsid w:val="7F3206AA"/>
    <w:rsid w:val="7F5E6382"/>
    <w:rsid w:val="7F5F2553"/>
    <w:rsid w:val="7F89742A"/>
    <w:rsid w:val="7F9B22D0"/>
    <w:rsid w:val="7F9F74D0"/>
    <w:rsid w:val="7FA200C0"/>
    <w:rsid w:val="7FA23B7F"/>
    <w:rsid w:val="7FBE60DA"/>
    <w:rsid w:val="7FBF3588"/>
    <w:rsid w:val="7FDE4F4F"/>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标题 1 Char"/>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234</TotalTime>
  <ScaleCrop>false</ScaleCrop>
  <LinksUpToDate>false</LinksUpToDate>
  <CharactersWithSpaces>29889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NTKO</cp:lastModifiedBy>
  <cp:lastPrinted>2019-09-01T07:55:00Z</cp:lastPrinted>
  <dcterms:modified xsi:type="dcterms:W3CDTF">2020-08-25T02:21:52Z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