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30"/>
          <w:szCs w:val="30"/>
        </w:rPr>
        <w:drawing>
          <wp:anchor distT="0" distB="0" distL="114300" distR="114300" simplePos="0" relativeHeight="251678720" behindDoc="0" locked="0" layoutInCell="1" allowOverlap="1">
            <wp:simplePos x="0" y="0"/>
            <wp:positionH relativeFrom="column">
              <wp:posOffset>11430</wp:posOffset>
            </wp:positionH>
            <wp:positionV relativeFrom="paragraph">
              <wp:posOffset>62865</wp:posOffset>
            </wp:positionV>
            <wp:extent cx="1222375" cy="784860"/>
            <wp:effectExtent l="0" t="0" r="15875" b="15240"/>
            <wp:wrapSquare wrapText="bothSides"/>
            <wp:docPr id="3" name="图片 5" descr="背景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背景墙"/>
                    <pic:cNvPicPr>
                      <a:picLocks noChangeAspect="1" noChangeArrowheads="1"/>
                    </pic:cNvPicPr>
                  </pic:nvPicPr>
                  <pic:blipFill>
                    <a:blip r:embed="rId9" cstate="print"/>
                    <a:srcRect/>
                    <a:stretch>
                      <a:fillRect/>
                    </a:stretch>
                  </pic:blipFill>
                  <pic:spPr>
                    <a:xfrm>
                      <a:off x="0" y="0"/>
                      <a:ext cx="1222375" cy="784860"/>
                    </a:xfrm>
                    <a:prstGeom prst="rect">
                      <a:avLst/>
                    </a:prstGeom>
                    <a:noFill/>
                    <a:ln w="9525" cmpd="sng">
                      <a:noFill/>
                      <a:miter lim="800000"/>
                      <a:headEnd/>
                      <a:tailEnd/>
                    </a:ln>
                  </pic:spPr>
                </pic:pic>
              </a:graphicData>
            </a:graphic>
          </wp:anchor>
        </w:drawing>
      </w: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p>
    <w:p>
      <w:pPr>
        <w:kinsoku w:val="0"/>
        <w:overflowPunct w:val="0"/>
        <w:ind w:right="17"/>
        <w:jc w:val="center"/>
        <w:outlineLvl w:val="9"/>
        <w:rPr>
          <w:rFonts w:hint="eastAsia" w:asciiTheme="minorEastAsia" w:hAnsiTheme="minorEastAsia" w:eastAsiaTheme="minorEastAsia" w:cstheme="minorEastAsia"/>
          <w:color w:val="auto"/>
          <w:sz w:val="28"/>
        </w:rPr>
      </w:pPr>
      <w:r>
        <w:rPr>
          <w:rFonts w:hint="eastAsia" w:asciiTheme="minorEastAsia" w:hAnsiTheme="minorEastAsia" w:eastAsiaTheme="minorEastAsia" w:cstheme="minorEastAsia"/>
          <w:color w:val="auto"/>
          <w:sz w:val="28"/>
        </w:rPr>
        <w:br w:type="textWrapping"/>
      </w:r>
      <w:r>
        <w:rPr>
          <w:rFonts w:hint="eastAsia" w:asciiTheme="minorEastAsia" w:hAnsiTheme="minorEastAsia" w:eastAsiaTheme="minorEastAsia" w:cstheme="minorEastAsia"/>
          <w:color w:val="auto"/>
          <w:sz w:val="28"/>
        </w:rPr>
        <w:br w:type="textWrapping"/>
      </w:r>
    </w:p>
    <w:p>
      <w:pPr>
        <w:pStyle w:val="10"/>
        <w:kinsoku w:val="0"/>
        <w:overflowPunct w:val="0"/>
        <w:spacing w:before="194"/>
        <w:jc w:val="center"/>
        <w:rPr>
          <w:rFonts w:hint="eastAsia" w:asciiTheme="minorEastAsia" w:hAnsiTheme="minorEastAsia" w:eastAsiaTheme="minorEastAsia" w:cstheme="minorEastAsia"/>
          <w:color w:val="auto"/>
          <w:sz w:val="92"/>
        </w:rPr>
      </w:pP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竞争性</w:t>
      </w:r>
      <w:r>
        <w:rPr>
          <w:rFonts w:hint="eastAsia" w:asciiTheme="minorEastAsia" w:hAnsiTheme="minorEastAsia" w:eastAsiaTheme="minorEastAsia" w:cstheme="minorEastAsia"/>
          <w:color w:val="auto"/>
          <w:sz w:val="92"/>
          <w:lang w:val="en-US" w:eastAsia="zh-CN"/>
          <w14:shadow w14:blurRad="50800" w14:dist="38100" w14:dir="2700000" w14:sx="100000" w14:sy="100000" w14:kx="0" w14:ky="0" w14:algn="tl">
            <w14:srgbClr w14:val="000000">
              <w14:alpha w14:val="60000"/>
            </w14:srgbClr>
          </w14:shadow>
        </w:rPr>
        <w:t>磋商</w:t>
      </w:r>
      <w:r>
        <w:rPr>
          <w:rFonts w:hint="eastAsia" w:asciiTheme="minorEastAsia" w:hAnsiTheme="minorEastAsia" w:eastAsiaTheme="minorEastAsia" w:cstheme="minorEastAsia"/>
          <w:color w:val="auto"/>
          <w:sz w:val="92"/>
          <w14:shadow w14:blurRad="50800" w14:dist="38100" w14:dir="2700000" w14:sx="100000" w14:sy="100000" w14:kx="0" w14:ky="0" w14:algn="tl">
            <w14:srgbClr w14:val="000000">
              <w14:alpha w14:val="60000"/>
            </w14:srgbClr>
          </w14:shadow>
        </w:rPr>
        <w:t>采购文件</w:t>
      </w: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jc w:val="center"/>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2" w:after="1"/>
        <w:rPr>
          <w:rFonts w:hint="eastAsia" w:asciiTheme="minorEastAsia" w:hAnsiTheme="minorEastAsia" w:eastAsiaTheme="minorEastAsia" w:cstheme="minorEastAsia"/>
          <w:color w:val="auto"/>
          <w:sz w:val="11"/>
        </w:rPr>
      </w:pPr>
    </w:p>
    <w:tbl>
      <w:tblPr>
        <w:tblStyle w:val="26"/>
        <w:tblW w:w="8146"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3"/>
        <w:gridCol w:w="6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编</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号：</w:t>
            </w:r>
          </w:p>
        </w:tc>
        <w:tc>
          <w:tcPr>
            <w:tcW w:w="6053" w:type="dxa"/>
            <w:tcBorders>
              <w:top w:val="nil"/>
              <w:left w:val="nil"/>
              <w:bottom w:val="nil"/>
              <w:right w:val="nil"/>
              <w:tl2br w:val="nil"/>
              <w:tr2bl w:val="nil"/>
            </w:tcBorders>
            <w:vAlign w:val="center"/>
          </w:tcPr>
          <w:p>
            <w:pPr>
              <w:pStyle w:val="95"/>
              <w:kinsoku w:val="0"/>
              <w:overflowPunct w:val="0"/>
              <w:spacing w:before="122"/>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ZJZB-202008-242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3"/>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项</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目</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名</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称：</w:t>
            </w:r>
          </w:p>
        </w:tc>
        <w:tc>
          <w:tcPr>
            <w:tcW w:w="6053" w:type="dxa"/>
            <w:tcBorders>
              <w:top w:val="nil"/>
              <w:left w:val="nil"/>
              <w:bottom w:val="nil"/>
              <w:right w:val="nil"/>
              <w:tl2br w:val="nil"/>
              <w:tr2bl w:val="nil"/>
            </w:tcBorders>
            <w:vAlign w:val="center"/>
          </w:tcPr>
          <w:p>
            <w:pPr>
              <w:pStyle w:val="95"/>
              <w:kinsoku w:val="0"/>
              <w:overflowPunct w:val="0"/>
              <w:spacing w:before="123" w:line="242" w:lineRule="auto"/>
              <w:ind w:left="55" w:right="136"/>
              <w:jc w:val="both"/>
              <w:rPr>
                <w:rFonts w:hint="eastAsia" w:asciiTheme="minorEastAsia" w:hAnsiTheme="minorEastAsia" w:eastAsiaTheme="minorEastAsia" w:cstheme="minorEastAsia"/>
                <w:b/>
                <w:color w:val="auto"/>
                <w:sz w:val="28"/>
                <w:lang w:eastAsia="zh-CN"/>
              </w:rPr>
            </w:pPr>
            <w:r>
              <w:rPr>
                <w:rFonts w:hint="eastAsia" w:asciiTheme="minorEastAsia" w:hAnsiTheme="minorEastAsia" w:eastAsiaTheme="minorEastAsia" w:cstheme="minorEastAsia"/>
                <w:b/>
                <w:color w:val="auto"/>
                <w:sz w:val="28"/>
                <w:lang w:eastAsia="zh-CN"/>
              </w:rPr>
              <w:t>湖北水利水电职业技术学院2020年新生军训服装采购项目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采</w:t>
            </w:r>
            <w:r>
              <w:rPr>
                <w:rFonts w:hint="eastAsia" w:asciiTheme="minorEastAsia" w:hAnsiTheme="minorEastAsia" w:eastAsiaTheme="minorEastAsia" w:cstheme="minorEastAsia"/>
                <w:b/>
                <w:color w:val="auto"/>
                <w:sz w:val="28"/>
                <w:lang w:val="en-US" w:eastAsia="zh-CN"/>
              </w:rPr>
              <w:t xml:space="preserve"> </w:t>
            </w:r>
            <w:r>
              <w:rPr>
                <w:rFonts w:hint="eastAsia" w:asciiTheme="minorEastAsia" w:hAnsiTheme="minorEastAsia" w:eastAsiaTheme="minorEastAsia" w:cstheme="minorEastAsia"/>
                <w:b/>
                <w:color w:val="auto"/>
                <w:sz w:val="28"/>
              </w:rPr>
              <w:t>购</w:t>
            </w:r>
            <w:r>
              <w:rPr>
                <w:rFonts w:hint="eastAsia" w:asciiTheme="minorEastAsia" w:hAnsiTheme="minorEastAsia" w:eastAsiaTheme="minorEastAsia" w:cstheme="minorEastAsia"/>
                <w:b/>
                <w:color w:val="auto"/>
                <w:sz w:val="28"/>
                <w:lang w:val="en-US" w:eastAsia="zh-CN"/>
              </w:rPr>
              <w:t xml:space="preserve">  方 式</w:t>
            </w:r>
            <w:r>
              <w:rPr>
                <w:rFonts w:hint="eastAsia" w:asciiTheme="minorEastAsia" w:hAnsiTheme="minorEastAsia" w:eastAsiaTheme="minorEastAsia" w:cstheme="minorEastAsia"/>
                <w:b/>
                <w:color w:val="auto"/>
                <w:sz w:val="28"/>
              </w:rPr>
              <w:t>：</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rPr>
              <w:t>竞争性磋商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rPr>
        <w:tc>
          <w:tcPr>
            <w:tcW w:w="2093"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类 别：</w:t>
            </w:r>
          </w:p>
        </w:tc>
        <w:tc>
          <w:tcPr>
            <w:tcW w:w="6053" w:type="dxa"/>
            <w:tcBorders>
              <w:top w:val="nil"/>
              <w:left w:val="nil"/>
              <w:bottom w:val="nil"/>
              <w:right w:val="nil"/>
              <w:tl2br w:val="nil"/>
              <w:tr2bl w:val="nil"/>
            </w:tcBorders>
            <w:vAlign w:val="center"/>
          </w:tcPr>
          <w:p>
            <w:pPr>
              <w:pStyle w:val="95"/>
              <w:kinsoku w:val="0"/>
              <w:overflowPunct w:val="0"/>
              <w:spacing w:before="122" w:line="299" w:lineRule="exact"/>
              <w:ind w:left="55"/>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货物</w:t>
            </w:r>
          </w:p>
        </w:tc>
      </w:tr>
    </w:tbl>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rPr>
          <w:rFonts w:hint="eastAsia" w:asciiTheme="minorEastAsia" w:hAnsiTheme="minorEastAsia" w:eastAsiaTheme="minorEastAsia" w:cstheme="minorEastAsia"/>
          <w:color w:val="auto"/>
          <w:sz w:val="20"/>
        </w:rPr>
      </w:pPr>
    </w:p>
    <w:p>
      <w:pPr>
        <w:pStyle w:val="10"/>
        <w:kinsoku w:val="0"/>
        <w:overflowPunct w:val="0"/>
        <w:spacing w:before="4"/>
        <w:rPr>
          <w:rFonts w:hint="eastAsia" w:asciiTheme="minorEastAsia" w:hAnsiTheme="minorEastAsia" w:eastAsiaTheme="minorEastAsia" w:cstheme="minorEastAsia"/>
          <w:color w:val="auto"/>
          <w:sz w:val="20"/>
        </w:rPr>
      </w:pPr>
    </w:p>
    <w:tbl>
      <w:tblPr>
        <w:tblStyle w:val="26"/>
        <w:tblW w:w="812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1"/>
        <w:gridCol w:w="6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   购   人：</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rPr>
              <w:t>湖北水利水电职业技术学院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采购代理机构：</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中经国际招标集团有限公司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2041"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eastAsia"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编 制 时 间 ：</w:t>
            </w:r>
          </w:p>
        </w:tc>
        <w:tc>
          <w:tcPr>
            <w:tcW w:w="6082" w:type="dxa"/>
            <w:tcBorders>
              <w:top w:val="nil"/>
              <w:left w:val="nil"/>
              <w:bottom w:val="nil"/>
              <w:right w:val="nil"/>
              <w:tl2br w:val="nil"/>
              <w:tr2bl w:val="nil"/>
            </w:tcBorders>
            <w:vAlign w:val="center"/>
          </w:tcPr>
          <w:p>
            <w:pPr>
              <w:pStyle w:val="95"/>
              <w:kinsoku w:val="0"/>
              <w:overflowPunct w:val="0"/>
              <w:spacing w:before="122" w:line="299" w:lineRule="exact"/>
              <w:ind w:right="53"/>
              <w:jc w:val="both"/>
              <w:rPr>
                <w:rFonts w:hint="default" w:asciiTheme="minorEastAsia" w:hAnsiTheme="minorEastAsia" w:eastAsiaTheme="minorEastAsia" w:cstheme="minorEastAsia"/>
                <w:b/>
                <w:color w:val="auto"/>
                <w:sz w:val="28"/>
                <w:lang w:val="en-US" w:eastAsia="zh-CN"/>
              </w:rPr>
            </w:pPr>
            <w:r>
              <w:rPr>
                <w:rFonts w:hint="eastAsia" w:asciiTheme="minorEastAsia" w:hAnsiTheme="minorEastAsia" w:eastAsiaTheme="minorEastAsia" w:cstheme="minorEastAsia"/>
                <w:b/>
                <w:color w:val="auto"/>
                <w:sz w:val="28"/>
                <w:lang w:val="en-US" w:eastAsia="zh-CN"/>
              </w:rPr>
              <w:t>2020年8月</w:t>
            </w:r>
          </w:p>
        </w:tc>
      </w:tr>
    </w:tbl>
    <w:p>
      <w:pPr>
        <w:rPr>
          <w:rFonts w:hint="eastAsia" w:asciiTheme="minorEastAsia" w:hAnsiTheme="minorEastAsia" w:eastAsiaTheme="minorEastAsia" w:cstheme="minorEastAsia"/>
          <w:color w:val="auto"/>
          <w:sz w:val="20"/>
        </w:rPr>
        <w:sectPr>
          <w:type w:val="continuous"/>
          <w:pgSz w:w="11910" w:h="16840"/>
          <w:pgMar w:top="1400" w:right="1200" w:bottom="280" w:left="1200" w:header="720" w:footer="720" w:gutter="0"/>
          <w:lnNumType w:countBy="0" w:distance="360"/>
          <w:cols w:space="720" w:num="1"/>
        </w:sectPr>
      </w:pPr>
    </w:p>
    <w:p>
      <w:pPr>
        <w:tabs>
          <w:tab w:val="center" w:pos="4597"/>
          <w:tab w:val="left" w:pos="6772"/>
        </w:tabs>
        <w:jc w:val="left"/>
        <w:rPr>
          <w:rFonts w:hint="eastAsia" w:asciiTheme="minorEastAsia" w:hAnsiTheme="minorEastAsia" w:eastAsiaTheme="minorEastAsia" w:cstheme="minorEastAsia"/>
          <w:b/>
          <w:bCs/>
          <w:color w:val="auto"/>
          <w:sz w:val="44"/>
          <w:szCs w:val="44"/>
          <w:lang w:val="zh-CN"/>
        </w:rPr>
      </w:pPr>
      <w:r>
        <w:rPr>
          <w:rFonts w:hint="eastAsia" w:asciiTheme="minorEastAsia" w:hAnsiTheme="minorEastAsia" w:eastAsiaTheme="minorEastAsia" w:cstheme="minorEastAsia"/>
          <w:b/>
          <w:bCs/>
          <w:color w:val="auto"/>
          <w:sz w:val="44"/>
          <w:szCs w:val="44"/>
          <w:lang w:val="zh-CN"/>
        </w:rPr>
        <w:tab/>
      </w:r>
      <w:r>
        <w:rPr>
          <w:rFonts w:hint="eastAsia" w:asciiTheme="minorEastAsia" w:hAnsiTheme="minorEastAsia" w:eastAsiaTheme="minorEastAsia" w:cstheme="minorEastAsia"/>
          <w:b/>
          <w:bCs/>
          <w:color w:val="auto"/>
          <w:sz w:val="44"/>
          <w:szCs w:val="44"/>
          <w:lang w:val="zh-CN"/>
        </w:rPr>
        <w:t>目  录</w:t>
      </w:r>
      <w:r>
        <w:rPr>
          <w:rFonts w:hint="eastAsia" w:asciiTheme="minorEastAsia" w:hAnsiTheme="minorEastAsia" w:eastAsiaTheme="minorEastAsia" w:cstheme="minorEastAsia"/>
          <w:b/>
          <w:bCs/>
          <w:color w:val="auto"/>
          <w:sz w:val="44"/>
          <w:szCs w:val="44"/>
          <w:lang w:val="zh-CN"/>
        </w:rPr>
        <w:tab/>
      </w:r>
    </w:p>
    <w:p>
      <w:pPr>
        <w:jc w:val="center"/>
        <w:rPr>
          <w:rFonts w:hint="eastAsia" w:asciiTheme="minorEastAsia" w:hAnsiTheme="minorEastAsia" w:eastAsiaTheme="minorEastAsia" w:cstheme="minorEastAsia"/>
          <w:b/>
          <w:bCs/>
          <w:color w:val="auto"/>
          <w:szCs w:val="21"/>
          <w:lang w:val="zh-CN"/>
        </w:rPr>
      </w:pPr>
    </w:p>
    <w:p>
      <w:pPr>
        <w:pStyle w:val="20"/>
        <w:tabs>
          <w:tab w:val="right" w:leader="dot" w:pos="9072"/>
        </w:tabs>
        <w:rPr>
          <w:color w:val="auto"/>
        </w:rPr>
      </w:pPr>
      <w:r>
        <w:rPr>
          <w:rFonts w:hint="eastAsia" w:asciiTheme="minorEastAsia" w:hAnsiTheme="minorEastAsia" w:eastAsiaTheme="minorEastAsia" w:cstheme="minorEastAsia"/>
          <w:color w:val="auto"/>
          <w:sz w:val="24"/>
        </w:rPr>
        <w:fldChar w:fldCharType="begin"/>
      </w:r>
      <w:r>
        <w:rPr>
          <w:rFonts w:hint="eastAsia" w:asciiTheme="minorEastAsia" w:hAnsiTheme="minorEastAsia" w:eastAsiaTheme="minorEastAsia" w:cstheme="minorEastAsia"/>
          <w:color w:val="auto"/>
          <w:sz w:val="24"/>
        </w:rPr>
        <w:instrText xml:space="preserve"> TOC \o "1-3" \h \z \u </w:instrText>
      </w:r>
      <w:r>
        <w:rPr>
          <w:rFonts w:hint="eastAsia" w:asciiTheme="minorEastAsia" w:hAnsiTheme="minorEastAsia" w:eastAsiaTheme="minorEastAsia" w:cstheme="minorEastAsia"/>
          <w:color w:val="auto"/>
          <w:sz w:val="24"/>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_Toc1628 </w:instrText>
      </w:r>
      <w:r>
        <w:rPr>
          <w:rFonts w:hint="eastAsia" w:asciiTheme="minorEastAsia" w:hAnsiTheme="minorEastAsia" w:eastAsiaTheme="minorEastAsia" w:cstheme="minorEastAsia"/>
          <w:color w:val="auto"/>
        </w:rPr>
        <w:fldChar w:fldCharType="separate"/>
      </w:r>
      <w:r>
        <w:rPr>
          <w:rFonts w:hint="default"/>
          <w:bCs/>
          <w:color w:val="auto"/>
          <w:szCs w:val="36"/>
        </w:rPr>
        <w:t xml:space="preserve">第一章 </w:t>
      </w:r>
      <w:r>
        <w:rPr>
          <w:rFonts w:hint="eastAsia" w:ascii="宋体" w:hAnsi="宋体" w:cs="宋体"/>
          <w:color w:val="auto"/>
          <w:szCs w:val="36"/>
        </w:rPr>
        <w:t>竞争性磋商公告</w:t>
      </w:r>
      <w:r>
        <w:rPr>
          <w:color w:val="auto"/>
        </w:rPr>
        <w:tab/>
      </w:r>
      <w:r>
        <w:rPr>
          <w:color w:val="auto"/>
        </w:rPr>
        <w:fldChar w:fldCharType="begin"/>
      </w:r>
      <w:r>
        <w:rPr>
          <w:color w:val="auto"/>
        </w:rPr>
        <w:instrText xml:space="preserve"> PAGEREF _Toc1628 </w:instrText>
      </w:r>
      <w:r>
        <w:rPr>
          <w:color w:val="auto"/>
        </w:rPr>
        <w:fldChar w:fldCharType="separate"/>
      </w:r>
      <w:r>
        <w:rPr>
          <w:color w:val="auto"/>
        </w:rPr>
        <w:t>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_Toc24710 </w:instrText>
      </w:r>
      <w:r>
        <w:rPr>
          <w:rFonts w:hint="eastAsia" w:asciiTheme="minorEastAsia" w:hAnsiTheme="minorEastAsia" w:eastAsiaTheme="minorEastAsia" w:cstheme="minorEastAsia"/>
          <w:color w:val="auto"/>
        </w:rPr>
        <w:fldChar w:fldCharType="separate"/>
      </w:r>
      <w:r>
        <w:rPr>
          <w:rFonts w:hint="eastAsia" w:ascii="宋体" w:hAnsi="宋体" w:eastAsia="宋体" w:cs="宋体"/>
          <w:color w:val="auto"/>
          <w:szCs w:val="21"/>
        </w:rPr>
        <w:t>一、 项目基本情况</w:t>
      </w:r>
      <w:r>
        <w:rPr>
          <w:color w:val="auto"/>
        </w:rPr>
        <w:tab/>
      </w:r>
      <w:r>
        <w:rPr>
          <w:color w:val="auto"/>
        </w:rPr>
        <w:fldChar w:fldCharType="begin"/>
      </w:r>
      <w:r>
        <w:rPr>
          <w:color w:val="auto"/>
        </w:rPr>
        <w:instrText xml:space="preserve"> PAGEREF _Toc24710 </w:instrText>
      </w:r>
      <w:r>
        <w:rPr>
          <w:color w:val="auto"/>
        </w:rPr>
        <w:fldChar w:fldCharType="separate"/>
      </w:r>
      <w:r>
        <w:rPr>
          <w:color w:val="auto"/>
        </w:rPr>
        <w:t>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_Toc20667 </w:instrText>
      </w:r>
      <w:r>
        <w:rPr>
          <w:rFonts w:hint="eastAsia" w:asciiTheme="minorEastAsia" w:hAnsiTheme="minorEastAsia" w:eastAsiaTheme="minorEastAsia" w:cstheme="minorEastAsia"/>
          <w:color w:val="auto"/>
        </w:rPr>
        <w:fldChar w:fldCharType="separate"/>
      </w:r>
      <w:r>
        <w:rPr>
          <w:rFonts w:hint="eastAsia" w:ascii="宋体" w:hAnsi="宋体" w:eastAsia="宋体" w:cs="宋体"/>
          <w:color w:val="auto"/>
          <w:szCs w:val="21"/>
        </w:rPr>
        <w:t>二、 申请人的资格要求</w:t>
      </w:r>
      <w:r>
        <w:rPr>
          <w:color w:val="auto"/>
        </w:rPr>
        <w:tab/>
      </w:r>
      <w:r>
        <w:rPr>
          <w:color w:val="auto"/>
        </w:rPr>
        <w:fldChar w:fldCharType="begin"/>
      </w:r>
      <w:r>
        <w:rPr>
          <w:color w:val="auto"/>
        </w:rPr>
        <w:instrText xml:space="preserve"> PAGEREF _Toc20667 </w:instrText>
      </w:r>
      <w:r>
        <w:rPr>
          <w:color w:val="auto"/>
        </w:rPr>
        <w:fldChar w:fldCharType="separate"/>
      </w:r>
      <w:r>
        <w:rPr>
          <w:color w:val="auto"/>
        </w:rPr>
        <w:t>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_Toc30193 </w:instrText>
      </w:r>
      <w:r>
        <w:rPr>
          <w:rFonts w:hint="eastAsia" w:asciiTheme="minorEastAsia" w:hAnsiTheme="minorEastAsia" w:eastAsiaTheme="minorEastAsia" w:cstheme="minorEastAsia"/>
          <w:color w:val="auto"/>
        </w:rPr>
        <w:fldChar w:fldCharType="separate"/>
      </w:r>
      <w:r>
        <w:rPr>
          <w:rFonts w:hint="eastAsia" w:ascii="宋体" w:hAnsi="宋体" w:eastAsia="宋体" w:cs="宋体"/>
          <w:color w:val="auto"/>
          <w:szCs w:val="21"/>
        </w:rPr>
        <w:t>三、 获取</w:t>
      </w:r>
      <w:r>
        <w:rPr>
          <w:rFonts w:hint="eastAsia" w:ascii="宋体" w:hAnsi="宋体" w:eastAsia="宋体" w:cs="宋体"/>
          <w:color w:val="auto"/>
          <w:szCs w:val="21"/>
          <w:lang w:eastAsia="zh-CN"/>
        </w:rPr>
        <w:t>采购</w:t>
      </w:r>
      <w:r>
        <w:rPr>
          <w:rFonts w:hint="eastAsia" w:ascii="宋体" w:hAnsi="宋体" w:eastAsia="宋体" w:cs="宋体"/>
          <w:color w:val="auto"/>
          <w:szCs w:val="21"/>
        </w:rPr>
        <w:t>文件</w:t>
      </w:r>
      <w:r>
        <w:rPr>
          <w:color w:val="auto"/>
        </w:rPr>
        <w:tab/>
      </w:r>
      <w:r>
        <w:rPr>
          <w:color w:val="auto"/>
        </w:rPr>
        <w:fldChar w:fldCharType="begin"/>
      </w:r>
      <w:r>
        <w:rPr>
          <w:color w:val="auto"/>
        </w:rPr>
        <w:instrText xml:space="preserve"> PAGEREF _Toc30193 </w:instrText>
      </w:r>
      <w:r>
        <w:rPr>
          <w:color w:val="auto"/>
        </w:rPr>
        <w:fldChar w:fldCharType="separate"/>
      </w:r>
      <w:r>
        <w:rPr>
          <w:color w:val="auto"/>
        </w:rPr>
        <w:t>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_Toc3841 </w:instrText>
      </w:r>
      <w:r>
        <w:rPr>
          <w:rFonts w:hint="eastAsia" w:asciiTheme="minorEastAsia" w:hAnsiTheme="minorEastAsia" w:eastAsiaTheme="minorEastAsia" w:cstheme="minorEastAsia"/>
          <w:color w:val="auto"/>
        </w:rPr>
        <w:fldChar w:fldCharType="separate"/>
      </w:r>
      <w:r>
        <w:rPr>
          <w:rFonts w:hint="eastAsia" w:ascii="宋体" w:hAnsi="宋体" w:eastAsia="宋体" w:cs="宋体"/>
          <w:color w:val="auto"/>
          <w:szCs w:val="21"/>
        </w:rPr>
        <w:t xml:space="preserve">四、 </w:t>
      </w:r>
      <w:r>
        <w:rPr>
          <w:rFonts w:hint="eastAsia" w:ascii="宋体" w:hAnsi="宋体" w:eastAsia="宋体" w:cs="宋体"/>
          <w:color w:val="auto"/>
          <w:szCs w:val="21"/>
          <w:lang w:eastAsia="zh-CN"/>
        </w:rPr>
        <w:t>响应文件提交</w:t>
      </w:r>
      <w:r>
        <w:rPr>
          <w:color w:val="auto"/>
        </w:rPr>
        <w:tab/>
      </w:r>
      <w:r>
        <w:rPr>
          <w:color w:val="auto"/>
        </w:rPr>
        <w:fldChar w:fldCharType="begin"/>
      </w:r>
      <w:r>
        <w:rPr>
          <w:color w:val="auto"/>
        </w:rPr>
        <w:instrText xml:space="preserve"> PAGEREF _Toc3841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_Toc11052 </w:instrText>
      </w:r>
      <w:r>
        <w:rPr>
          <w:rFonts w:hint="eastAsia" w:asciiTheme="minorEastAsia" w:hAnsiTheme="minorEastAsia" w:eastAsiaTheme="minorEastAsia" w:cstheme="minorEastAsia"/>
          <w:color w:val="auto"/>
        </w:rPr>
        <w:fldChar w:fldCharType="separate"/>
      </w:r>
      <w:r>
        <w:rPr>
          <w:rFonts w:hint="eastAsia" w:eastAsia="宋体"/>
          <w:color w:val="auto"/>
          <w:szCs w:val="21"/>
          <w:lang w:eastAsia="zh-CN"/>
        </w:rPr>
        <w:t xml:space="preserve">五、 </w:t>
      </w:r>
      <w:r>
        <w:rPr>
          <w:rFonts w:hint="eastAsia" w:ascii="宋体" w:hAnsi="宋体" w:eastAsia="宋体" w:cs="宋体"/>
          <w:color w:val="auto"/>
          <w:szCs w:val="21"/>
          <w:lang w:eastAsia="zh-CN"/>
        </w:rPr>
        <w:t>开启</w:t>
      </w:r>
      <w:r>
        <w:rPr>
          <w:color w:val="auto"/>
        </w:rPr>
        <w:tab/>
      </w:r>
      <w:r>
        <w:rPr>
          <w:color w:val="auto"/>
        </w:rPr>
        <w:fldChar w:fldCharType="begin"/>
      </w:r>
      <w:r>
        <w:rPr>
          <w:color w:val="auto"/>
        </w:rPr>
        <w:instrText xml:space="preserve"> PAGEREF _Toc11052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_Toc23624 </w:instrText>
      </w:r>
      <w:r>
        <w:rPr>
          <w:rFonts w:hint="eastAsia" w:asciiTheme="minorEastAsia" w:hAnsiTheme="minorEastAsia" w:eastAsiaTheme="minorEastAsia" w:cstheme="minorEastAsia"/>
          <w:color w:val="auto"/>
        </w:rPr>
        <w:fldChar w:fldCharType="separate"/>
      </w:r>
      <w:r>
        <w:rPr>
          <w:rFonts w:hint="eastAsia" w:ascii="宋体" w:hAnsi="宋体" w:eastAsia="宋体" w:cs="宋体"/>
          <w:color w:val="auto"/>
          <w:szCs w:val="21"/>
        </w:rPr>
        <w:t>六、 公告期限</w:t>
      </w:r>
      <w:r>
        <w:rPr>
          <w:color w:val="auto"/>
        </w:rPr>
        <w:tab/>
      </w:r>
      <w:r>
        <w:rPr>
          <w:color w:val="auto"/>
        </w:rPr>
        <w:fldChar w:fldCharType="begin"/>
      </w:r>
      <w:r>
        <w:rPr>
          <w:color w:val="auto"/>
        </w:rPr>
        <w:instrText xml:space="preserve"> PAGEREF _Toc23624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_Toc17673 </w:instrText>
      </w:r>
      <w:r>
        <w:rPr>
          <w:rFonts w:hint="eastAsia" w:asciiTheme="minorEastAsia" w:hAnsiTheme="minorEastAsia" w:eastAsiaTheme="minorEastAsia" w:cstheme="minorEastAsia"/>
          <w:color w:val="auto"/>
        </w:rPr>
        <w:fldChar w:fldCharType="separate"/>
      </w:r>
      <w:r>
        <w:rPr>
          <w:rFonts w:hint="eastAsia" w:ascii="宋体" w:hAnsi="宋体" w:eastAsia="宋体" w:cs="宋体"/>
          <w:color w:val="auto"/>
          <w:szCs w:val="21"/>
        </w:rPr>
        <w:t>七、 其他补充事宜</w:t>
      </w:r>
      <w:r>
        <w:rPr>
          <w:color w:val="auto"/>
        </w:rPr>
        <w:tab/>
      </w:r>
      <w:r>
        <w:rPr>
          <w:color w:val="auto"/>
        </w:rPr>
        <w:fldChar w:fldCharType="begin"/>
      </w:r>
      <w:r>
        <w:rPr>
          <w:color w:val="auto"/>
        </w:rPr>
        <w:instrText xml:space="preserve"> PAGEREF _Toc17673 </w:instrText>
      </w:r>
      <w:r>
        <w:rPr>
          <w:color w:val="auto"/>
        </w:rPr>
        <w:fldChar w:fldCharType="separate"/>
      </w:r>
      <w:r>
        <w:rPr>
          <w:color w:val="auto"/>
        </w:rPr>
        <w:t>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_Toc12218 </w:instrText>
      </w:r>
      <w:r>
        <w:rPr>
          <w:rFonts w:hint="eastAsia" w:asciiTheme="minorEastAsia" w:hAnsiTheme="minorEastAsia" w:eastAsiaTheme="minorEastAsia" w:cstheme="minorEastAsia"/>
          <w:color w:val="auto"/>
        </w:rPr>
        <w:fldChar w:fldCharType="separate"/>
      </w:r>
      <w:r>
        <w:rPr>
          <w:rFonts w:hint="eastAsia" w:ascii="宋体" w:hAnsi="宋体" w:eastAsia="宋体" w:cs="宋体"/>
          <w:color w:val="auto"/>
          <w:szCs w:val="21"/>
        </w:rPr>
        <w:t>八、 凡对本次采购提出询问，请按以下方式联系</w:t>
      </w:r>
      <w:r>
        <w:rPr>
          <w:color w:val="auto"/>
        </w:rPr>
        <w:tab/>
      </w:r>
      <w:r>
        <w:rPr>
          <w:color w:val="auto"/>
        </w:rPr>
        <w:fldChar w:fldCharType="begin"/>
      </w:r>
      <w:r>
        <w:rPr>
          <w:color w:val="auto"/>
        </w:rPr>
        <w:instrText xml:space="preserve"> PAGEREF _Toc12218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_Toc30016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九、 注意事项</w:t>
      </w:r>
      <w:r>
        <w:rPr>
          <w:color w:val="auto"/>
        </w:rPr>
        <w:tab/>
      </w:r>
      <w:r>
        <w:rPr>
          <w:color w:val="auto"/>
        </w:rPr>
        <w:fldChar w:fldCharType="begin"/>
      </w:r>
      <w:r>
        <w:rPr>
          <w:color w:val="auto"/>
        </w:rPr>
        <w:instrText xml:space="preserve"> PAGEREF _Toc30016 </w:instrText>
      </w:r>
      <w:r>
        <w:rPr>
          <w:color w:val="auto"/>
        </w:rPr>
        <w:fldChar w:fldCharType="separate"/>
      </w:r>
      <w:r>
        <w:rPr>
          <w:color w:val="auto"/>
        </w:rPr>
        <w:t>8</w:t>
      </w:r>
      <w:r>
        <w:rPr>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_Toc30354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第二章 </w:t>
      </w:r>
      <w:r>
        <w:rPr>
          <w:rFonts w:hint="eastAsia" w:asciiTheme="minorEastAsia" w:hAnsiTheme="minorEastAsia" w:eastAsiaTheme="minorEastAsia" w:cstheme="minorEastAsia"/>
          <w:color w:val="auto"/>
          <w:szCs w:val="36"/>
        </w:rPr>
        <w:t>供应商须知</w:t>
      </w:r>
      <w:r>
        <w:rPr>
          <w:color w:val="auto"/>
        </w:rPr>
        <w:tab/>
      </w:r>
      <w:r>
        <w:rPr>
          <w:color w:val="auto"/>
        </w:rPr>
        <w:fldChar w:fldCharType="begin"/>
      </w:r>
      <w:r>
        <w:rPr>
          <w:color w:val="auto"/>
        </w:rPr>
        <w:instrText xml:space="preserve"> PAGEREF _Toc30354 </w:instrText>
      </w:r>
      <w:r>
        <w:rPr>
          <w:color w:val="auto"/>
        </w:rPr>
        <w:fldChar w:fldCharType="separate"/>
      </w:r>
      <w:r>
        <w:rPr>
          <w:color w:val="auto"/>
        </w:rPr>
        <w:t>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_Toc5340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《供应商须知前附表》</w:t>
      </w:r>
      <w:r>
        <w:rPr>
          <w:color w:val="auto"/>
        </w:rPr>
        <w:tab/>
      </w:r>
      <w:r>
        <w:rPr>
          <w:color w:val="auto"/>
        </w:rPr>
        <w:fldChar w:fldCharType="begin"/>
      </w:r>
      <w:r>
        <w:rPr>
          <w:color w:val="auto"/>
        </w:rPr>
        <w:instrText xml:space="preserve"> PAGEREF _Toc5340 </w:instrText>
      </w:r>
      <w:r>
        <w:rPr>
          <w:color w:val="auto"/>
        </w:rPr>
        <w:fldChar w:fldCharType="separate"/>
      </w:r>
      <w:r>
        <w:rPr>
          <w:color w:val="auto"/>
        </w:rPr>
        <w:t>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_Toc19309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rPr>
        <w:t>供应商须知</w:t>
      </w:r>
      <w:r>
        <w:rPr>
          <w:color w:val="auto"/>
        </w:rPr>
        <w:tab/>
      </w:r>
      <w:r>
        <w:rPr>
          <w:color w:val="auto"/>
        </w:rPr>
        <w:fldChar w:fldCharType="begin"/>
      </w:r>
      <w:r>
        <w:rPr>
          <w:color w:val="auto"/>
        </w:rPr>
        <w:instrText xml:space="preserve"> PAGEREF _Toc19309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_Toc19164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一、 </w:t>
      </w:r>
      <w:r>
        <w:rPr>
          <w:rFonts w:hint="eastAsia" w:asciiTheme="minorEastAsia" w:hAnsiTheme="minorEastAsia" w:eastAsiaTheme="minorEastAsia" w:cstheme="minorEastAsia"/>
          <w:color w:val="auto"/>
          <w:szCs w:val="21"/>
        </w:rPr>
        <w:t>总则</w:t>
      </w:r>
      <w:r>
        <w:rPr>
          <w:color w:val="auto"/>
        </w:rPr>
        <w:tab/>
      </w:r>
      <w:r>
        <w:rPr>
          <w:color w:val="auto"/>
        </w:rPr>
        <w:fldChar w:fldCharType="begin"/>
      </w:r>
      <w:r>
        <w:rPr>
          <w:color w:val="auto"/>
        </w:rPr>
        <w:instrText xml:space="preserve"> PAGEREF _Toc19164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_Toc7383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1、 </w:t>
      </w:r>
      <w:r>
        <w:rPr>
          <w:rFonts w:hint="eastAsia" w:asciiTheme="minorEastAsia" w:hAnsiTheme="minorEastAsia" w:eastAsiaTheme="minorEastAsia" w:cstheme="minorEastAsia"/>
          <w:color w:val="auto"/>
          <w:szCs w:val="21"/>
        </w:rPr>
        <w:t>适用法律及范围</w:t>
      </w:r>
      <w:r>
        <w:rPr>
          <w:color w:val="auto"/>
        </w:rPr>
        <w:tab/>
      </w:r>
      <w:r>
        <w:rPr>
          <w:color w:val="auto"/>
        </w:rPr>
        <w:fldChar w:fldCharType="begin"/>
      </w:r>
      <w:r>
        <w:rPr>
          <w:color w:val="auto"/>
        </w:rPr>
        <w:instrText xml:space="preserve"> PAGEREF _Toc7383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_Toc18687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2、 </w:t>
      </w:r>
      <w:r>
        <w:rPr>
          <w:rFonts w:hint="eastAsia" w:asciiTheme="minorEastAsia" w:hAnsiTheme="minorEastAsia" w:eastAsiaTheme="minorEastAsia" w:cstheme="minorEastAsia"/>
          <w:color w:val="auto"/>
          <w:szCs w:val="21"/>
        </w:rPr>
        <w:t>定义</w:t>
      </w:r>
      <w:r>
        <w:rPr>
          <w:color w:val="auto"/>
        </w:rPr>
        <w:tab/>
      </w:r>
      <w:r>
        <w:rPr>
          <w:color w:val="auto"/>
        </w:rPr>
        <w:fldChar w:fldCharType="begin"/>
      </w:r>
      <w:r>
        <w:rPr>
          <w:color w:val="auto"/>
        </w:rPr>
        <w:instrText xml:space="preserve"> PAGEREF _Toc18687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_Toc25967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3、 </w:t>
      </w:r>
      <w:r>
        <w:rPr>
          <w:rFonts w:hint="eastAsia" w:asciiTheme="minorEastAsia" w:hAnsiTheme="minorEastAsia" w:eastAsiaTheme="minorEastAsia" w:cstheme="minorEastAsia"/>
          <w:snapToGrid w:val="0"/>
          <w:color w:val="auto"/>
          <w:kern w:val="0"/>
          <w:szCs w:val="21"/>
          <w:lang w:val="zh-CN"/>
        </w:rPr>
        <w:t>工程、货物及服务</w:t>
      </w:r>
      <w:r>
        <w:rPr>
          <w:color w:val="auto"/>
        </w:rPr>
        <w:tab/>
      </w:r>
      <w:r>
        <w:rPr>
          <w:color w:val="auto"/>
        </w:rPr>
        <w:fldChar w:fldCharType="begin"/>
      </w:r>
      <w:r>
        <w:rPr>
          <w:color w:val="auto"/>
        </w:rPr>
        <w:instrText xml:space="preserve"> PAGEREF _Toc25967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_Toc22488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4、 </w:t>
      </w:r>
      <w:r>
        <w:rPr>
          <w:rFonts w:hint="eastAsia" w:asciiTheme="minorEastAsia" w:hAnsiTheme="minorEastAsia" w:eastAsiaTheme="minorEastAsia" w:cstheme="minorEastAsia"/>
          <w:color w:val="auto"/>
          <w:szCs w:val="21"/>
        </w:rPr>
        <w:t>费用</w:t>
      </w:r>
      <w:r>
        <w:rPr>
          <w:color w:val="auto"/>
        </w:rPr>
        <w:tab/>
      </w:r>
      <w:r>
        <w:rPr>
          <w:color w:val="auto"/>
        </w:rPr>
        <w:fldChar w:fldCharType="begin"/>
      </w:r>
      <w:r>
        <w:rPr>
          <w:color w:val="auto"/>
        </w:rPr>
        <w:instrText xml:space="preserve"> PAGEREF _Toc22488 </w:instrText>
      </w:r>
      <w:r>
        <w:rPr>
          <w:color w:val="auto"/>
        </w:rPr>
        <w:fldChar w:fldCharType="separate"/>
      </w:r>
      <w:r>
        <w:rPr>
          <w:color w:val="auto"/>
        </w:rPr>
        <w:t>14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_Toc27172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二、 </w:t>
      </w:r>
      <w:r>
        <w:rPr>
          <w:rFonts w:hint="eastAsia" w:asciiTheme="minorEastAsia" w:hAnsiTheme="minorEastAsia" w:eastAsiaTheme="minorEastAsia" w:cstheme="minorEastAsia"/>
          <w:color w:val="auto"/>
          <w:szCs w:val="21"/>
        </w:rPr>
        <w:t>竞争性磋商采购文件</w:t>
      </w:r>
      <w:r>
        <w:rPr>
          <w:color w:val="auto"/>
        </w:rPr>
        <w:tab/>
      </w:r>
      <w:r>
        <w:rPr>
          <w:color w:val="auto"/>
        </w:rPr>
        <w:fldChar w:fldCharType="begin"/>
      </w:r>
      <w:r>
        <w:rPr>
          <w:color w:val="auto"/>
        </w:rPr>
        <w:instrText xml:space="preserve"> PAGEREF _Toc27172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_Toc29851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5、 </w:t>
      </w:r>
      <w:r>
        <w:rPr>
          <w:rFonts w:hint="eastAsia" w:asciiTheme="minorEastAsia" w:hAnsiTheme="minorEastAsia" w:eastAsiaTheme="minorEastAsia" w:cstheme="minorEastAsia"/>
          <w:color w:val="auto"/>
          <w:szCs w:val="21"/>
        </w:rPr>
        <w:t>竞争性磋商采购文件的构成</w:t>
      </w:r>
      <w:r>
        <w:rPr>
          <w:color w:val="auto"/>
        </w:rPr>
        <w:tab/>
      </w:r>
      <w:r>
        <w:rPr>
          <w:color w:val="auto"/>
        </w:rPr>
        <w:fldChar w:fldCharType="begin"/>
      </w:r>
      <w:r>
        <w:rPr>
          <w:color w:val="auto"/>
        </w:rPr>
        <w:instrText xml:space="preserve"> PAGEREF _Toc29851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_Toc22354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6、 </w:t>
      </w:r>
      <w:r>
        <w:rPr>
          <w:rFonts w:hint="eastAsia" w:asciiTheme="minorEastAsia" w:hAnsiTheme="minorEastAsia" w:eastAsiaTheme="minorEastAsia" w:cstheme="minorEastAsia"/>
          <w:snapToGrid w:val="0"/>
          <w:color w:val="auto"/>
          <w:kern w:val="0"/>
          <w:szCs w:val="21"/>
          <w:lang w:val="zh-CN"/>
        </w:rPr>
        <w:t>竞争性磋商采购文件的澄清</w:t>
      </w:r>
      <w:r>
        <w:rPr>
          <w:color w:val="auto"/>
        </w:rPr>
        <w:tab/>
      </w:r>
      <w:r>
        <w:rPr>
          <w:color w:val="auto"/>
        </w:rPr>
        <w:fldChar w:fldCharType="begin"/>
      </w:r>
      <w:r>
        <w:rPr>
          <w:color w:val="auto"/>
        </w:rPr>
        <w:instrText xml:space="preserve"> PAGEREF _Toc22354 </w:instrText>
      </w:r>
      <w:r>
        <w:rPr>
          <w:color w:val="auto"/>
        </w:rPr>
        <w:fldChar w:fldCharType="separate"/>
      </w:r>
      <w:r>
        <w:rPr>
          <w:color w:val="auto"/>
        </w:rPr>
        <w:t>15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_Toc5704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7、 </w:t>
      </w:r>
      <w:r>
        <w:rPr>
          <w:rFonts w:hint="eastAsia" w:asciiTheme="minorEastAsia" w:hAnsiTheme="minorEastAsia" w:eastAsiaTheme="minorEastAsia" w:cstheme="minorEastAsia"/>
          <w:snapToGrid w:val="0"/>
          <w:color w:val="auto"/>
          <w:kern w:val="0"/>
          <w:szCs w:val="21"/>
          <w:lang w:val="zh-CN"/>
        </w:rPr>
        <w:t>竞争性磋商采购文件的修改</w:t>
      </w:r>
      <w:r>
        <w:rPr>
          <w:color w:val="auto"/>
        </w:rPr>
        <w:tab/>
      </w:r>
      <w:r>
        <w:rPr>
          <w:color w:val="auto"/>
        </w:rPr>
        <w:fldChar w:fldCharType="begin"/>
      </w:r>
      <w:r>
        <w:rPr>
          <w:color w:val="auto"/>
        </w:rPr>
        <w:instrText xml:space="preserve"> PAGEREF _Toc5704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_Toc7112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三、 </w:t>
      </w:r>
      <w:r>
        <w:rPr>
          <w:rFonts w:hint="eastAsia" w:asciiTheme="minorEastAsia" w:hAnsiTheme="minorEastAsia" w:eastAsiaTheme="minorEastAsia" w:cstheme="minorEastAsia"/>
          <w:color w:val="auto"/>
          <w:szCs w:val="21"/>
        </w:rPr>
        <w:t>竞争性磋商响应文件</w:t>
      </w:r>
      <w:r>
        <w:rPr>
          <w:color w:val="auto"/>
        </w:rPr>
        <w:tab/>
      </w:r>
      <w:r>
        <w:rPr>
          <w:color w:val="auto"/>
        </w:rPr>
        <w:fldChar w:fldCharType="begin"/>
      </w:r>
      <w:r>
        <w:rPr>
          <w:color w:val="auto"/>
        </w:rPr>
        <w:instrText xml:space="preserve"> PAGEREF _Toc7112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_Toc7443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8、 </w:t>
      </w:r>
      <w:r>
        <w:rPr>
          <w:rFonts w:hint="eastAsia" w:asciiTheme="minorEastAsia" w:hAnsiTheme="minorEastAsia" w:eastAsiaTheme="minorEastAsia" w:cstheme="minorEastAsia"/>
          <w:snapToGrid w:val="0"/>
          <w:color w:val="auto"/>
          <w:kern w:val="0"/>
          <w:szCs w:val="21"/>
          <w:lang w:val="zh-CN"/>
        </w:rPr>
        <w:t>语言和计量单位</w:t>
      </w:r>
      <w:r>
        <w:rPr>
          <w:color w:val="auto"/>
        </w:rPr>
        <w:tab/>
      </w:r>
      <w:r>
        <w:rPr>
          <w:color w:val="auto"/>
        </w:rPr>
        <w:fldChar w:fldCharType="begin"/>
      </w:r>
      <w:r>
        <w:rPr>
          <w:color w:val="auto"/>
        </w:rPr>
        <w:instrText xml:space="preserve"> PAGEREF _Toc7443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_Toc6398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9、 </w:t>
      </w:r>
      <w:r>
        <w:rPr>
          <w:rFonts w:hint="eastAsia" w:asciiTheme="minorEastAsia" w:hAnsiTheme="minorEastAsia" w:eastAsiaTheme="minorEastAsia" w:cstheme="minorEastAsia"/>
          <w:snapToGrid w:val="0"/>
          <w:color w:val="auto"/>
          <w:kern w:val="0"/>
          <w:szCs w:val="21"/>
          <w:lang w:val="zh-CN"/>
        </w:rPr>
        <w:t>竞争性磋商响应文件的构成</w:t>
      </w:r>
      <w:r>
        <w:rPr>
          <w:color w:val="auto"/>
        </w:rPr>
        <w:tab/>
      </w:r>
      <w:r>
        <w:rPr>
          <w:color w:val="auto"/>
        </w:rPr>
        <w:fldChar w:fldCharType="begin"/>
      </w:r>
      <w:r>
        <w:rPr>
          <w:color w:val="auto"/>
        </w:rPr>
        <w:instrText xml:space="preserve"> PAGEREF _Toc6398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_Toc17989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10、 </w:t>
      </w:r>
      <w:r>
        <w:rPr>
          <w:rFonts w:hint="eastAsia" w:asciiTheme="minorEastAsia" w:hAnsiTheme="minorEastAsia" w:eastAsiaTheme="minorEastAsia" w:cstheme="minorEastAsia"/>
          <w:snapToGrid w:val="0"/>
          <w:color w:val="auto"/>
          <w:kern w:val="0"/>
          <w:szCs w:val="21"/>
          <w:lang w:val="zh-CN"/>
        </w:rPr>
        <w:t>竞争性磋商响应文件的编制</w:t>
      </w:r>
      <w:r>
        <w:rPr>
          <w:color w:val="auto"/>
        </w:rPr>
        <w:tab/>
      </w:r>
      <w:r>
        <w:rPr>
          <w:color w:val="auto"/>
        </w:rPr>
        <w:fldChar w:fldCharType="begin"/>
      </w:r>
      <w:r>
        <w:rPr>
          <w:color w:val="auto"/>
        </w:rPr>
        <w:instrText xml:space="preserve"> PAGEREF _Toc17989 </w:instrText>
      </w:r>
      <w:r>
        <w:rPr>
          <w:color w:val="auto"/>
        </w:rPr>
        <w:fldChar w:fldCharType="separate"/>
      </w:r>
      <w:r>
        <w:rPr>
          <w:color w:val="auto"/>
        </w:rPr>
        <w:t>16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_Toc14856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11、 </w:t>
      </w:r>
      <w:r>
        <w:rPr>
          <w:rFonts w:hint="eastAsia" w:asciiTheme="minorEastAsia" w:hAnsiTheme="minorEastAsia" w:eastAsiaTheme="minorEastAsia" w:cstheme="minorEastAsia"/>
          <w:snapToGrid w:val="0"/>
          <w:color w:val="auto"/>
          <w:kern w:val="0"/>
          <w:szCs w:val="21"/>
          <w:lang w:val="zh-CN"/>
        </w:rPr>
        <w:t>磋商报价</w:t>
      </w:r>
      <w:r>
        <w:rPr>
          <w:color w:val="auto"/>
        </w:rPr>
        <w:tab/>
      </w:r>
      <w:r>
        <w:rPr>
          <w:color w:val="auto"/>
        </w:rPr>
        <w:fldChar w:fldCharType="begin"/>
      </w:r>
      <w:r>
        <w:rPr>
          <w:color w:val="auto"/>
        </w:rPr>
        <w:instrText xml:space="preserve"> PAGEREF _Toc14856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_Toc4071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12、 </w:t>
      </w:r>
      <w:r>
        <w:rPr>
          <w:rFonts w:hint="eastAsia" w:asciiTheme="minorEastAsia" w:hAnsiTheme="minorEastAsia" w:eastAsiaTheme="minorEastAsia" w:cstheme="minorEastAsia"/>
          <w:snapToGrid w:val="0"/>
          <w:color w:val="auto"/>
          <w:kern w:val="0"/>
          <w:szCs w:val="21"/>
          <w:lang w:val="zh-CN"/>
        </w:rPr>
        <w:t>备选方案</w:t>
      </w:r>
      <w:r>
        <w:rPr>
          <w:color w:val="auto"/>
        </w:rPr>
        <w:tab/>
      </w:r>
      <w:r>
        <w:rPr>
          <w:color w:val="auto"/>
        </w:rPr>
        <w:fldChar w:fldCharType="begin"/>
      </w:r>
      <w:r>
        <w:rPr>
          <w:color w:val="auto"/>
        </w:rPr>
        <w:instrText xml:space="preserve"> PAGEREF _Toc4071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_Toc20227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13、 </w:t>
      </w:r>
      <w:r>
        <w:rPr>
          <w:rFonts w:hint="eastAsia" w:asciiTheme="minorEastAsia" w:hAnsiTheme="minorEastAsia" w:eastAsiaTheme="minorEastAsia" w:cstheme="minorEastAsia"/>
          <w:snapToGrid w:val="0"/>
          <w:color w:val="auto"/>
          <w:kern w:val="0"/>
          <w:szCs w:val="21"/>
          <w:lang w:val="zh-CN"/>
        </w:rPr>
        <w:t>联合体</w:t>
      </w:r>
      <w:r>
        <w:rPr>
          <w:color w:val="auto"/>
        </w:rPr>
        <w:tab/>
      </w:r>
      <w:r>
        <w:rPr>
          <w:color w:val="auto"/>
        </w:rPr>
        <w:fldChar w:fldCharType="begin"/>
      </w:r>
      <w:r>
        <w:rPr>
          <w:color w:val="auto"/>
        </w:rPr>
        <w:instrText xml:space="preserve"> PAGEREF _Toc20227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_Toc4849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14、 </w:t>
      </w:r>
      <w:r>
        <w:rPr>
          <w:rFonts w:hint="eastAsia" w:asciiTheme="minorEastAsia" w:hAnsiTheme="minorEastAsia" w:eastAsiaTheme="minorEastAsia" w:cstheme="minorEastAsia"/>
          <w:snapToGrid w:val="0"/>
          <w:color w:val="auto"/>
          <w:kern w:val="0"/>
          <w:szCs w:val="21"/>
          <w:lang w:val="zh-CN"/>
        </w:rPr>
        <w:t>供应商资格证明文件</w:t>
      </w:r>
      <w:r>
        <w:rPr>
          <w:color w:val="auto"/>
        </w:rPr>
        <w:tab/>
      </w:r>
      <w:r>
        <w:rPr>
          <w:color w:val="auto"/>
        </w:rPr>
        <w:fldChar w:fldCharType="begin"/>
      </w:r>
      <w:r>
        <w:rPr>
          <w:color w:val="auto"/>
        </w:rPr>
        <w:instrText xml:space="preserve"> PAGEREF _Toc4849 </w:instrText>
      </w:r>
      <w:r>
        <w:rPr>
          <w:color w:val="auto"/>
        </w:rPr>
        <w:fldChar w:fldCharType="separate"/>
      </w:r>
      <w:r>
        <w:rPr>
          <w:color w:val="auto"/>
        </w:rPr>
        <w:t>17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_Toc14612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15、 </w:t>
      </w:r>
      <w:r>
        <w:rPr>
          <w:rFonts w:hint="eastAsia" w:asciiTheme="minorEastAsia" w:hAnsiTheme="minorEastAsia" w:eastAsiaTheme="minorEastAsia" w:cstheme="minorEastAsia"/>
          <w:snapToGrid w:val="0"/>
          <w:color w:val="auto"/>
          <w:kern w:val="0"/>
          <w:szCs w:val="21"/>
          <w:lang w:val="zh-CN"/>
        </w:rPr>
        <w:t>证明报价内容、服务合格性和符合竞争性磋商采购文件规定的文件</w:t>
      </w:r>
      <w:r>
        <w:rPr>
          <w:color w:val="auto"/>
        </w:rPr>
        <w:tab/>
      </w:r>
      <w:r>
        <w:rPr>
          <w:color w:val="auto"/>
        </w:rPr>
        <w:fldChar w:fldCharType="begin"/>
      </w:r>
      <w:r>
        <w:rPr>
          <w:color w:val="auto"/>
        </w:rPr>
        <w:instrText xml:space="preserve"> PAGEREF _Toc14612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_Toc20441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16、 </w:t>
      </w:r>
      <w:r>
        <w:rPr>
          <w:rFonts w:hint="eastAsia" w:asciiTheme="minorEastAsia" w:hAnsiTheme="minorEastAsia" w:eastAsiaTheme="minorEastAsia" w:cstheme="minorEastAsia"/>
          <w:snapToGrid w:val="0"/>
          <w:color w:val="auto"/>
          <w:kern w:val="0"/>
          <w:szCs w:val="21"/>
          <w:lang w:val="zh-CN"/>
        </w:rPr>
        <w:t>磋商保证金</w:t>
      </w:r>
      <w:r>
        <w:rPr>
          <w:color w:val="auto"/>
        </w:rPr>
        <w:tab/>
      </w:r>
      <w:r>
        <w:rPr>
          <w:color w:val="auto"/>
        </w:rPr>
        <w:fldChar w:fldCharType="begin"/>
      </w:r>
      <w:r>
        <w:rPr>
          <w:color w:val="auto"/>
        </w:rPr>
        <w:instrText xml:space="preserve"> PAGEREF _Toc20441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_Toc4910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17、 </w:t>
      </w:r>
      <w:r>
        <w:rPr>
          <w:rFonts w:hint="eastAsia" w:asciiTheme="minorEastAsia" w:hAnsiTheme="minorEastAsia" w:eastAsiaTheme="minorEastAsia" w:cstheme="minorEastAsia"/>
          <w:snapToGrid w:val="0"/>
          <w:color w:val="auto"/>
          <w:kern w:val="0"/>
          <w:szCs w:val="21"/>
          <w:lang w:val="zh-CN"/>
        </w:rPr>
        <w:t>磋商有效期</w:t>
      </w:r>
      <w:r>
        <w:rPr>
          <w:color w:val="auto"/>
        </w:rPr>
        <w:tab/>
      </w:r>
      <w:r>
        <w:rPr>
          <w:color w:val="auto"/>
        </w:rPr>
        <w:fldChar w:fldCharType="begin"/>
      </w:r>
      <w:r>
        <w:rPr>
          <w:color w:val="auto"/>
        </w:rPr>
        <w:instrText xml:space="preserve"> PAGEREF _Toc4910 </w:instrText>
      </w:r>
      <w:r>
        <w:rPr>
          <w:color w:val="auto"/>
        </w:rPr>
        <w:fldChar w:fldCharType="separate"/>
      </w:r>
      <w:r>
        <w:rPr>
          <w:color w:val="auto"/>
        </w:rPr>
        <w:t>18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_Toc2229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18、 </w:t>
      </w:r>
      <w:r>
        <w:rPr>
          <w:rFonts w:hint="eastAsia" w:asciiTheme="minorEastAsia" w:hAnsiTheme="minorEastAsia" w:eastAsiaTheme="minorEastAsia" w:cstheme="minorEastAsia"/>
          <w:snapToGrid w:val="0"/>
          <w:color w:val="auto"/>
          <w:kern w:val="0"/>
          <w:szCs w:val="21"/>
          <w:lang w:val="zh-CN"/>
        </w:rPr>
        <w:t>竞争性磋商响应文件的装订、签署和数量</w:t>
      </w:r>
      <w:r>
        <w:rPr>
          <w:color w:val="auto"/>
        </w:rPr>
        <w:tab/>
      </w:r>
      <w:r>
        <w:rPr>
          <w:color w:val="auto"/>
        </w:rPr>
        <w:fldChar w:fldCharType="begin"/>
      </w:r>
      <w:r>
        <w:rPr>
          <w:color w:val="auto"/>
        </w:rPr>
        <w:instrText xml:space="preserve"> PAGEREF _Toc2229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_Toc9786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四、 </w:t>
      </w:r>
      <w:r>
        <w:rPr>
          <w:rFonts w:hint="eastAsia" w:asciiTheme="minorEastAsia" w:hAnsiTheme="minorEastAsia" w:eastAsiaTheme="minorEastAsia" w:cstheme="minorEastAsia"/>
          <w:color w:val="auto"/>
          <w:szCs w:val="21"/>
        </w:rPr>
        <w:t>竞争性磋商响应文件的递交</w:t>
      </w:r>
      <w:r>
        <w:rPr>
          <w:color w:val="auto"/>
        </w:rPr>
        <w:tab/>
      </w:r>
      <w:r>
        <w:rPr>
          <w:color w:val="auto"/>
        </w:rPr>
        <w:fldChar w:fldCharType="begin"/>
      </w:r>
      <w:r>
        <w:rPr>
          <w:color w:val="auto"/>
        </w:rPr>
        <w:instrText xml:space="preserve"> PAGEREF _Toc9786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_Toc23886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19、 </w:t>
      </w:r>
      <w:r>
        <w:rPr>
          <w:rFonts w:hint="eastAsia" w:asciiTheme="minorEastAsia" w:hAnsiTheme="minorEastAsia" w:eastAsiaTheme="minorEastAsia" w:cstheme="minorEastAsia"/>
          <w:color w:val="auto"/>
          <w:szCs w:val="21"/>
        </w:rPr>
        <w:t>竞争性磋商响应文件</w:t>
      </w:r>
      <w:r>
        <w:rPr>
          <w:rFonts w:hint="eastAsia" w:asciiTheme="minorEastAsia" w:hAnsiTheme="minorEastAsia" w:eastAsiaTheme="minorEastAsia" w:cstheme="minorEastAsia"/>
          <w:snapToGrid w:val="0"/>
          <w:color w:val="auto"/>
          <w:kern w:val="0"/>
          <w:szCs w:val="21"/>
          <w:lang w:val="zh-CN"/>
        </w:rPr>
        <w:t>的密封和标记</w:t>
      </w:r>
      <w:r>
        <w:rPr>
          <w:color w:val="auto"/>
        </w:rPr>
        <w:tab/>
      </w:r>
      <w:r>
        <w:rPr>
          <w:color w:val="auto"/>
        </w:rPr>
        <w:fldChar w:fldCharType="begin"/>
      </w:r>
      <w:r>
        <w:rPr>
          <w:color w:val="auto"/>
        </w:rPr>
        <w:instrText xml:space="preserve"> PAGEREF _Toc23886 </w:instrText>
      </w:r>
      <w:r>
        <w:rPr>
          <w:color w:val="auto"/>
        </w:rPr>
        <w:fldChar w:fldCharType="separate"/>
      </w:r>
      <w:r>
        <w:rPr>
          <w:color w:val="auto"/>
        </w:rPr>
        <w:t>19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_Toc11099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20、 </w:t>
      </w:r>
      <w:r>
        <w:rPr>
          <w:rFonts w:hint="eastAsia" w:asciiTheme="minorEastAsia" w:hAnsiTheme="minorEastAsia" w:eastAsiaTheme="minorEastAsia" w:cstheme="minorEastAsia"/>
          <w:snapToGrid w:val="0"/>
          <w:color w:val="auto"/>
          <w:kern w:val="0"/>
          <w:szCs w:val="21"/>
          <w:lang w:val="zh-CN"/>
        </w:rPr>
        <w:t>竞争性磋商响应文件的送达地点及截止时间</w:t>
      </w:r>
      <w:r>
        <w:rPr>
          <w:color w:val="auto"/>
        </w:rPr>
        <w:tab/>
      </w:r>
      <w:r>
        <w:rPr>
          <w:color w:val="auto"/>
        </w:rPr>
        <w:fldChar w:fldCharType="begin"/>
      </w:r>
      <w:r>
        <w:rPr>
          <w:color w:val="auto"/>
        </w:rPr>
        <w:instrText xml:space="preserve"> PAGEREF _Toc11099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_Toc16589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21、 </w:t>
      </w:r>
      <w:r>
        <w:rPr>
          <w:rFonts w:hint="eastAsia" w:asciiTheme="minorEastAsia" w:hAnsiTheme="minorEastAsia" w:eastAsiaTheme="minorEastAsia" w:cstheme="minorEastAsia"/>
          <w:snapToGrid w:val="0"/>
          <w:color w:val="auto"/>
          <w:kern w:val="0"/>
          <w:szCs w:val="21"/>
          <w:lang w:val="zh-CN"/>
        </w:rPr>
        <w:t>迟交的竞争性磋商响应文件</w:t>
      </w:r>
      <w:r>
        <w:rPr>
          <w:color w:val="auto"/>
        </w:rPr>
        <w:tab/>
      </w:r>
      <w:r>
        <w:rPr>
          <w:color w:val="auto"/>
        </w:rPr>
        <w:fldChar w:fldCharType="begin"/>
      </w:r>
      <w:r>
        <w:rPr>
          <w:color w:val="auto"/>
        </w:rPr>
        <w:instrText xml:space="preserve"> PAGEREF _Toc16589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_Toc13658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22、 </w:t>
      </w:r>
      <w:r>
        <w:rPr>
          <w:rFonts w:hint="eastAsia" w:asciiTheme="minorEastAsia" w:hAnsiTheme="minorEastAsia" w:eastAsiaTheme="minorEastAsia" w:cstheme="minorEastAsia"/>
          <w:snapToGrid w:val="0"/>
          <w:color w:val="auto"/>
          <w:kern w:val="0"/>
          <w:szCs w:val="21"/>
          <w:lang w:val="zh-CN"/>
        </w:rPr>
        <w:t>竞争性磋商响应文件的补充、修改或者撤回</w:t>
      </w:r>
      <w:r>
        <w:rPr>
          <w:color w:val="auto"/>
        </w:rPr>
        <w:tab/>
      </w:r>
      <w:r>
        <w:rPr>
          <w:color w:val="auto"/>
        </w:rPr>
        <w:fldChar w:fldCharType="begin"/>
      </w:r>
      <w:r>
        <w:rPr>
          <w:color w:val="auto"/>
        </w:rPr>
        <w:instrText xml:space="preserve"> PAGEREF _Toc13658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_Toc24054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五、 </w:t>
      </w:r>
      <w:r>
        <w:rPr>
          <w:rFonts w:hint="eastAsia" w:asciiTheme="minorEastAsia" w:hAnsiTheme="minorEastAsia" w:eastAsiaTheme="minorEastAsia" w:cstheme="minorEastAsia"/>
          <w:color w:val="auto"/>
          <w:szCs w:val="21"/>
        </w:rPr>
        <w:t>磋商程序及步骤</w:t>
      </w:r>
      <w:r>
        <w:rPr>
          <w:color w:val="auto"/>
        </w:rPr>
        <w:tab/>
      </w:r>
      <w:r>
        <w:rPr>
          <w:color w:val="auto"/>
        </w:rPr>
        <w:fldChar w:fldCharType="begin"/>
      </w:r>
      <w:r>
        <w:rPr>
          <w:color w:val="auto"/>
        </w:rPr>
        <w:instrText xml:space="preserve"> PAGEREF _Toc24054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_Toc8841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23、 </w:t>
      </w:r>
      <w:r>
        <w:rPr>
          <w:rFonts w:hint="eastAsia" w:asciiTheme="minorEastAsia" w:hAnsiTheme="minorEastAsia" w:eastAsiaTheme="minorEastAsia" w:cstheme="minorEastAsia"/>
          <w:color w:val="auto"/>
        </w:rPr>
        <w:t>竞争性磋商小组</w:t>
      </w:r>
      <w:r>
        <w:rPr>
          <w:color w:val="auto"/>
        </w:rPr>
        <w:tab/>
      </w:r>
      <w:r>
        <w:rPr>
          <w:color w:val="auto"/>
        </w:rPr>
        <w:fldChar w:fldCharType="begin"/>
      </w:r>
      <w:r>
        <w:rPr>
          <w:color w:val="auto"/>
        </w:rPr>
        <w:instrText xml:space="preserve"> PAGEREF _Toc8841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_Toc26119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snapToGrid w:val="0"/>
          <w:color w:val="auto"/>
          <w:kern w:val="0"/>
          <w:szCs w:val="21"/>
          <w:lang w:val="zh-CN"/>
        </w:rPr>
        <w:t xml:space="preserve">24、 </w:t>
      </w:r>
      <w:r>
        <w:rPr>
          <w:rFonts w:hint="eastAsia" w:asciiTheme="minorEastAsia" w:hAnsiTheme="minorEastAsia" w:eastAsiaTheme="minorEastAsia" w:cstheme="minorEastAsia"/>
          <w:color w:val="auto"/>
        </w:rPr>
        <w:t>磋商代表</w:t>
      </w:r>
      <w:r>
        <w:rPr>
          <w:color w:val="auto"/>
        </w:rPr>
        <w:tab/>
      </w:r>
      <w:r>
        <w:rPr>
          <w:color w:val="auto"/>
        </w:rPr>
        <w:fldChar w:fldCharType="begin"/>
      </w:r>
      <w:r>
        <w:rPr>
          <w:color w:val="auto"/>
        </w:rPr>
        <w:instrText xml:space="preserve"> PAGEREF _Toc26119 </w:instrText>
      </w:r>
      <w:r>
        <w:rPr>
          <w:color w:val="auto"/>
        </w:rPr>
        <w:fldChar w:fldCharType="separate"/>
      </w:r>
      <w:r>
        <w:rPr>
          <w:color w:val="auto"/>
        </w:rPr>
        <w:t>20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_Toc17050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rPr>
        <w:t xml:space="preserve">25、 </w:t>
      </w:r>
      <w:r>
        <w:rPr>
          <w:rFonts w:hint="eastAsia" w:asciiTheme="minorEastAsia" w:hAnsiTheme="minorEastAsia" w:eastAsiaTheme="minorEastAsia" w:cstheme="minorEastAsia"/>
          <w:color w:val="auto"/>
        </w:rPr>
        <w:t>资格审查和符合性审查</w:t>
      </w:r>
      <w:r>
        <w:rPr>
          <w:color w:val="auto"/>
        </w:rPr>
        <w:tab/>
      </w:r>
      <w:r>
        <w:rPr>
          <w:color w:val="auto"/>
        </w:rPr>
        <w:fldChar w:fldCharType="begin"/>
      </w:r>
      <w:r>
        <w:rPr>
          <w:color w:val="auto"/>
        </w:rPr>
        <w:instrText xml:space="preserve"> PAGEREF _Toc17050 </w:instrText>
      </w:r>
      <w:r>
        <w:rPr>
          <w:color w:val="auto"/>
        </w:rPr>
        <w:fldChar w:fldCharType="separate"/>
      </w:r>
      <w:r>
        <w:rPr>
          <w:color w:val="auto"/>
        </w:rPr>
        <w:t>21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_Toc26543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rPr>
        <w:t xml:space="preserve">26、 </w:t>
      </w:r>
      <w:r>
        <w:rPr>
          <w:rFonts w:hint="eastAsia" w:asciiTheme="minorEastAsia" w:hAnsiTheme="minorEastAsia" w:eastAsiaTheme="minorEastAsia" w:cstheme="minorEastAsia"/>
          <w:color w:val="auto"/>
        </w:rPr>
        <w:t>磋商</w:t>
      </w:r>
      <w:r>
        <w:rPr>
          <w:color w:val="auto"/>
        </w:rPr>
        <w:tab/>
      </w:r>
      <w:r>
        <w:rPr>
          <w:color w:val="auto"/>
        </w:rPr>
        <w:fldChar w:fldCharType="begin"/>
      </w:r>
      <w:r>
        <w:rPr>
          <w:color w:val="auto"/>
        </w:rPr>
        <w:instrText xml:space="preserve"> PAGEREF _Toc26543 </w:instrText>
      </w:r>
      <w:r>
        <w:rPr>
          <w:color w:val="auto"/>
        </w:rPr>
        <w:fldChar w:fldCharType="separate"/>
      </w:r>
      <w:r>
        <w:rPr>
          <w:color w:val="auto"/>
        </w:rPr>
        <w:t>21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_Toc30772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27、 </w:t>
      </w:r>
      <w:r>
        <w:rPr>
          <w:rFonts w:hint="eastAsia" w:asciiTheme="minorEastAsia" w:hAnsiTheme="minorEastAsia" w:eastAsiaTheme="minorEastAsia" w:cstheme="minorEastAsia"/>
          <w:color w:val="auto"/>
          <w:lang w:val="zh-CN"/>
        </w:rPr>
        <w:t>保密</w:t>
      </w:r>
      <w:r>
        <w:rPr>
          <w:color w:val="auto"/>
        </w:rPr>
        <w:tab/>
      </w:r>
      <w:r>
        <w:rPr>
          <w:color w:val="auto"/>
        </w:rPr>
        <w:fldChar w:fldCharType="begin"/>
      </w:r>
      <w:r>
        <w:rPr>
          <w:color w:val="auto"/>
        </w:rPr>
        <w:instrText xml:space="preserve"> PAGEREF _Toc30772 </w:instrText>
      </w:r>
      <w:r>
        <w:rPr>
          <w:color w:val="auto"/>
        </w:rPr>
        <w:fldChar w:fldCharType="separate"/>
      </w:r>
      <w:r>
        <w:rPr>
          <w:color w:val="auto"/>
        </w:rPr>
        <w:t>22</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_Toc30407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rPr>
        <w:t xml:space="preserve">六、 </w:t>
      </w:r>
      <w:r>
        <w:rPr>
          <w:rFonts w:hint="eastAsia" w:asciiTheme="minorEastAsia" w:hAnsiTheme="minorEastAsia" w:eastAsiaTheme="minorEastAsia" w:cstheme="minorEastAsia"/>
          <w:color w:val="auto"/>
          <w:szCs w:val="21"/>
        </w:rPr>
        <w:t>成交与签订合同</w:t>
      </w:r>
      <w:r>
        <w:rPr>
          <w:color w:val="auto"/>
        </w:rPr>
        <w:tab/>
      </w:r>
      <w:r>
        <w:rPr>
          <w:color w:val="auto"/>
        </w:rPr>
        <w:fldChar w:fldCharType="begin"/>
      </w:r>
      <w:r>
        <w:rPr>
          <w:color w:val="auto"/>
        </w:rPr>
        <w:instrText xml:space="preserve"> PAGEREF _Toc30407 </w:instrText>
      </w:r>
      <w:r>
        <w:rPr>
          <w:color w:val="auto"/>
        </w:rPr>
        <w:fldChar w:fldCharType="separate"/>
      </w:r>
      <w:r>
        <w:rPr>
          <w:color w:val="auto"/>
        </w:rPr>
        <w:t>22</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_Toc7258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28、 </w:t>
      </w:r>
      <w:r>
        <w:rPr>
          <w:rFonts w:hint="eastAsia" w:asciiTheme="minorEastAsia" w:hAnsiTheme="minorEastAsia" w:eastAsiaTheme="minorEastAsia" w:cstheme="minorEastAsia"/>
          <w:color w:val="auto"/>
          <w:lang w:val="zh-CN"/>
        </w:rPr>
        <w:t>合同授予标准</w:t>
      </w:r>
      <w:r>
        <w:rPr>
          <w:color w:val="auto"/>
        </w:rPr>
        <w:tab/>
      </w:r>
      <w:r>
        <w:rPr>
          <w:color w:val="auto"/>
        </w:rPr>
        <w:fldChar w:fldCharType="begin"/>
      </w:r>
      <w:r>
        <w:rPr>
          <w:color w:val="auto"/>
        </w:rPr>
        <w:instrText xml:space="preserve"> PAGEREF _Toc7258 </w:instrText>
      </w:r>
      <w:r>
        <w:rPr>
          <w:color w:val="auto"/>
        </w:rPr>
        <w:fldChar w:fldCharType="separate"/>
      </w:r>
      <w:r>
        <w:rPr>
          <w:color w:val="auto"/>
        </w:rPr>
        <w:t>22</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_Toc29351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29、 </w:t>
      </w:r>
      <w:r>
        <w:rPr>
          <w:rFonts w:hint="eastAsia" w:asciiTheme="minorEastAsia" w:hAnsiTheme="minorEastAsia" w:eastAsiaTheme="minorEastAsia" w:cstheme="minorEastAsia"/>
          <w:color w:val="auto"/>
          <w:lang w:val="zh-CN"/>
        </w:rPr>
        <w:t>签订合同</w:t>
      </w:r>
      <w:r>
        <w:rPr>
          <w:color w:val="auto"/>
        </w:rPr>
        <w:tab/>
      </w:r>
      <w:r>
        <w:rPr>
          <w:color w:val="auto"/>
        </w:rPr>
        <w:fldChar w:fldCharType="begin"/>
      </w:r>
      <w:r>
        <w:rPr>
          <w:color w:val="auto"/>
        </w:rPr>
        <w:instrText xml:space="preserve"> PAGEREF _Toc29351 </w:instrText>
      </w:r>
      <w:r>
        <w:rPr>
          <w:color w:val="auto"/>
        </w:rPr>
        <w:fldChar w:fldCharType="separate"/>
      </w:r>
      <w:r>
        <w:rPr>
          <w:color w:val="auto"/>
        </w:rPr>
        <w:t>22</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_Toc23007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七、 </w:t>
      </w:r>
      <w:r>
        <w:rPr>
          <w:rFonts w:hint="eastAsia" w:asciiTheme="minorEastAsia" w:hAnsiTheme="minorEastAsia" w:eastAsiaTheme="minorEastAsia" w:cstheme="minorEastAsia"/>
          <w:color w:val="auto"/>
          <w:szCs w:val="21"/>
          <w:lang w:val="zh-CN"/>
        </w:rPr>
        <w:t>质疑和投诉</w:t>
      </w:r>
      <w:r>
        <w:rPr>
          <w:color w:val="auto"/>
        </w:rPr>
        <w:tab/>
      </w:r>
      <w:r>
        <w:rPr>
          <w:color w:val="auto"/>
        </w:rPr>
        <w:fldChar w:fldCharType="begin"/>
      </w:r>
      <w:r>
        <w:rPr>
          <w:color w:val="auto"/>
        </w:rPr>
        <w:instrText xml:space="preserve"> PAGEREF _Toc23007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_Toc26703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30、 </w:t>
      </w:r>
      <w:r>
        <w:rPr>
          <w:rFonts w:hint="eastAsia" w:asciiTheme="minorEastAsia" w:hAnsiTheme="minorEastAsia" w:eastAsiaTheme="minorEastAsia" w:cstheme="minorEastAsia"/>
          <w:color w:val="auto"/>
          <w:lang w:val="zh-CN"/>
        </w:rPr>
        <w:t>质疑</w:t>
      </w:r>
      <w:r>
        <w:rPr>
          <w:color w:val="auto"/>
        </w:rPr>
        <w:tab/>
      </w:r>
      <w:r>
        <w:rPr>
          <w:color w:val="auto"/>
        </w:rPr>
        <w:fldChar w:fldCharType="begin"/>
      </w:r>
      <w:r>
        <w:rPr>
          <w:color w:val="auto"/>
        </w:rPr>
        <w:instrText xml:space="preserve"> PAGEREF _Toc26703 </w:instrText>
      </w:r>
      <w:r>
        <w:rPr>
          <w:color w:val="auto"/>
        </w:rPr>
        <w:fldChar w:fldCharType="separate"/>
      </w:r>
      <w:r>
        <w:rPr>
          <w:color w:val="auto"/>
        </w:rPr>
        <w:t>23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_Toc10603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31、 </w:t>
      </w:r>
      <w:r>
        <w:rPr>
          <w:rFonts w:hint="eastAsia" w:asciiTheme="minorEastAsia" w:hAnsiTheme="minorEastAsia" w:eastAsiaTheme="minorEastAsia" w:cstheme="minorEastAsia"/>
          <w:color w:val="auto"/>
          <w:lang w:val="zh-CN"/>
        </w:rPr>
        <w:t>质疑回复</w:t>
      </w:r>
      <w:r>
        <w:rPr>
          <w:color w:val="auto"/>
        </w:rPr>
        <w:tab/>
      </w:r>
      <w:r>
        <w:rPr>
          <w:color w:val="auto"/>
        </w:rPr>
        <w:fldChar w:fldCharType="begin"/>
      </w:r>
      <w:r>
        <w:rPr>
          <w:color w:val="auto"/>
        </w:rPr>
        <w:instrText xml:space="preserve"> PAGEREF _Toc10603 </w:instrText>
      </w:r>
      <w:r>
        <w:rPr>
          <w:color w:val="auto"/>
        </w:rPr>
        <w:fldChar w:fldCharType="separate"/>
      </w:r>
      <w:r>
        <w:rPr>
          <w:color w:val="auto"/>
        </w:rPr>
        <w:t>24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_Toc14017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zh-CN"/>
        </w:rPr>
        <w:t xml:space="preserve">32、 </w:t>
      </w:r>
      <w:r>
        <w:rPr>
          <w:rFonts w:hint="eastAsia" w:asciiTheme="minorEastAsia" w:hAnsiTheme="minorEastAsia" w:eastAsiaTheme="minorEastAsia" w:cstheme="minorEastAsia"/>
          <w:color w:val="auto"/>
          <w:lang w:val="zh-CN"/>
        </w:rPr>
        <w:t>投诉</w:t>
      </w:r>
      <w:r>
        <w:rPr>
          <w:color w:val="auto"/>
        </w:rPr>
        <w:tab/>
      </w:r>
      <w:r>
        <w:rPr>
          <w:color w:val="auto"/>
        </w:rPr>
        <w:fldChar w:fldCharType="begin"/>
      </w:r>
      <w:r>
        <w:rPr>
          <w:color w:val="auto"/>
        </w:rPr>
        <w:instrText xml:space="preserve"> PAGEREF _Toc14017 </w:instrText>
      </w:r>
      <w:r>
        <w:rPr>
          <w:color w:val="auto"/>
        </w:rPr>
        <w:fldChar w:fldCharType="separate"/>
      </w:r>
      <w:r>
        <w:rPr>
          <w:color w:val="auto"/>
        </w:rPr>
        <w:t>24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_Toc6896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八、 </w:t>
      </w:r>
      <w:r>
        <w:rPr>
          <w:rFonts w:hint="eastAsia" w:asciiTheme="minorEastAsia" w:hAnsiTheme="minorEastAsia" w:eastAsiaTheme="minorEastAsia" w:cstheme="minorEastAsia"/>
          <w:color w:val="auto"/>
          <w:szCs w:val="21"/>
          <w:lang w:val="zh-CN"/>
        </w:rPr>
        <w:t>政策</w:t>
      </w:r>
      <w:r>
        <w:rPr>
          <w:color w:val="auto"/>
        </w:rPr>
        <w:tab/>
      </w:r>
      <w:r>
        <w:rPr>
          <w:color w:val="auto"/>
        </w:rPr>
        <w:fldChar w:fldCharType="begin"/>
      </w:r>
      <w:r>
        <w:rPr>
          <w:color w:val="auto"/>
        </w:rPr>
        <w:instrText xml:space="preserve"> PAGEREF _Toc6896 </w:instrText>
      </w:r>
      <w:r>
        <w:rPr>
          <w:color w:val="auto"/>
        </w:rPr>
        <w:fldChar w:fldCharType="separate"/>
      </w:r>
      <w:r>
        <w:rPr>
          <w:color w:val="auto"/>
        </w:rPr>
        <w:t>24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_Toc3901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lang w:val="en-US" w:eastAsia="zh-CN"/>
        </w:rPr>
        <w:t xml:space="preserve">33、 </w:t>
      </w:r>
      <w:r>
        <w:rPr>
          <w:rFonts w:hint="eastAsia" w:asciiTheme="minorEastAsia" w:hAnsiTheme="minorEastAsia" w:eastAsiaTheme="minorEastAsia" w:cstheme="minorEastAsia"/>
          <w:color w:val="auto"/>
          <w:lang w:val="en-US" w:eastAsia="zh-CN"/>
        </w:rPr>
        <w:t>政府采购政策</w:t>
      </w:r>
      <w:r>
        <w:rPr>
          <w:color w:val="auto"/>
        </w:rPr>
        <w:tab/>
      </w:r>
      <w:r>
        <w:rPr>
          <w:color w:val="auto"/>
        </w:rPr>
        <w:fldChar w:fldCharType="begin"/>
      </w:r>
      <w:r>
        <w:rPr>
          <w:color w:val="auto"/>
        </w:rPr>
        <w:instrText xml:space="preserve"> PAGEREF _Toc3901 </w:instrText>
      </w:r>
      <w:r>
        <w:rPr>
          <w:color w:val="auto"/>
        </w:rPr>
        <w:fldChar w:fldCharType="separate"/>
      </w:r>
      <w:r>
        <w:rPr>
          <w:color w:val="auto"/>
        </w:rPr>
        <w:t>24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_Toc16251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九、 </w:t>
      </w:r>
      <w:r>
        <w:rPr>
          <w:rFonts w:hint="eastAsia" w:asciiTheme="minorEastAsia" w:hAnsiTheme="minorEastAsia" w:eastAsiaTheme="minorEastAsia" w:cstheme="minorEastAsia"/>
          <w:color w:val="auto"/>
          <w:szCs w:val="21"/>
          <w:lang w:val="zh-CN"/>
        </w:rPr>
        <w:t>其他要求</w:t>
      </w:r>
      <w:r>
        <w:rPr>
          <w:color w:val="auto"/>
        </w:rPr>
        <w:tab/>
      </w:r>
      <w:r>
        <w:rPr>
          <w:color w:val="auto"/>
        </w:rPr>
        <w:fldChar w:fldCharType="begin"/>
      </w:r>
      <w:r>
        <w:rPr>
          <w:color w:val="auto"/>
        </w:rPr>
        <w:instrText xml:space="preserve"> PAGEREF _Toc16251 </w:instrText>
      </w:r>
      <w:r>
        <w:rPr>
          <w:color w:val="auto"/>
        </w:rPr>
        <w:fldChar w:fldCharType="separate"/>
      </w:r>
      <w:r>
        <w:rPr>
          <w:color w:val="auto"/>
        </w:rPr>
        <w:t>25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_Toc30779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21"/>
          <w:lang w:val="zh-CN"/>
        </w:rPr>
        <w:t xml:space="preserve">十、 </w:t>
      </w:r>
      <w:r>
        <w:rPr>
          <w:rFonts w:hint="eastAsia" w:asciiTheme="minorEastAsia" w:hAnsiTheme="minorEastAsia" w:eastAsiaTheme="minorEastAsia" w:cstheme="minorEastAsia"/>
          <w:color w:val="auto"/>
          <w:szCs w:val="21"/>
          <w:lang w:val="zh-CN"/>
        </w:rPr>
        <w:t>适用法律</w:t>
      </w:r>
      <w:r>
        <w:rPr>
          <w:color w:val="auto"/>
        </w:rPr>
        <w:tab/>
      </w:r>
      <w:r>
        <w:rPr>
          <w:color w:val="auto"/>
        </w:rPr>
        <w:fldChar w:fldCharType="begin"/>
      </w:r>
      <w:r>
        <w:rPr>
          <w:color w:val="auto"/>
        </w:rPr>
        <w:instrText xml:space="preserve"> PAGEREF _Toc30779 </w:instrText>
      </w:r>
      <w:r>
        <w:rPr>
          <w:color w:val="auto"/>
        </w:rPr>
        <w:fldChar w:fldCharType="separate"/>
      </w:r>
      <w:r>
        <w:rPr>
          <w:color w:val="auto"/>
        </w:rPr>
        <w:t>25</w:t>
      </w:r>
      <w:r>
        <w:rPr>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_Toc24256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第三章 </w:t>
      </w:r>
      <w:r>
        <w:rPr>
          <w:rFonts w:hint="eastAsia" w:asciiTheme="minorEastAsia" w:hAnsiTheme="minorEastAsia" w:eastAsiaTheme="minorEastAsia" w:cstheme="minorEastAsia"/>
          <w:bCs/>
          <w:color w:val="auto"/>
          <w:szCs w:val="36"/>
        </w:rPr>
        <w:t>采购需求</w:t>
      </w:r>
      <w:r>
        <w:rPr>
          <w:color w:val="auto"/>
        </w:rPr>
        <w:tab/>
      </w:r>
      <w:r>
        <w:rPr>
          <w:color w:val="auto"/>
        </w:rPr>
        <w:fldChar w:fldCharType="begin"/>
      </w:r>
      <w:r>
        <w:rPr>
          <w:color w:val="auto"/>
        </w:rPr>
        <w:instrText xml:space="preserve"> PAGEREF _Toc24256 </w:instrText>
      </w:r>
      <w:r>
        <w:rPr>
          <w:color w:val="auto"/>
        </w:rPr>
        <w:fldChar w:fldCharType="separate"/>
      </w:r>
      <w:r>
        <w:rPr>
          <w:color w:val="auto"/>
        </w:rPr>
        <w:t>27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_Toc29013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4"/>
          <w:lang w:val="en-US" w:eastAsia="zh-CN"/>
        </w:rPr>
        <w:t>一、技术需求</w:t>
      </w:r>
      <w:r>
        <w:rPr>
          <w:color w:val="auto"/>
        </w:rPr>
        <w:tab/>
      </w:r>
      <w:r>
        <w:rPr>
          <w:color w:val="auto"/>
        </w:rPr>
        <w:fldChar w:fldCharType="begin"/>
      </w:r>
      <w:r>
        <w:rPr>
          <w:color w:val="auto"/>
        </w:rPr>
        <w:instrText xml:space="preserve"> PAGEREF _Toc29013 </w:instrText>
      </w:r>
      <w:r>
        <w:rPr>
          <w:color w:val="auto"/>
        </w:rPr>
        <w:fldChar w:fldCharType="separate"/>
      </w:r>
      <w:r>
        <w:rPr>
          <w:color w:val="auto"/>
        </w:rPr>
        <w:t>27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_Toc15828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4"/>
          <w:lang w:val="en-US" w:eastAsia="zh-CN"/>
        </w:rPr>
        <w:t>二、商务需求</w:t>
      </w:r>
      <w:r>
        <w:rPr>
          <w:color w:val="auto"/>
        </w:rPr>
        <w:tab/>
      </w:r>
      <w:r>
        <w:rPr>
          <w:color w:val="auto"/>
        </w:rPr>
        <w:fldChar w:fldCharType="begin"/>
      </w:r>
      <w:r>
        <w:rPr>
          <w:color w:val="auto"/>
        </w:rPr>
        <w:instrText xml:space="preserve"> PAGEREF _Toc15828 </w:instrText>
      </w:r>
      <w:r>
        <w:rPr>
          <w:color w:val="auto"/>
        </w:rPr>
        <w:fldChar w:fldCharType="separate"/>
      </w:r>
      <w:r>
        <w:rPr>
          <w:color w:val="auto"/>
        </w:rPr>
        <w:t>29</w:t>
      </w:r>
      <w:r>
        <w:rPr>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_Toc1933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第四章 </w:t>
      </w:r>
      <w:r>
        <w:rPr>
          <w:rFonts w:hint="eastAsia" w:asciiTheme="minorEastAsia" w:hAnsiTheme="minorEastAsia" w:eastAsiaTheme="minorEastAsia" w:cstheme="minorEastAsia"/>
          <w:color w:val="auto"/>
          <w:szCs w:val="36"/>
          <w:lang w:val="en-US" w:eastAsia="zh-CN"/>
        </w:rPr>
        <w:t>竞争性磋商采购</w:t>
      </w:r>
      <w:r>
        <w:rPr>
          <w:rFonts w:hint="eastAsia" w:asciiTheme="minorEastAsia" w:hAnsiTheme="minorEastAsia" w:eastAsiaTheme="minorEastAsia" w:cstheme="minorEastAsia"/>
          <w:color w:val="auto"/>
          <w:szCs w:val="36"/>
        </w:rPr>
        <w:t>评定办法</w:t>
      </w:r>
      <w:r>
        <w:rPr>
          <w:color w:val="auto"/>
        </w:rPr>
        <w:tab/>
      </w:r>
      <w:r>
        <w:rPr>
          <w:color w:val="auto"/>
        </w:rPr>
        <w:fldChar w:fldCharType="begin"/>
      </w:r>
      <w:r>
        <w:rPr>
          <w:color w:val="auto"/>
        </w:rPr>
        <w:instrText xml:space="preserve"> PAGEREF _Toc1933 </w:instrText>
      </w:r>
      <w:r>
        <w:rPr>
          <w:color w:val="auto"/>
        </w:rPr>
        <w:fldChar w:fldCharType="separate"/>
      </w:r>
      <w:r>
        <w:rPr>
          <w:color w:val="auto"/>
        </w:rPr>
        <w:t>31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_Toc10483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一、</w:t>
      </w:r>
      <w:r>
        <w:rPr>
          <w:rFonts w:hint="eastAsia" w:asciiTheme="minorEastAsia" w:hAnsiTheme="minorEastAsia" w:eastAsiaTheme="minorEastAsia" w:cstheme="minorEastAsia"/>
          <w:color w:val="auto"/>
          <w:szCs w:val="21"/>
        </w:rPr>
        <w:t>评定办法前附表</w:t>
      </w:r>
      <w:r>
        <w:rPr>
          <w:color w:val="auto"/>
        </w:rPr>
        <w:tab/>
      </w:r>
      <w:r>
        <w:rPr>
          <w:color w:val="auto"/>
        </w:rPr>
        <w:fldChar w:fldCharType="begin"/>
      </w:r>
      <w:r>
        <w:rPr>
          <w:color w:val="auto"/>
        </w:rPr>
        <w:instrText xml:space="preserve"> PAGEREF _Toc10483 </w:instrText>
      </w:r>
      <w:r>
        <w:rPr>
          <w:color w:val="auto"/>
        </w:rPr>
        <w:fldChar w:fldCharType="separate"/>
      </w:r>
      <w:r>
        <w:rPr>
          <w:color w:val="auto"/>
        </w:rPr>
        <w:t>31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_Toc25729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二、</w:t>
      </w:r>
      <w:r>
        <w:rPr>
          <w:rFonts w:hint="eastAsia" w:asciiTheme="minorEastAsia" w:hAnsiTheme="minorEastAsia" w:eastAsiaTheme="minorEastAsia" w:cstheme="minorEastAsia"/>
          <w:color w:val="auto"/>
          <w:szCs w:val="21"/>
        </w:rPr>
        <w:t>计算办法</w:t>
      </w:r>
      <w:r>
        <w:rPr>
          <w:color w:val="auto"/>
        </w:rPr>
        <w:tab/>
      </w:r>
      <w:r>
        <w:rPr>
          <w:color w:val="auto"/>
        </w:rPr>
        <w:fldChar w:fldCharType="begin"/>
      </w:r>
      <w:r>
        <w:rPr>
          <w:color w:val="auto"/>
        </w:rPr>
        <w:instrText xml:space="preserve"> PAGEREF _Toc25729 </w:instrText>
      </w:r>
      <w:r>
        <w:rPr>
          <w:color w:val="auto"/>
        </w:rPr>
        <w:fldChar w:fldCharType="separate"/>
      </w:r>
      <w:r>
        <w:rPr>
          <w:color w:val="auto"/>
        </w:rPr>
        <w:t>33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_Toc16455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三、</w:t>
      </w:r>
      <w:r>
        <w:rPr>
          <w:rFonts w:hint="eastAsia" w:asciiTheme="minorEastAsia" w:hAnsiTheme="minorEastAsia" w:eastAsiaTheme="minorEastAsia" w:cstheme="minorEastAsia"/>
          <w:color w:val="auto"/>
          <w:szCs w:val="21"/>
        </w:rPr>
        <w:t>评分细则</w:t>
      </w:r>
      <w:r>
        <w:rPr>
          <w:color w:val="auto"/>
        </w:rPr>
        <w:tab/>
      </w:r>
      <w:r>
        <w:rPr>
          <w:color w:val="auto"/>
        </w:rPr>
        <w:fldChar w:fldCharType="begin"/>
      </w:r>
      <w:r>
        <w:rPr>
          <w:color w:val="auto"/>
        </w:rPr>
        <w:instrText xml:space="preserve"> PAGEREF _Toc16455 </w:instrText>
      </w:r>
      <w:r>
        <w:rPr>
          <w:color w:val="auto"/>
        </w:rPr>
        <w:fldChar w:fldCharType="separate"/>
      </w:r>
      <w:r>
        <w:rPr>
          <w:color w:val="auto"/>
        </w:rPr>
        <w:t>34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_Toc30868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四、</w:t>
      </w:r>
      <w:r>
        <w:rPr>
          <w:rFonts w:hint="eastAsia" w:asciiTheme="minorEastAsia" w:hAnsiTheme="minorEastAsia" w:eastAsiaTheme="minorEastAsia" w:cstheme="minorEastAsia"/>
          <w:color w:val="auto"/>
          <w:szCs w:val="21"/>
        </w:rPr>
        <w:t>评定办法</w:t>
      </w:r>
      <w:r>
        <w:rPr>
          <w:color w:val="auto"/>
        </w:rPr>
        <w:tab/>
      </w:r>
      <w:r>
        <w:rPr>
          <w:color w:val="auto"/>
        </w:rPr>
        <w:fldChar w:fldCharType="begin"/>
      </w:r>
      <w:r>
        <w:rPr>
          <w:color w:val="auto"/>
        </w:rPr>
        <w:instrText xml:space="preserve"> PAGEREF _Toc30868 </w:instrText>
      </w:r>
      <w:r>
        <w:rPr>
          <w:color w:val="auto"/>
        </w:rPr>
        <w:fldChar w:fldCharType="separate"/>
      </w:r>
      <w:r>
        <w:rPr>
          <w:color w:val="auto"/>
        </w:rPr>
        <w:t>34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_Toc18437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Cs w:val="21"/>
          <w:lang w:val="en-US" w:eastAsia="zh-CN"/>
        </w:rPr>
        <w:t>五、磋商及评审步骤</w:t>
      </w:r>
      <w:r>
        <w:rPr>
          <w:color w:val="auto"/>
        </w:rPr>
        <w:tab/>
      </w:r>
      <w:r>
        <w:rPr>
          <w:color w:val="auto"/>
        </w:rPr>
        <w:fldChar w:fldCharType="begin"/>
      </w:r>
      <w:r>
        <w:rPr>
          <w:color w:val="auto"/>
        </w:rPr>
        <w:instrText xml:space="preserve"> PAGEREF _Toc18437 </w:instrText>
      </w:r>
      <w:r>
        <w:rPr>
          <w:color w:val="auto"/>
        </w:rPr>
        <w:fldChar w:fldCharType="separate"/>
      </w:r>
      <w:r>
        <w:rPr>
          <w:color w:val="auto"/>
        </w:rPr>
        <w:t>37</w:t>
      </w:r>
      <w:r>
        <w:rPr>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_Toc7958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kern w:val="0"/>
          <w:szCs w:val="36"/>
        </w:rPr>
        <w:t xml:space="preserve">第五章 </w:t>
      </w:r>
      <w:r>
        <w:rPr>
          <w:rFonts w:hint="eastAsia" w:asciiTheme="minorEastAsia" w:hAnsiTheme="minorEastAsia" w:eastAsiaTheme="minorEastAsia" w:cstheme="minorEastAsia"/>
          <w:color w:val="auto"/>
          <w:szCs w:val="36"/>
        </w:rPr>
        <w:t>合同书</w:t>
      </w:r>
      <w:r>
        <w:rPr>
          <w:rFonts w:hint="eastAsia" w:asciiTheme="minorEastAsia" w:hAnsiTheme="minorEastAsia" w:eastAsiaTheme="minorEastAsia" w:cstheme="minorEastAsia"/>
          <w:color w:val="auto"/>
          <w:szCs w:val="36"/>
          <w:lang w:val="en-US" w:eastAsia="zh-CN"/>
        </w:rPr>
        <w:t>格式</w:t>
      </w:r>
      <w:r>
        <w:rPr>
          <w:color w:val="auto"/>
        </w:rPr>
        <w:tab/>
      </w:r>
      <w:r>
        <w:rPr>
          <w:color w:val="auto"/>
        </w:rPr>
        <w:fldChar w:fldCharType="begin"/>
      </w:r>
      <w:r>
        <w:rPr>
          <w:color w:val="auto"/>
        </w:rPr>
        <w:instrText xml:space="preserve"> PAGEREF _Toc7958 </w:instrText>
      </w:r>
      <w:r>
        <w:rPr>
          <w:color w:val="auto"/>
        </w:rPr>
        <w:fldChar w:fldCharType="separate"/>
      </w:r>
      <w:r>
        <w:rPr>
          <w:color w:val="auto"/>
        </w:rPr>
        <w:t>39</w:t>
      </w:r>
      <w:r>
        <w:rPr>
          <w:color w:val="auto"/>
        </w:rPr>
        <w:fldChar w:fldCharType="end"/>
      </w:r>
      <w:r>
        <w:rPr>
          <w:rFonts w:hint="eastAsia" w:asciiTheme="minorEastAsia" w:hAnsiTheme="minorEastAsia" w:eastAsiaTheme="minorEastAsia" w:cstheme="minorEastAsia"/>
          <w:color w:val="auto"/>
        </w:rPr>
        <w:fldChar w:fldCharType="end"/>
      </w:r>
    </w:p>
    <w:p>
      <w:pPr>
        <w:pStyle w:val="20"/>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_Toc32354 </w:instrText>
      </w:r>
      <w:r>
        <w:rPr>
          <w:rFonts w:hint="eastAsia" w:asciiTheme="minorEastAsia" w:hAnsiTheme="minorEastAsia" w:eastAsiaTheme="minorEastAsia" w:cstheme="minorEastAsia"/>
          <w:color w:val="auto"/>
        </w:rPr>
        <w:fldChar w:fldCharType="separate"/>
      </w:r>
      <w:r>
        <w:rPr>
          <w:rFonts w:hint="default" w:asciiTheme="minorEastAsia" w:hAnsiTheme="minorEastAsia" w:eastAsiaTheme="minorEastAsia" w:cstheme="minorEastAsia"/>
          <w:color w:val="auto"/>
          <w:szCs w:val="36"/>
        </w:rPr>
        <w:t xml:space="preserve">第六章 </w:t>
      </w:r>
      <w:r>
        <w:rPr>
          <w:rFonts w:hint="eastAsia" w:asciiTheme="minorEastAsia" w:hAnsiTheme="minorEastAsia" w:eastAsiaTheme="minorEastAsia" w:cstheme="minorEastAsia"/>
          <w:color w:val="auto"/>
          <w:szCs w:val="36"/>
        </w:rPr>
        <w:t>竞争性磋商响应文件格式</w:t>
      </w:r>
      <w:r>
        <w:rPr>
          <w:color w:val="auto"/>
        </w:rPr>
        <w:tab/>
      </w:r>
      <w:r>
        <w:rPr>
          <w:color w:val="auto"/>
        </w:rPr>
        <w:fldChar w:fldCharType="begin"/>
      </w:r>
      <w:r>
        <w:rPr>
          <w:color w:val="auto"/>
        </w:rPr>
        <w:instrText xml:space="preserve"> PAGEREF _Toc32354 </w:instrText>
      </w:r>
      <w:r>
        <w:rPr>
          <w:color w:val="auto"/>
        </w:rPr>
        <w:fldChar w:fldCharType="separate"/>
      </w:r>
      <w:r>
        <w:rPr>
          <w:color w:val="auto"/>
        </w:rPr>
        <w:t>41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_Toc21743 </w:instrText>
      </w:r>
      <w:r>
        <w:rPr>
          <w:rFonts w:hint="eastAsia" w:asciiTheme="minorEastAsia" w:hAnsiTheme="minorEastAsia" w:eastAsiaTheme="minorEastAsia" w:cstheme="minorEastAsia"/>
          <w:color w:val="auto"/>
        </w:rPr>
        <w:fldChar w:fldCharType="separate"/>
      </w:r>
      <w:r>
        <w:rPr>
          <w:rFonts w:hint="eastAsia" w:ascii="宋体" w:hAnsi="宋体" w:eastAsia="宋体" w:cs="宋体"/>
          <w:color w:val="auto"/>
          <w:szCs w:val="21"/>
        </w:rPr>
        <w:t>一</w:t>
      </w:r>
      <w:r>
        <w:rPr>
          <w:rFonts w:hint="eastAsia" w:ascii="宋体" w:hAnsi="宋体" w:eastAsia="宋体" w:cs="宋体"/>
          <w:color w:val="auto"/>
          <w:szCs w:val="21"/>
          <w:lang w:eastAsia="zh-CN"/>
        </w:rPr>
        <w:t>、</w:t>
      </w:r>
      <w:r>
        <w:rPr>
          <w:rFonts w:hint="eastAsia" w:ascii="宋体" w:hAnsi="宋体" w:eastAsia="宋体" w:cs="宋体"/>
          <w:color w:val="auto"/>
          <w:szCs w:val="21"/>
        </w:rPr>
        <w:t>评分标准索引表</w:t>
      </w:r>
      <w:r>
        <w:rPr>
          <w:color w:val="auto"/>
        </w:rPr>
        <w:tab/>
      </w:r>
      <w:r>
        <w:rPr>
          <w:color w:val="auto"/>
        </w:rPr>
        <w:fldChar w:fldCharType="begin"/>
      </w:r>
      <w:r>
        <w:rPr>
          <w:color w:val="auto"/>
        </w:rPr>
        <w:instrText xml:space="preserve"> PAGEREF _Toc21743 </w:instrText>
      </w:r>
      <w:r>
        <w:rPr>
          <w:color w:val="auto"/>
        </w:rPr>
        <w:fldChar w:fldCharType="separate"/>
      </w:r>
      <w:r>
        <w:rPr>
          <w:color w:val="auto"/>
        </w:rPr>
        <w:t>42</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_Toc20006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二</w:t>
      </w:r>
      <w:r>
        <w:rPr>
          <w:rFonts w:hint="eastAsia" w:asciiTheme="minorEastAsia" w:hAnsiTheme="minorEastAsia" w:eastAsiaTheme="minorEastAsia" w:cstheme="minorEastAsia"/>
          <w:color w:val="auto"/>
        </w:rPr>
        <w:t>、磋商书</w:t>
      </w:r>
      <w:r>
        <w:rPr>
          <w:color w:val="auto"/>
        </w:rPr>
        <w:tab/>
      </w:r>
      <w:r>
        <w:rPr>
          <w:color w:val="auto"/>
        </w:rPr>
        <w:fldChar w:fldCharType="begin"/>
      </w:r>
      <w:r>
        <w:rPr>
          <w:color w:val="auto"/>
        </w:rPr>
        <w:instrText xml:space="preserve"> PAGEREF _Toc20006 </w:instrText>
      </w:r>
      <w:r>
        <w:rPr>
          <w:color w:val="auto"/>
        </w:rPr>
        <w:fldChar w:fldCharType="separate"/>
      </w:r>
      <w:r>
        <w:rPr>
          <w:color w:val="auto"/>
        </w:rPr>
        <w:t>43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_Toc7513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三</w:t>
      </w:r>
      <w:r>
        <w:rPr>
          <w:rFonts w:hint="eastAsia" w:asciiTheme="minorEastAsia" w:hAnsiTheme="minorEastAsia" w:eastAsiaTheme="minorEastAsia" w:cstheme="minorEastAsia"/>
          <w:color w:val="auto"/>
        </w:rPr>
        <w:t>、法定代表人授权书</w:t>
      </w:r>
      <w:r>
        <w:rPr>
          <w:color w:val="auto"/>
        </w:rPr>
        <w:tab/>
      </w:r>
      <w:r>
        <w:rPr>
          <w:color w:val="auto"/>
        </w:rPr>
        <w:fldChar w:fldCharType="begin"/>
      </w:r>
      <w:r>
        <w:rPr>
          <w:color w:val="auto"/>
        </w:rPr>
        <w:instrText xml:space="preserve"> PAGEREF _Toc7513 </w:instrText>
      </w:r>
      <w:r>
        <w:rPr>
          <w:color w:val="auto"/>
        </w:rPr>
        <w:fldChar w:fldCharType="separate"/>
      </w:r>
      <w:r>
        <w:rPr>
          <w:color w:val="auto"/>
        </w:rPr>
        <w:t>44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_Toc10986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lang w:val="en-US" w:eastAsia="zh-CN"/>
        </w:rPr>
        <w:t>四</w:t>
      </w: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szCs w:val="21"/>
        </w:rPr>
        <w:t>法定代表人身份证明书</w:t>
      </w:r>
      <w:r>
        <w:rPr>
          <w:color w:val="auto"/>
        </w:rPr>
        <w:tab/>
      </w:r>
      <w:r>
        <w:rPr>
          <w:color w:val="auto"/>
        </w:rPr>
        <w:fldChar w:fldCharType="begin"/>
      </w:r>
      <w:r>
        <w:rPr>
          <w:color w:val="auto"/>
        </w:rPr>
        <w:instrText xml:space="preserve"> PAGEREF _Toc10986 </w:instrText>
      </w:r>
      <w:r>
        <w:rPr>
          <w:color w:val="auto"/>
        </w:rPr>
        <w:fldChar w:fldCharType="separate"/>
      </w:r>
      <w:r>
        <w:rPr>
          <w:color w:val="auto"/>
        </w:rPr>
        <w:t>45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_Toc19882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五</w:t>
      </w:r>
      <w:r>
        <w:rPr>
          <w:rFonts w:hint="eastAsia" w:asciiTheme="minorEastAsia" w:hAnsiTheme="minorEastAsia" w:eastAsiaTheme="minorEastAsia" w:cstheme="minorEastAsia"/>
          <w:bCs/>
          <w:color w:val="auto"/>
          <w:szCs w:val="21"/>
        </w:rPr>
        <w:t>、报价一览表</w:t>
      </w:r>
      <w:r>
        <w:rPr>
          <w:color w:val="auto"/>
        </w:rPr>
        <w:tab/>
      </w:r>
      <w:r>
        <w:rPr>
          <w:color w:val="auto"/>
        </w:rPr>
        <w:fldChar w:fldCharType="begin"/>
      </w:r>
      <w:r>
        <w:rPr>
          <w:color w:val="auto"/>
        </w:rPr>
        <w:instrText xml:space="preserve"> PAGEREF _Toc19882 </w:instrText>
      </w:r>
      <w:r>
        <w:rPr>
          <w:color w:val="auto"/>
        </w:rPr>
        <w:fldChar w:fldCharType="separate"/>
      </w:r>
      <w:r>
        <w:rPr>
          <w:color w:val="auto"/>
        </w:rPr>
        <w:t>46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_Toc3144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六</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eastAsia="zh-CN"/>
        </w:rPr>
        <w:t>报价费用构成表</w:t>
      </w:r>
      <w:r>
        <w:rPr>
          <w:color w:val="auto"/>
        </w:rPr>
        <w:tab/>
      </w:r>
      <w:r>
        <w:rPr>
          <w:color w:val="auto"/>
        </w:rPr>
        <w:fldChar w:fldCharType="begin"/>
      </w:r>
      <w:r>
        <w:rPr>
          <w:color w:val="auto"/>
        </w:rPr>
        <w:instrText xml:space="preserve"> PAGEREF _Toc3144 </w:instrText>
      </w:r>
      <w:r>
        <w:rPr>
          <w:color w:val="auto"/>
        </w:rPr>
        <w:fldChar w:fldCharType="separate"/>
      </w:r>
      <w:r>
        <w:rPr>
          <w:color w:val="auto"/>
        </w:rPr>
        <w:t>47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七</w:t>
      </w:r>
      <w:r>
        <w:rPr>
          <w:rFonts w:hint="eastAsia" w:asciiTheme="minorEastAsia" w:hAnsiTheme="minorEastAsia" w:eastAsiaTheme="minorEastAsia" w:cstheme="minorEastAsia"/>
          <w:bCs/>
          <w:color w:val="auto"/>
          <w:szCs w:val="21"/>
        </w:rPr>
        <w:t>、耗材清单</w:t>
      </w:r>
      <w:r>
        <w:rPr>
          <w:color w:val="auto"/>
        </w:rPr>
        <w:tab/>
      </w:r>
      <w:r>
        <w:rPr>
          <w:color w:val="auto"/>
        </w:rPr>
        <w:fldChar w:fldCharType="begin"/>
      </w:r>
      <w:r>
        <w:rPr>
          <w:color w:val="auto"/>
        </w:rPr>
        <w:instrText xml:space="preserve"> PAGEREF _Toc66 </w:instrText>
      </w:r>
      <w:r>
        <w:rPr>
          <w:color w:val="auto"/>
        </w:rPr>
        <w:fldChar w:fldCharType="separate"/>
      </w:r>
      <w:r>
        <w:rPr>
          <w:color w:val="auto"/>
        </w:rPr>
        <w:t>48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_Toc26501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八、拟投入设备/备件、工具情况</w:t>
      </w:r>
      <w:r>
        <w:rPr>
          <w:color w:val="auto"/>
        </w:rPr>
        <w:tab/>
      </w:r>
      <w:r>
        <w:rPr>
          <w:color w:val="auto"/>
        </w:rPr>
        <w:fldChar w:fldCharType="begin"/>
      </w:r>
      <w:r>
        <w:rPr>
          <w:color w:val="auto"/>
        </w:rPr>
        <w:instrText xml:space="preserve"> PAGEREF _Toc26501 </w:instrText>
      </w:r>
      <w:r>
        <w:rPr>
          <w:color w:val="auto"/>
        </w:rPr>
        <w:fldChar w:fldCharType="separate"/>
      </w:r>
      <w:r>
        <w:rPr>
          <w:color w:val="auto"/>
        </w:rPr>
        <w:t>49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_Toc12313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九</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eastAsia="zh-CN"/>
        </w:rPr>
        <w:t>缴纳</w:t>
      </w:r>
      <w:r>
        <w:rPr>
          <w:rFonts w:hint="eastAsia" w:asciiTheme="minorEastAsia" w:hAnsiTheme="minorEastAsia" w:eastAsiaTheme="minorEastAsia" w:cstheme="minorEastAsia"/>
          <w:bCs/>
          <w:color w:val="auto"/>
          <w:szCs w:val="21"/>
        </w:rPr>
        <w:t>保证金的银行凭证</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如有</w:t>
      </w:r>
      <w:r>
        <w:rPr>
          <w:rFonts w:hint="eastAsia" w:asciiTheme="minorEastAsia" w:hAnsiTheme="minorEastAsia" w:eastAsiaTheme="minorEastAsia" w:cstheme="minorEastAsia"/>
          <w:bCs/>
          <w:color w:val="auto"/>
          <w:szCs w:val="21"/>
          <w:lang w:eastAsia="zh-CN"/>
        </w:rPr>
        <w:t>）</w:t>
      </w:r>
      <w:r>
        <w:rPr>
          <w:color w:val="auto"/>
        </w:rPr>
        <w:tab/>
      </w:r>
      <w:r>
        <w:rPr>
          <w:color w:val="auto"/>
        </w:rPr>
        <w:fldChar w:fldCharType="begin"/>
      </w:r>
      <w:r>
        <w:rPr>
          <w:color w:val="auto"/>
        </w:rPr>
        <w:instrText xml:space="preserve"> PAGEREF _Toc12313 </w:instrText>
      </w:r>
      <w:r>
        <w:rPr>
          <w:color w:val="auto"/>
        </w:rPr>
        <w:fldChar w:fldCharType="separate"/>
      </w:r>
      <w:r>
        <w:rPr>
          <w:color w:val="auto"/>
        </w:rPr>
        <w:t>50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_Toc17270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lang w:val="en-US" w:eastAsia="zh-CN"/>
        </w:rPr>
        <w:t>十</w:t>
      </w:r>
      <w:r>
        <w:rPr>
          <w:rFonts w:hint="eastAsia" w:asciiTheme="minorEastAsia" w:hAnsiTheme="minorEastAsia" w:eastAsiaTheme="minorEastAsia" w:cstheme="minorEastAsia"/>
          <w:bCs/>
          <w:color w:val="auto"/>
          <w:szCs w:val="21"/>
        </w:rPr>
        <w:t>、偏离说明表</w:t>
      </w:r>
      <w:r>
        <w:rPr>
          <w:color w:val="auto"/>
        </w:rPr>
        <w:tab/>
      </w:r>
      <w:r>
        <w:rPr>
          <w:color w:val="auto"/>
        </w:rPr>
        <w:fldChar w:fldCharType="begin"/>
      </w:r>
      <w:r>
        <w:rPr>
          <w:color w:val="auto"/>
        </w:rPr>
        <w:instrText xml:space="preserve"> PAGEREF _Toc17270 </w:instrText>
      </w:r>
      <w:r>
        <w:rPr>
          <w:color w:val="auto"/>
        </w:rPr>
        <w:fldChar w:fldCharType="separate"/>
      </w:r>
      <w:r>
        <w:rPr>
          <w:color w:val="auto"/>
        </w:rPr>
        <w:t>51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_Toc18816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kern w:val="0"/>
          <w:szCs w:val="21"/>
        </w:rPr>
        <w:t>十</w:t>
      </w:r>
      <w:r>
        <w:rPr>
          <w:rFonts w:hint="eastAsia" w:asciiTheme="minorEastAsia" w:hAnsiTheme="minorEastAsia" w:eastAsiaTheme="minorEastAsia" w:cstheme="minorEastAsia"/>
          <w:color w:val="auto"/>
          <w:kern w:val="0"/>
          <w:szCs w:val="21"/>
          <w:lang w:eastAsia="zh-CN"/>
        </w:rPr>
        <w:t>一</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Cs/>
          <w:color w:val="auto"/>
          <w:szCs w:val="21"/>
        </w:rPr>
        <w:t xml:space="preserve">类似业绩一览表 </w:t>
      </w:r>
      <w:r>
        <w:rPr>
          <w:color w:val="auto"/>
        </w:rPr>
        <w:tab/>
      </w:r>
      <w:r>
        <w:rPr>
          <w:color w:val="auto"/>
        </w:rPr>
        <w:fldChar w:fldCharType="begin"/>
      </w:r>
      <w:r>
        <w:rPr>
          <w:color w:val="auto"/>
        </w:rPr>
        <w:instrText xml:space="preserve"> PAGEREF _Toc18816 </w:instrText>
      </w:r>
      <w:r>
        <w:rPr>
          <w:color w:val="auto"/>
        </w:rPr>
        <w:fldChar w:fldCharType="separate"/>
      </w:r>
      <w:r>
        <w:rPr>
          <w:color w:val="auto"/>
        </w:rPr>
        <w:t>52</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_Toc8374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zCs w:val="21"/>
        </w:rPr>
        <w:t>十</w:t>
      </w:r>
      <w:r>
        <w:rPr>
          <w:rFonts w:hint="eastAsia" w:asciiTheme="minorEastAsia" w:hAnsiTheme="minorEastAsia" w:eastAsiaTheme="minorEastAsia" w:cstheme="minorEastAsia"/>
          <w:bCs/>
          <w:color w:val="auto"/>
          <w:szCs w:val="21"/>
          <w:lang w:val="en-US" w:eastAsia="zh-CN"/>
        </w:rPr>
        <w:t>二</w:t>
      </w:r>
      <w:r>
        <w:rPr>
          <w:rFonts w:hint="eastAsia" w:asciiTheme="minorEastAsia" w:hAnsiTheme="minorEastAsia" w:eastAsiaTheme="minorEastAsia" w:cstheme="minorEastAsia"/>
          <w:bCs/>
          <w:color w:val="auto"/>
          <w:szCs w:val="21"/>
        </w:rPr>
        <w:t>、拟投入项目组人员一览表</w:t>
      </w:r>
      <w:r>
        <w:rPr>
          <w:color w:val="auto"/>
        </w:rPr>
        <w:tab/>
      </w:r>
      <w:r>
        <w:rPr>
          <w:color w:val="auto"/>
        </w:rPr>
        <w:fldChar w:fldCharType="begin"/>
      </w:r>
      <w:r>
        <w:rPr>
          <w:color w:val="auto"/>
        </w:rPr>
        <w:instrText xml:space="preserve"> PAGEREF _Toc8374 </w:instrText>
      </w:r>
      <w:r>
        <w:rPr>
          <w:color w:val="auto"/>
        </w:rPr>
        <w:fldChar w:fldCharType="separate"/>
      </w:r>
      <w:r>
        <w:rPr>
          <w:color w:val="auto"/>
        </w:rPr>
        <w:t>53</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_Toc8711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rPr>
        <w:t>十</w:t>
      </w:r>
      <w:r>
        <w:rPr>
          <w:rFonts w:hint="eastAsia" w:asciiTheme="minorEastAsia" w:hAnsiTheme="minorEastAsia" w:eastAsiaTheme="minorEastAsia" w:cstheme="minorEastAsia"/>
          <w:bCs/>
          <w:color w:val="auto"/>
          <w:kern w:val="0"/>
          <w:szCs w:val="21"/>
          <w:lang w:val="en-US" w:eastAsia="zh-CN"/>
        </w:rPr>
        <w:t>三</w:t>
      </w: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szCs w:val="21"/>
        </w:rPr>
        <w:t>供应商的资格声明</w:t>
      </w:r>
      <w:r>
        <w:rPr>
          <w:color w:val="auto"/>
        </w:rPr>
        <w:tab/>
      </w:r>
      <w:r>
        <w:rPr>
          <w:color w:val="auto"/>
        </w:rPr>
        <w:fldChar w:fldCharType="begin"/>
      </w:r>
      <w:r>
        <w:rPr>
          <w:color w:val="auto"/>
        </w:rPr>
        <w:instrText xml:space="preserve"> PAGEREF _Toc8711 </w:instrText>
      </w:r>
      <w:r>
        <w:rPr>
          <w:color w:val="auto"/>
        </w:rPr>
        <w:fldChar w:fldCharType="separate"/>
      </w:r>
      <w:r>
        <w:rPr>
          <w:color w:val="auto"/>
        </w:rPr>
        <w:t>54</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_Toc103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rPr>
        <w:t>十</w:t>
      </w:r>
      <w:r>
        <w:rPr>
          <w:rFonts w:hint="eastAsia" w:asciiTheme="minorEastAsia" w:hAnsiTheme="minorEastAsia" w:eastAsiaTheme="minorEastAsia" w:cstheme="minorEastAsia"/>
          <w:bCs/>
          <w:color w:val="auto"/>
          <w:kern w:val="0"/>
          <w:szCs w:val="21"/>
          <w:lang w:val="en-US" w:eastAsia="zh-CN"/>
        </w:rPr>
        <w:t>四</w:t>
      </w:r>
      <w:r>
        <w:rPr>
          <w:rFonts w:hint="eastAsia" w:asciiTheme="minorEastAsia" w:hAnsiTheme="minorEastAsia" w:eastAsiaTheme="minorEastAsia" w:cstheme="minorEastAsia"/>
          <w:bCs/>
          <w:color w:val="auto"/>
          <w:kern w:val="0"/>
          <w:szCs w:val="21"/>
        </w:rPr>
        <w:t>、</w:t>
      </w:r>
      <w:r>
        <w:rPr>
          <w:rFonts w:hint="eastAsia" w:asciiTheme="minorEastAsia" w:hAnsiTheme="minorEastAsia" w:eastAsiaTheme="minorEastAsia" w:cstheme="minorEastAsia"/>
          <w:bCs/>
          <w:color w:val="auto"/>
          <w:szCs w:val="21"/>
        </w:rPr>
        <w:t>资格证明文件</w:t>
      </w:r>
      <w:r>
        <w:rPr>
          <w:color w:val="auto"/>
        </w:rPr>
        <w:tab/>
      </w:r>
      <w:r>
        <w:rPr>
          <w:color w:val="auto"/>
        </w:rPr>
        <w:fldChar w:fldCharType="begin"/>
      </w:r>
      <w:r>
        <w:rPr>
          <w:color w:val="auto"/>
        </w:rPr>
        <w:instrText xml:space="preserve"> PAGEREF _Toc103 </w:instrText>
      </w:r>
      <w:r>
        <w:rPr>
          <w:color w:val="auto"/>
        </w:rPr>
        <w:fldChar w:fldCharType="separate"/>
      </w:r>
      <w:r>
        <w:rPr>
          <w:color w:val="auto"/>
        </w:rPr>
        <w:t>55</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_Toc6332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lang w:val="en-US" w:eastAsia="zh-CN"/>
        </w:rPr>
        <w:t>十五、</w:t>
      </w:r>
      <w:r>
        <w:rPr>
          <w:rFonts w:hint="eastAsia" w:asciiTheme="minorEastAsia" w:hAnsiTheme="minorEastAsia" w:eastAsiaTheme="minorEastAsia" w:cstheme="minorEastAsia"/>
          <w:bCs/>
          <w:color w:val="auto"/>
          <w:kern w:val="0"/>
          <w:szCs w:val="21"/>
        </w:rPr>
        <w:t>报价技术文件</w:t>
      </w:r>
      <w:r>
        <w:rPr>
          <w:color w:val="auto"/>
        </w:rPr>
        <w:tab/>
      </w:r>
      <w:r>
        <w:rPr>
          <w:color w:val="auto"/>
        </w:rPr>
        <w:fldChar w:fldCharType="begin"/>
      </w:r>
      <w:r>
        <w:rPr>
          <w:color w:val="auto"/>
        </w:rPr>
        <w:instrText xml:space="preserve"> PAGEREF _Toc6332 </w:instrText>
      </w:r>
      <w:r>
        <w:rPr>
          <w:color w:val="auto"/>
        </w:rPr>
        <w:fldChar w:fldCharType="separate"/>
      </w:r>
      <w:r>
        <w:rPr>
          <w:color w:val="auto"/>
        </w:rPr>
        <w:t>56</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_Toc26126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十</w:t>
      </w:r>
      <w:r>
        <w:rPr>
          <w:rFonts w:hint="eastAsia" w:asciiTheme="minorEastAsia" w:hAnsiTheme="minorEastAsia" w:eastAsiaTheme="minorEastAsia" w:cstheme="minorEastAsia"/>
          <w:color w:val="auto"/>
          <w:lang w:val="en-US" w:eastAsia="zh-CN"/>
        </w:rPr>
        <w:t>六</w:t>
      </w:r>
      <w:r>
        <w:rPr>
          <w:rFonts w:hint="eastAsia" w:asciiTheme="minorEastAsia" w:hAnsiTheme="minorEastAsia" w:eastAsiaTheme="minorEastAsia" w:cstheme="minorEastAsia"/>
          <w:color w:val="auto"/>
        </w:rPr>
        <w:t>、中小企业声明函</w:t>
      </w:r>
      <w:r>
        <w:rPr>
          <w:rFonts w:hint="eastAsia" w:asciiTheme="minorEastAsia" w:hAnsiTheme="minorEastAsia" w:eastAsiaTheme="minorEastAsia" w:cstheme="minorEastAsia"/>
          <w:color w:val="auto"/>
          <w:lang w:val="zh-CN"/>
        </w:rPr>
        <w:t>（若</w:t>
      </w:r>
      <w:r>
        <w:rPr>
          <w:rFonts w:hint="eastAsia" w:asciiTheme="minorEastAsia" w:hAnsiTheme="minorEastAsia" w:eastAsiaTheme="minorEastAsia" w:cstheme="minorEastAsia"/>
          <w:color w:val="auto"/>
          <w:lang w:val="en-US" w:eastAsia="zh-CN"/>
        </w:rPr>
        <w:t>符合</w:t>
      </w:r>
      <w:r>
        <w:rPr>
          <w:rFonts w:hint="eastAsia" w:asciiTheme="minorEastAsia" w:hAnsiTheme="minorEastAsia" w:eastAsiaTheme="minorEastAsia" w:cstheme="minorEastAsia"/>
          <w:color w:val="auto"/>
          <w:lang w:val="zh-CN"/>
        </w:rPr>
        <w:t>）</w:t>
      </w:r>
      <w:r>
        <w:rPr>
          <w:color w:val="auto"/>
        </w:rPr>
        <w:tab/>
      </w:r>
      <w:r>
        <w:rPr>
          <w:color w:val="auto"/>
        </w:rPr>
        <w:fldChar w:fldCharType="begin"/>
      </w:r>
      <w:r>
        <w:rPr>
          <w:color w:val="auto"/>
        </w:rPr>
        <w:instrText xml:space="preserve"> PAGEREF _Toc26126 </w:instrText>
      </w:r>
      <w:r>
        <w:rPr>
          <w:color w:val="auto"/>
        </w:rPr>
        <w:fldChar w:fldCharType="separate"/>
      </w:r>
      <w:r>
        <w:rPr>
          <w:color w:val="auto"/>
        </w:rPr>
        <w:t>57</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_Toc26897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pacing w:val="6"/>
          <w:szCs w:val="21"/>
          <w:lang w:val="en-US" w:eastAsia="zh-CN"/>
        </w:rPr>
        <w:t>十七、</w:t>
      </w:r>
      <w:r>
        <w:rPr>
          <w:rFonts w:hint="eastAsia" w:asciiTheme="minorEastAsia" w:hAnsiTheme="minorEastAsia" w:eastAsiaTheme="minorEastAsia" w:cstheme="minorEastAsia"/>
          <w:bCs/>
          <w:color w:val="auto"/>
          <w:lang w:val="zh-CN"/>
        </w:rPr>
        <w:t>监狱企业证</w:t>
      </w:r>
      <w:r>
        <w:rPr>
          <w:rFonts w:hint="eastAsia" w:asciiTheme="minorEastAsia" w:hAnsiTheme="minorEastAsia" w:eastAsiaTheme="minorEastAsia" w:cstheme="minorEastAsia"/>
          <w:color w:val="auto"/>
          <w:lang w:val="zh-CN"/>
        </w:rPr>
        <w:t>明文</w:t>
      </w:r>
      <w:r>
        <w:rPr>
          <w:rFonts w:hint="eastAsia" w:asciiTheme="minorEastAsia" w:hAnsiTheme="minorEastAsia" w:eastAsiaTheme="minorEastAsia" w:cstheme="minorEastAsia"/>
          <w:color w:val="auto"/>
        </w:rPr>
        <w:t>件</w:t>
      </w:r>
      <w:r>
        <w:rPr>
          <w:rFonts w:hint="eastAsia" w:asciiTheme="minorEastAsia" w:hAnsiTheme="minorEastAsia" w:eastAsiaTheme="minorEastAsia" w:cstheme="minorEastAsia"/>
          <w:color w:val="auto"/>
          <w:lang w:val="zh-CN"/>
        </w:rPr>
        <w:t>（若</w:t>
      </w:r>
      <w:r>
        <w:rPr>
          <w:rFonts w:hint="eastAsia" w:asciiTheme="minorEastAsia" w:hAnsiTheme="minorEastAsia" w:eastAsiaTheme="minorEastAsia" w:cstheme="minorEastAsia"/>
          <w:color w:val="auto"/>
          <w:lang w:val="en-US" w:eastAsia="zh-CN"/>
        </w:rPr>
        <w:t>符合</w:t>
      </w:r>
      <w:r>
        <w:rPr>
          <w:rFonts w:hint="eastAsia" w:asciiTheme="minorEastAsia" w:hAnsiTheme="minorEastAsia" w:eastAsiaTheme="minorEastAsia" w:cstheme="minorEastAsia"/>
          <w:color w:val="auto"/>
          <w:lang w:val="zh-CN"/>
        </w:rPr>
        <w:t>）</w:t>
      </w:r>
      <w:r>
        <w:rPr>
          <w:color w:val="auto"/>
        </w:rPr>
        <w:tab/>
      </w:r>
      <w:r>
        <w:rPr>
          <w:color w:val="auto"/>
        </w:rPr>
        <w:fldChar w:fldCharType="begin"/>
      </w:r>
      <w:r>
        <w:rPr>
          <w:color w:val="auto"/>
        </w:rPr>
        <w:instrText xml:space="preserve"> PAGEREF _Toc26897 </w:instrText>
      </w:r>
      <w:r>
        <w:rPr>
          <w:color w:val="auto"/>
        </w:rPr>
        <w:fldChar w:fldCharType="separate"/>
      </w:r>
      <w:r>
        <w:rPr>
          <w:color w:val="auto"/>
        </w:rPr>
        <w:t>58</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_Toc21843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十八</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zh-CN"/>
        </w:rPr>
        <w:t>残疾人福利性单位声明函（若</w:t>
      </w:r>
      <w:r>
        <w:rPr>
          <w:rFonts w:hint="eastAsia" w:asciiTheme="minorEastAsia" w:hAnsiTheme="minorEastAsia" w:eastAsiaTheme="minorEastAsia" w:cstheme="minorEastAsia"/>
          <w:color w:val="auto"/>
          <w:lang w:val="en-US" w:eastAsia="zh-CN"/>
        </w:rPr>
        <w:t>符合</w:t>
      </w:r>
      <w:r>
        <w:rPr>
          <w:rFonts w:hint="eastAsia" w:asciiTheme="minorEastAsia" w:hAnsiTheme="minorEastAsia" w:eastAsiaTheme="minorEastAsia" w:cstheme="minorEastAsia"/>
          <w:color w:val="auto"/>
          <w:lang w:val="zh-CN"/>
        </w:rPr>
        <w:t>）</w:t>
      </w:r>
      <w:r>
        <w:rPr>
          <w:color w:val="auto"/>
        </w:rPr>
        <w:tab/>
      </w:r>
      <w:r>
        <w:rPr>
          <w:color w:val="auto"/>
        </w:rPr>
        <w:fldChar w:fldCharType="begin"/>
      </w:r>
      <w:r>
        <w:rPr>
          <w:color w:val="auto"/>
        </w:rPr>
        <w:instrText xml:space="preserve"> PAGEREF _Toc21843 </w:instrText>
      </w:r>
      <w:r>
        <w:rPr>
          <w:color w:val="auto"/>
        </w:rPr>
        <w:fldChar w:fldCharType="separate"/>
      </w:r>
      <w:r>
        <w:rPr>
          <w:color w:val="auto"/>
        </w:rPr>
        <w:t>59</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_Toc20002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lang w:val="en-US" w:eastAsia="zh-CN"/>
        </w:rPr>
        <w:t>十九、节能环保产品证明材料（若符合）</w:t>
      </w:r>
      <w:r>
        <w:rPr>
          <w:color w:val="auto"/>
        </w:rPr>
        <w:tab/>
      </w:r>
      <w:r>
        <w:rPr>
          <w:color w:val="auto"/>
        </w:rPr>
        <w:fldChar w:fldCharType="begin"/>
      </w:r>
      <w:r>
        <w:rPr>
          <w:color w:val="auto"/>
        </w:rPr>
        <w:instrText xml:space="preserve"> PAGEREF _Toc20002 </w:instrText>
      </w:r>
      <w:r>
        <w:rPr>
          <w:color w:val="auto"/>
        </w:rPr>
        <w:fldChar w:fldCharType="separate"/>
      </w:r>
      <w:r>
        <w:rPr>
          <w:color w:val="auto"/>
        </w:rPr>
        <w:t>60</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_Toc4769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spacing w:val="6"/>
          <w:szCs w:val="21"/>
          <w:lang w:val="en-US" w:eastAsia="zh-CN"/>
        </w:rPr>
        <w:t>二十</w:t>
      </w:r>
      <w:r>
        <w:rPr>
          <w:rFonts w:hint="eastAsia" w:asciiTheme="minorEastAsia" w:hAnsiTheme="minorEastAsia" w:eastAsiaTheme="minorEastAsia" w:cstheme="minorEastAsia"/>
          <w:bCs/>
          <w:color w:val="auto"/>
          <w:spacing w:val="6"/>
          <w:szCs w:val="21"/>
        </w:rPr>
        <w:t>、</w:t>
      </w:r>
      <w:r>
        <w:rPr>
          <w:rFonts w:hint="eastAsia" w:asciiTheme="minorEastAsia" w:hAnsiTheme="minorEastAsia" w:eastAsiaTheme="minorEastAsia" w:cstheme="minorEastAsia"/>
          <w:color w:val="auto"/>
        </w:rPr>
        <w:t>无重大违法记录声明</w:t>
      </w:r>
      <w:r>
        <w:rPr>
          <w:color w:val="auto"/>
        </w:rPr>
        <w:tab/>
      </w:r>
      <w:r>
        <w:rPr>
          <w:color w:val="auto"/>
        </w:rPr>
        <w:fldChar w:fldCharType="begin"/>
      </w:r>
      <w:r>
        <w:rPr>
          <w:color w:val="auto"/>
        </w:rPr>
        <w:instrText xml:space="preserve"> PAGEREF _Toc4769 </w:instrText>
      </w:r>
      <w:r>
        <w:rPr>
          <w:color w:val="auto"/>
        </w:rPr>
        <w:fldChar w:fldCharType="separate"/>
      </w:r>
      <w:r>
        <w:rPr>
          <w:color w:val="auto"/>
        </w:rPr>
        <w:t>61</w:t>
      </w:r>
      <w:r>
        <w:rPr>
          <w:color w:val="auto"/>
        </w:rPr>
        <w:fldChar w:fldCharType="end"/>
      </w:r>
      <w:r>
        <w:rPr>
          <w:rFonts w:hint="eastAsia" w:asciiTheme="minorEastAsia" w:hAnsiTheme="minorEastAsia" w:eastAsiaTheme="minorEastAsia" w:cstheme="minorEastAsia"/>
          <w:color w:val="auto"/>
        </w:rPr>
        <w:fldChar w:fldCharType="end"/>
      </w:r>
    </w:p>
    <w:p>
      <w:pPr>
        <w:pStyle w:val="22"/>
        <w:tabs>
          <w:tab w:val="right" w:leader="dot" w:pos="9072"/>
        </w:tabs>
        <w:rPr>
          <w:color w:val="auto"/>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_Toc16716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Cs/>
          <w:color w:val="auto"/>
          <w:kern w:val="0"/>
          <w:szCs w:val="21"/>
          <w:shd w:val="clear" w:color="auto" w:fill="FFFFFF"/>
          <w:lang w:val="en-US" w:eastAsia="zh-CN"/>
        </w:rPr>
        <w:t>二十一</w:t>
      </w:r>
      <w:r>
        <w:rPr>
          <w:rFonts w:hint="eastAsia" w:asciiTheme="minorEastAsia" w:hAnsiTheme="minorEastAsia" w:eastAsiaTheme="minorEastAsia" w:cstheme="minorEastAsia"/>
          <w:bCs/>
          <w:color w:val="auto"/>
          <w:kern w:val="0"/>
          <w:szCs w:val="21"/>
          <w:shd w:val="clear" w:color="auto" w:fill="FFFFFF"/>
        </w:rPr>
        <w:t>、磋商供应商认为应该提交的其它文件（格式自拟）</w:t>
      </w:r>
      <w:r>
        <w:rPr>
          <w:color w:val="auto"/>
        </w:rPr>
        <w:tab/>
      </w:r>
      <w:r>
        <w:rPr>
          <w:color w:val="auto"/>
        </w:rPr>
        <w:fldChar w:fldCharType="begin"/>
      </w:r>
      <w:r>
        <w:rPr>
          <w:color w:val="auto"/>
        </w:rPr>
        <w:instrText xml:space="preserve"> PAGEREF _Toc16716 </w:instrText>
      </w:r>
      <w:r>
        <w:rPr>
          <w:color w:val="auto"/>
        </w:rPr>
        <w:fldChar w:fldCharType="separate"/>
      </w:r>
      <w:r>
        <w:rPr>
          <w:color w:val="auto"/>
        </w:rPr>
        <w:t>61</w:t>
      </w:r>
      <w:r>
        <w:rPr>
          <w:color w:val="auto"/>
        </w:rPr>
        <w:fldChar w:fldCharType="end"/>
      </w:r>
      <w:r>
        <w:rPr>
          <w:rFonts w:hint="eastAsia" w:asciiTheme="minorEastAsia" w:hAnsiTheme="minorEastAsia" w:eastAsiaTheme="minorEastAsia" w:cstheme="minorEastAsia"/>
          <w:color w:val="auto"/>
        </w:rPr>
        <w:fldChar w:fldCharType="end"/>
      </w:r>
    </w:p>
    <w:p>
      <w:pPr>
        <w:jc w:val="left"/>
        <w:rPr>
          <w:rFonts w:hint="eastAsia" w:asciiTheme="minorEastAsia" w:hAnsiTheme="minorEastAsia" w:eastAsiaTheme="minorEastAsia" w:cstheme="minorEastAsia"/>
          <w:color w:val="auto"/>
        </w:rPr>
        <w:sectPr>
          <w:headerReference r:id="rId3" w:type="default"/>
          <w:footerReference r:id="rId5" w:type="default"/>
          <w:headerReference r:id="rId4" w:type="even"/>
          <w:footerReference r:id="rId6" w:type="even"/>
          <w:type w:val="continuous"/>
          <w:pgSz w:w="11906" w:h="16838"/>
          <w:pgMar w:top="1417" w:right="1417" w:bottom="1417" w:left="1417" w:header="851" w:footer="992" w:gutter="0"/>
          <w:pgNumType w:fmt="numberInDash"/>
          <w:cols w:space="720" w:num="1"/>
          <w:docGrid w:type="lines" w:linePitch="312" w:charSpace="0"/>
        </w:sectPr>
      </w:pPr>
      <w:r>
        <w:rPr>
          <w:rFonts w:hint="eastAsia" w:asciiTheme="minorEastAsia" w:hAnsiTheme="minorEastAsia" w:eastAsiaTheme="minorEastAsia" w:cstheme="minorEastAsia"/>
          <w:color w:val="auto"/>
        </w:rPr>
        <w:fldChar w:fldCharType="end"/>
      </w:r>
    </w:p>
    <w:p>
      <w:pPr>
        <w:spacing w:line="360" w:lineRule="auto"/>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6"/>
          <w:szCs w:val="36"/>
        </w:rPr>
        <w:br w:type="page"/>
      </w:r>
    </w:p>
    <w:p>
      <w:pPr>
        <w:numPr>
          <w:ilvl w:val="0"/>
          <w:numId w:val="5"/>
        </w:numPr>
        <w:spacing w:line="360" w:lineRule="auto"/>
        <w:jc w:val="center"/>
        <w:outlineLvl w:val="0"/>
        <w:rPr>
          <w:rFonts w:hint="eastAsia"/>
          <w:b/>
          <w:bCs/>
          <w:color w:val="auto"/>
          <w:sz w:val="24"/>
          <w:szCs w:val="24"/>
        </w:rPr>
      </w:pPr>
      <w:bookmarkStart w:id="0" w:name="_Toc6866"/>
      <w:bookmarkStart w:id="1" w:name="_Toc1628"/>
      <w:bookmarkStart w:id="232" w:name="_GoBack"/>
      <w:bookmarkEnd w:id="232"/>
      <w:r>
        <w:rPr>
          <w:rFonts w:hint="eastAsia" w:ascii="宋体" w:hAnsi="宋体" w:cs="宋体"/>
          <w:b/>
          <w:color w:val="auto"/>
          <w:sz w:val="36"/>
          <w:szCs w:val="36"/>
        </w:rPr>
        <w:t>竞争性磋商公告</w:t>
      </w:r>
      <w:bookmarkEnd w:id="0"/>
      <w:bookmarkEnd w:id="1"/>
      <w:bookmarkStart w:id="2" w:name="_Toc152042288"/>
      <w:bookmarkStart w:id="3" w:name="_Toc152045512"/>
      <w:bookmarkStart w:id="4" w:name="_Toc144974480"/>
      <w:bookmarkStart w:id="5" w:name="_Toc9976"/>
      <w:bookmarkStart w:id="6" w:name="_Toc179632528"/>
      <w:bookmarkStart w:id="7" w:name="_Toc524908844"/>
    </w:p>
    <w:bookmarkEnd w:id="2"/>
    <w:bookmarkEnd w:id="3"/>
    <w:bookmarkEnd w:id="4"/>
    <w:bookmarkEnd w:id="5"/>
    <w:bookmarkEnd w:id="6"/>
    <w:bookmarkEnd w:id="7"/>
    <w:p>
      <w:pPr>
        <w:pBdr>
          <w:top w:val="single" w:color="auto" w:sz="4" w:space="1"/>
          <w:left w:val="single" w:color="auto" w:sz="4" w:space="4"/>
          <w:bottom w:val="single" w:color="auto" w:sz="4" w:space="1"/>
          <w:right w:val="single" w:color="auto" w:sz="4" w:space="4"/>
        </w:pBd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u w:val="single"/>
          <w:lang w:eastAsia="zh-CN"/>
        </w:rPr>
        <w:t>湖北水利水电职业技术学院2020年新生军训服装采购项目</w:t>
      </w:r>
      <w:r>
        <w:rPr>
          <w:rFonts w:hint="eastAsia" w:asciiTheme="minorEastAsia" w:hAnsiTheme="minorEastAsia" w:eastAsiaTheme="minorEastAsia" w:cstheme="minorEastAsia"/>
          <w:color w:val="auto"/>
          <w:sz w:val="21"/>
          <w:szCs w:val="21"/>
          <w:u w:val="none"/>
          <w:lang w:val="en-US" w:eastAsia="zh-CN"/>
        </w:rPr>
        <w:t>的潜在供应商应在</w:t>
      </w:r>
      <w:r>
        <w:rPr>
          <w:rFonts w:hint="eastAsia" w:asciiTheme="minorEastAsia" w:hAnsiTheme="minorEastAsia" w:eastAsiaTheme="minorEastAsia" w:cstheme="minorEastAsia"/>
          <w:color w:val="auto"/>
          <w:sz w:val="21"/>
          <w:szCs w:val="21"/>
          <w:u w:val="single"/>
        </w:rPr>
        <w:t>中经国际招标集团有限公司</w:t>
      </w:r>
      <w:r>
        <w:rPr>
          <w:rFonts w:hint="eastAsia" w:asciiTheme="minorEastAsia" w:hAnsiTheme="minorEastAsia" w:eastAsiaTheme="minorEastAsia" w:cstheme="minorEastAsia"/>
          <w:color w:val="auto"/>
          <w:sz w:val="21"/>
          <w:szCs w:val="21"/>
          <w:u w:val="single"/>
          <w:lang w:eastAsia="zh-CN"/>
        </w:rPr>
        <w:t>（武昌区中北路岳家嘴立交山河企业大厦</w:t>
      </w:r>
      <w:r>
        <w:rPr>
          <w:rFonts w:hint="eastAsia" w:asciiTheme="minorEastAsia" w:hAnsiTheme="minorEastAsia" w:eastAsiaTheme="minorEastAsia" w:cstheme="minorEastAsia"/>
          <w:color w:val="auto"/>
          <w:sz w:val="21"/>
          <w:szCs w:val="21"/>
          <w:u w:val="single"/>
          <w:lang w:val="en-US" w:eastAsia="zh-CN"/>
        </w:rPr>
        <w:t>48楼</w:t>
      </w:r>
      <w:r>
        <w:rPr>
          <w:rFonts w:hint="eastAsia" w:asciiTheme="minorEastAsia" w:hAnsiTheme="minorEastAsia" w:eastAsiaTheme="minorEastAsia" w:cstheme="minorEastAsia"/>
          <w:color w:val="auto"/>
          <w:sz w:val="21"/>
          <w:szCs w:val="21"/>
          <w:u w:val="single"/>
          <w:lang w:eastAsia="zh-CN"/>
        </w:rPr>
        <w:t>4805室）或线上</w:t>
      </w:r>
      <w:r>
        <w:rPr>
          <w:rFonts w:hint="eastAsia" w:asciiTheme="minorEastAsia" w:hAnsiTheme="minorEastAsia" w:eastAsiaTheme="minorEastAsia" w:cstheme="minorEastAsia"/>
          <w:color w:val="auto"/>
          <w:sz w:val="21"/>
          <w:szCs w:val="21"/>
        </w:rPr>
        <w:t>获取</w:t>
      </w:r>
      <w:r>
        <w:rPr>
          <w:rFonts w:hint="eastAsia" w:asciiTheme="minorEastAsia" w:hAnsiTheme="minorEastAsia" w:eastAsiaTheme="minorEastAsia" w:cstheme="minorEastAsia"/>
          <w:color w:val="auto"/>
          <w:sz w:val="21"/>
          <w:szCs w:val="21"/>
          <w:lang w:eastAsia="zh-CN"/>
        </w:rPr>
        <w:t>采购</w:t>
      </w:r>
      <w:r>
        <w:rPr>
          <w:rFonts w:hint="eastAsia" w:asciiTheme="minorEastAsia" w:hAnsiTheme="minorEastAsia" w:eastAsiaTheme="minorEastAsia" w:cstheme="minorEastAsia"/>
          <w:color w:val="auto"/>
          <w:sz w:val="21"/>
          <w:szCs w:val="21"/>
        </w:rPr>
        <w:t>文件，并于</w:t>
      </w:r>
      <w:r>
        <w:rPr>
          <w:rFonts w:hint="eastAsia" w:asciiTheme="minorEastAsia" w:hAnsiTheme="minorEastAsia" w:eastAsiaTheme="minorEastAsia" w:cstheme="minorEastAsia"/>
          <w:color w:val="auto"/>
          <w:sz w:val="21"/>
          <w:szCs w:val="21"/>
          <w:u w:val="single"/>
          <w:lang w:val="en-US" w:eastAsia="zh-CN"/>
        </w:rPr>
        <w:t>2020</w:t>
      </w:r>
      <w:r>
        <w:rPr>
          <w:rFonts w:hint="eastAsia" w:asciiTheme="minorEastAsia" w:hAnsiTheme="minorEastAsia" w:eastAsiaTheme="minorEastAsia" w:cstheme="minorEastAsia"/>
          <w:color w:val="auto"/>
          <w:sz w:val="21"/>
          <w:szCs w:val="21"/>
          <w:u w:val="single"/>
        </w:rPr>
        <w:t>年</w:t>
      </w:r>
      <w:r>
        <w:rPr>
          <w:rFonts w:hint="eastAsia" w:asciiTheme="minorEastAsia" w:hAnsiTheme="minorEastAsia" w:eastAsiaTheme="minorEastAsia" w:cstheme="minorEastAsia"/>
          <w:color w:val="auto"/>
          <w:sz w:val="21"/>
          <w:szCs w:val="21"/>
          <w:u w:val="single"/>
          <w:lang w:val="en-US" w:eastAsia="zh-CN"/>
        </w:rPr>
        <w:t>9</w:t>
      </w:r>
      <w:r>
        <w:rPr>
          <w:rFonts w:hint="eastAsia" w:asciiTheme="minorEastAsia" w:hAnsiTheme="minorEastAsia" w:eastAsiaTheme="minorEastAsia" w:cstheme="minorEastAsia"/>
          <w:color w:val="auto"/>
          <w:sz w:val="21"/>
          <w:szCs w:val="21"/>
          <w:u w:val="single"/>
        </w:rPr>
        <w:t>月</w:t>
      </w:r>
      <w:r>
        <w:rPr>
          <w:rFonts w:hint="eastAsia" w:asciiTheme="minorEastAsia" w:hAnsiTheme="minorEastAsia" w:eastAsiaTheme="minorEastAsia" w:cstheme="minorEastAsia"/>
          <w:color w:val="auto"/>
          <w:sz w:val="21"/>
          <w:szCs w:val="21"/>
          <w:u w:val="single"/>
          <w:lang w:val="en-US" w:eastAsia="zh-CN"/>
        </w:rPr>
        <w:t>4</w:t>
      </w:r>
      <w:r>
        <w:rPr>
          <w:rFonts w:hint="eastAsia" w:asciiTheme="minorEastAsia" w:hAnsiTheme="minorEastAsia" w:eastAsiaTheme="minorEastAsia" w:cstheme="minorEastAsia"/>
          <w:color w:val="auto"/>
          <w:sz w:val="21"/>
          <w:szCs w:val="21"/>
          <w:u w:val="single"/>
        </w:rPr>
        <w:t>日</w:t>
      </w:r>
      <w:r>
        <w:rPr>
          <w:rFonts w:hint="eastAsia" w:asciiTheme="minorEastAsia" w:hAnsiTheme="minorEastAsia" w:eastAsiaTheme="minorEastAsia" w:cstheme="minorEastAsia"/>
          <w:color w:val="auto"/>
          <w:sz w:val="21"/>
          <w:szCs w:val="21"/>
          <w:u w:val="single"/>
          <w:lang w:val="en-US" w:eastAsia="zh-CN"/>
        </w:rPr>
        <w:t>10</w:t>
      </w:r>
      <w:r>
        <w:rPr>
          <w:rFonts w:hint="eastAsia" w:asciiTheme="minorEastAsia" w:hAnsiTheme="minorEastAsia" w:eastAsiaTheme="minorEastAsia" w:cstheme="minorEastAsia"/>
          <w:color w:val="auto"/>
          <w:sz w:val="21"/>
          <w:szCs w:val="21"/>
          <w:u w:val="single"/>
        </w:rPr>
        <w:t>点</w:t>
      </w:r>
      <w:r>
        <w:rPr>
          <w:rFonts w:hint="eastAsia" w:asciiTheme="minorEastAsia" w:hAnsiTheme="minorEastAsia" w:eastAsiaTheme="minorEastAsia" w:cstheme="minorEastAsia"/>
          <w:color w:val="auto"/>
          <w:sz w:val="21"/>
          <w:szCs w:val="21"/>
          <w:u w:val="single"/>
          <w:lang w:val="en-US" w:eastAsia="zh-CN"/>
        </w:rPr>
        <w:t>00</w:t>
      </w:r>
      <w:r>
        <w:rPr>
          <w:rFonts w:hint="eastAsia" w:asciiTheme="minorEastAsia" w:hAnsiTheme="minorEastAsia" w:eastAsiaTheme="minorEastAsia" w:cstheme="minorEastAsia"/>
          <w:color w:val="auto"/>
          <w:sz w:val="21"/>
          <w:szCs w:val="21"/>
          <w:u w:val="single"/>
        </w:rPr>
        <w:t>分</w:t>
      </w:r>
      <w:r>
        <w:rPr>
          <w:rFonts w:hint="eastAsia" w:asciiTheme="minorEastAsia" w:hAnsiTheme="minorEastAsia" w:eastAsiaTheme="minorEastAsia" w:cstheme="minorEastAsia"/>
          <w:color w:val="auto"/>
          <w:sz w:val="21"/>
          <w:szCs w:val="21"/>
        </w:rPr>
        <w:t>（北京时间）前递交</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文件。</w:t>
      </w:r>
    </w:p>
    <w:p>
      <w:pPr>
        <w:pStyle w:val="4"/>
        <w:numPr>
          <w:ilvl w:val="0"/>
          <w:numId w:val="6"/>
        </w:numPr>
        <w:spacing w:line="360" w:lineRule="auto"/>
        <w:jc w:val="left"/>
        <w:rPr>
          <w:rFonts w:hint="eastAsia" w:asciiTheme="minorEastAsia" w:hAnsiTheme="minorEastAsia" w:eastAsiaTheme="minorEastAsia" w:cstheme="minorEastAsia"/>
          <w:color w:val="auto"/>
          <w:sz w:val="21"/>
          <w:szCs w:val="21"/>
        </w:rPr>
      </w:pPr>
      <w:bookmarkStart w:id="8" w:name="_Toc24710"/>
      <w:r>
        <w:rPr>
          <w:rFonts w:hint="eastAsia" w:asciiTheme="minorEastAsia" w:hAnsiTheme="minorEastAsia" w:eastAsiaTheme="minorEastAsia" w:cstheme="minorEastAsia"/>
          <w:color w:val="auto"/>
          <w:sz w:val="21"/>
          <w:szCs w:val="21"/>
        </w:rPr>
        <w:t>项目基本情况</w:t>
      </w:r>
      <w:bookmarkEnd w:id="8"/>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1、项目编号：ZJZB-202008-242</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2、项目名称：</w:t>
      </w:r>
      <w:r>
        <w:rPr>
          <w:rFonts w:hint="eastAsia" w:asciiTheme="minorEastAsia" w:hAnsiTheme="minorEastAsia" w:eastAsiaTheme="minorEastAsia" w:cstheme="minorEastAsia"/>
          <w:color w:val="auto"/>
          <w:sz w:val="21"/>
          <w:szCs w:val="21"/>
          <w:lang w:eastAsia="zh-CN"/>
        </w:rPr>
        <w:t>湖北水利水电职业技术学院2020年新生军训服装采购项目</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3、采购方式：竞争性磋商</w:t>
      </w:r>
      <w:r>
        <w:rPr>
          <w:rFonts w:hint="eastAsia" w:asciiTheme="minorEastAsia" w:hAnsiTheme="minorEastAsia" w:eastAsiaTheme="minorEastAsia" w:cstheme="minorEastAsia"/>
          <w:color w:val="auto"/>
          <w:sz w:val="21"/>
          <w:szCs w:val="21"/>
        </w:rPr>
        <w:t xml:space="preserve"> </w:t>
      </w:r>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概算金额</w:t>
      </w:r>
      <w:r>
        <w:rPr>
          <w:rFonts w:hint="eastAsia" w:asciiTheme="minorEastAsia" w:hAnsiTheme="minorEastAsia" w:eastAsiaTheme="minorEastAsia" w:cstheme="minorEastAsia"/>
          <w:color w:val="auto"/>
          <w:sz w:val="21"/>
          <w:szCs w:val="21"/>
        </w:rPr>
        <w:t>：人民币</w:t>
      </w:r>
      <w:r>
        <w:rPr>
          <w:rFonts w:hint="eastAsia" w:asciiTheme="minorEastAsia" w:hAnsiTheme="minorEastAsia" w:eastAsiaTheme="minorEastAsia" w:cstheme="minorEastAsia"/>
          <w:color w:val="auto"/>
          <w:sz w:val="21"/>
          <w:szCs w:val="21"/>
          <w:u w:val="single"/>
          <w:lang w:val="en-US" w:eastAsia="zh-CN"/>
        </w:rPr>
        <w:t>28.8</w:t>
      </w:r>
      <w:r>
        <w:rPr>
          <w:rFonts w:hint="eastAsia" w:asciiTheme="minorEastAsia" w:hAnsiTheme="minorEastAsia" w:eastAsiaTheme="minorEastAsia" w:cstheme="minorEastAsia"/>
          <w:color w:val="auto"/>
          <w:sz w:val="21"/>
          <w:szCs w:val="21"/>
        </w:rPr>
        <w:t>万元（含财政资金</w:t>
      </w:r>
      <w:r>
        <w:rPr>
          <w:rFonts w:hint="eastAsia" w:asciiTheme="minorEastAsia" w:hAnsiTheme="minorEastAsia" w:eastAsiaTheme="minorEastAsia" w:cstheme="minorEastAsia"/>
          <w:color w:val="auto"/>
          <w:sz w:val="21"/>
          <w:szCs w:val="21"/>
          <w:u w:val="single"/>
          <w:lang w:val="en-US" w:eastAsia="zh-CN"/>
        </w:rPr>
        <w:t xml:space="preserve"> /  </w:t>
      </w:r>
      <w:r>
        <w:rPr>
          <w:rFonts w:hint="eastAsia" w:asciiTheme="minorEastAsia" w:hAnsiTheme="minorEastAsia" w:eastAsiaTheme="minorEastAsia" w:cstheme="minorEastAsia"/>
          <w:color w:val="auto"/>
          <w:sz w:val="21"/>
          <w:szCs w:val="21"/>
        </w:rPr>
        <w:t>万元，其他资金</w:t>
      </w:r>
      <w:r>
        <w:rPr>
          <w:rFonts w:hint="eastAsia" w:asciiTheme="minorEastAsia" w:hAnsiTheme="minorEastAsia" w:eastAsiaTheme="minorEastAsia" w:cstheme="minorEastAsia"/>
          <w:color w:val="auto"/>
          <w:sz w:val="21"/>
          <w:szCs w:val="21"/>
          <w:u w:val="single"/>
          <w:lang w:val="en-US" w:eastAsia="zh-CN"/>
        </w:rPr>
        <w:t>28.8</w:t>
      </w:r>
      <w:r>
        <w:rPr>
          <w:rFonts w:hint="eastAsia" w:asciiTheme="minorEastAsia" w:hAnsiTheme="minorEastAsia" w:eastAsiaTheme="minorEastAsia" w:cstheme="minorEastAsia"/>
          <w:color w:val="auto"/>
          <w:sz w:val="21"/>
          <w:szCs w:val="21"/>
        </w:rPr>
        <w:t>万元）</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lang w:val="en-US" w:eastAsia="zh-CN"/>
        </w:rPr>
        <w:t>5、最高限价：</w:t>
      </w:r>
      <w:r>
        <w:rPr>
          <w:rFonts w:hint="eastAsia" w:asciiTheme="minorEastAsia" w:hAnsiTheme="minorEastAsia" w:eastAsiaTheme="minorEastAsia" w:cstheme="minorEastAsia"/>
          <w:color w:val="auto"/>
          <w:kern w:val="2"/>
          <w:sz w:val="21"/>
          <w:szCs w:val="21"/>
        </w:rPr>
        <w:t>不得高于9</w:t>
      </w:r>
      <w:r>
        <w:rPr>
          <w:rFonts w:hint="eastAsia" w:asciiTheme="minorEastAsia" w:hAnsiTheme="minorEastAsia" w:eastAsiaTheme="minorEastAsia" w:cstheme="minorEastAsia"/>
          <w:color w:val="auto"/>
          <w:kern w:val="2"/>
          <w:sz w:val="21"/>
          <w:szCs w:val="21"/>
          <w:lang w:val="en-US" w:eastAsia="zh-CN"/>
        </w:rPr>
        <w:t>0</w:t>
      </w:r>
      <w:r>
        <w:rPr>
          <w:rFonts w:hint="eastAsia" w:asciiTheme="minorEastAsia" w:hAnsiTheme="minorEastAsia" w:eastAsiaTheme="minorEastAsia" w:cstheme="minorEastAsia"/>
          <w:color w:val="auto"/>
          <w:kern w:val="2"/>
          <w:sz w:val="21"/>
          <w:szCs w:val="21"/>
        </w:rPr>
        <w:t>元/人/套。预计总金额为28.</w:t>
      </w:r>
      <w:r>
        <w:rPr>
          <w:rFonts w:hint="eastAsia" w:asciiTheme="minorEastAsia" w:hAnsiTheme="minorEastAsia" w:eastAsiaTheme="minorEastAsia" w:cstheme="minorEastAsia"/>
          <w:color w:val="auto"/>
          <w:kern w:val="2"/>
          <w:sz w:val="21"/>
          <w:szCs w:val="21"/>
          <w:lang w:val="en-US" w:eastAsia="zh-CN"/>
        </w:rPr>
        <w:t>8</w:t>
      </w:r>
      <w:r>
        <w:rPr>
          <w:rFonts w:hint="eastAsia" w:asciiTheme="minorEastAsia" w:hAnsiTheme="minorEastAsia" w:eastAsiaTheme="minorEastAsia" w:cstheme="minorEastAsia"/>
          <w:color w:val="auto"/>
          <w:kern w:val="2"/>
          <w:sz w:val="21"/>
          <w:szCs w:val="21"/>
        </w:rPr>
        <w:t>万元，以实际</w:t>
      </w:r>
      <w:r>
        <w:rPr>
          <w:rFonts w:hint="eastAsia" w:asciiTheme="minorEastAsia" w:hAnsiTheme="minorEastAsia" w:eastAsiaTheme="minorEastAsia" w:cstheme="minorEastAsia"/>
          <w:color w:val="auto"/>
          <w:kern w:val="2"/>
          <w:sz w:val="21"/>
          <w:szCs w:val="21"/>
          <w:lang w:eastAsia="zh-CN"/>
        </w:rPr>
        <w:t>成交</w:t>
      </w:r>
      <w:r>
        <w:rPr>
          <w:rFonts w:hint="eastAsia" w:asciiTheme="minorEastAsia" w:hAnsiTheme="minorEastAsia" w:eastAsiaTheme="minorEastAsia" w:cstheme="minorEastAsia"/>
          <w:color w:val="auto"/>
          <w:kern w:val="2"/>
          <w:sz w:val="21"/>
          <w:szCs w:val="21"/>
        </w:rPr>
        <w:t>价和实际使用数量据实结算。</w:t>
      </w:r>
    </w:p>
    <w:p>
      <w:pPr>
        <w:spacing w:line="360" w:lineRule="auto"/>
        <w:jc w:val="left"/>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采购</w:t>
      </w:r>
      <w:r>
        <w:rPr>
          <w:rFonts w:hint="eastAsia" w:asciiTheme="minorEastAsia" w:hAnsiTheme="minorEastAsia" w:eastAsiaTheme="minorEastAsia" w:cstheme="minorEastAsia"/>
          <w:color w:val="auto"/>
          <w:sz w:val="21"/>
          <w:szCs w:val="21"/>
        </w:rPr>
        <w:t>需求：本次</w:t>
      </w:r>
      <w:r>
        <w:rPr>
          <w:rFonts w:hint="eastAsia" w:asciiTheme="minorEastAsia" w:hAnsiTheme="minorEastAsia" w:eastAsiaTheme="minorEastAsia" w:cstheme="minorEastAsia"/>
          <w:color w:val="auto"/>
          <w:sz w:val="21"/>
          <w:szCs w:val="21"/>
          <w:lang w:val="en-US" w:eastAsia="zh-CN"/>
        </w:rPr>
        <w:t>竞争性磋商采购</w:t>
      </w:r>
      <w:r>
        <w:rPr>
          <w:rFonts w:hint="eastAsia" w:asciiTheme="minorEastAsia" w:hAnsiTheme="minorEastAsia" w:eastAsiaTheme="minorEastAsia" w:cstheme="minorEastAsia"/>
          <w:color w:val="auto"/>
          <w:sz w:val="21"/>
          <w:szCs w:val="21"/>
        </w:rPr>
        <w:t>共</w:t>
      </w:r>
      <w:r>
        <w:rPr>
          <w:rFonts w:hint="eastAsia" w:asciiTheme="minorEastAsia" w:hAnsiTheme="minorEastAsia" w:eastAsiaTheme="minorEastAsia" w:cstheme="minorEastAsia"/>
          <w:color w:val="auto"/>
          <w:sz w:val="21"/>
          <w:szCs w:val="21"/>
          <w:u w:val="single"/>
        </w:rPr>
        <w:t>1</w:t>
      </w:r>
      <w:r>
        <w:rPr>
          <w:rFonts w:hint="eastAsia" w:asciiTheme="minorEastAsia" w:hAnsiTheme="minorEastAsia" w:eastAsiaTheme="minorEastAsia" w:cstheme="minorEastAsia"/>
          <w:color w:val="auto"/>
          <w:sz w:val="21"/>
          <w:szCs w:val="21"/>
        </w:rPr>
        <w:t>个项目包，具体需求如下，详细技术规格、参数及商务要求见本项目</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文件第三章内容。</w:t>
      </w:r>
    </w:p>
    <w:p>
      <w:pPr>
        <w:numPr>
          <w:ilvl w:val="0"/>
          <w:numId w:val="7"/>
        </w:numPr>
        <w:spacing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类别：</w:t>
      </w:r>
      <w:r>
        <w:rPr>
          <w:rFonts w:hint="eastAsia" w:asciiTheme="minorEastAsia" w:hAnsiTheme="minorEastAsia" w:eastAsiaTheme="minorEastAsia" w:cstheme="minorEastAsia"/>
          <w:b w:val="0"/>
          <w:bCs w:val="0"/>
          <w:color w:val="auto"/>
          <w:kern w:val="2"/>
          <w:sz w:val="21"/>
          <w:szCs w:val="21"/>
          <w:lang w:val="en-US" w:eastAsia="zh-CN" w:bidi="ar-SA"/>
        </w:rPr>
        <w:t>货物</w:t>
      </w:r>
    </w:p>
    <w:p>
      <w:pPr>
        <w:numPr>
          <w:ilvl w:val="0"/>
          <w:numId w:val="7"/>
        </w:numPr>
        <w:spacing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简要技术要求/项目性质：</w:t>
      </w:r>
      <w:r>
        <w:rPr>
          <w:rFonts w:hint="eastAsia" w:asciiTheme="minorEastAsia" w:hAnsiTheme="minorEastAsia" w:eastAsiaTheme="minorEastAsia" w:cstheme="minorEastAsia"/>
          <w:color w:val="auto"/>
          <w:szCs w:val="21"/>
        </w:rPr>
        <w:t>新生军训服装及配套用品3</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00套</w:t>
      </w:r>
      <w:r>
        <w:rPr>
          <w:rFonts w:hint="eastAsia" w:asciiTheme="minorEastAsia" w:hAnsiTheme="minorEastAsia" w:eastAsiaTheme="minorEastAsia" w:cstheme="minorEastAsia"/>
          <w:color w:val="auto"/>
          <w:sz w:val="21"/>
          <w:szCs w:val="21"/>
        </w:rPr>
        <w:t>；(详见采购文件第三章“项目采购需求”）</w:t>
      </w:r>
    </w:p>
    <w:p>
      <w:pPr>
        <w:numPr>
          <w:ilvl w:val="0"/>
          <w:numId w:val="7"/>
        </w:numPr>
        <w:spacing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2"/>
          <w:sz w:val="21"/>
          <w:szCs w:val="21"/>
          <w:lang w:val="en-US" w:eastAsia="zh-CN" w:bidi="ar-SA"/>
        </w:rPr>
        <w:t>交货期：所有军训服装必须在2020年9月30日前全部到位（具体时间根据学校安排），新生报名日由成交供应商自行组织15人以上负责发放。如本次军训因疫情延缓，则服装供应顺延至下一年度军训前交货。</w:t>
      </w:r>
    </w:p>
    <w:p>
      <w:pPr>
        <w:numPr>
          <w:ilvl w:val="0"/>
          <w:numId w:val="7"/>
        </w:numPr>
        <w:spacing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2"/>
          <w:sz w:val="21"/>
          <w:szCs w:val="21"/>
          <w:lang w:val="en-US" w:eastAsia="zh-CN" w:bidi="ar-SA"/>
        </w:rPr>
        <w:t>质保期/保修期：</w:t>
      </w:r>
      <w:r>
        <w:rPr>
          <w:rFonts w:hint="eastAsia" w:asciiTheme="minorEastAsia" w:hAnsiTheme="minorEastAsia" w:eastAsiaTheme="minorEastAsia" w:cstheme="minorEastAsia"/>
          <w:color w:val="auto"/>
          <w:kern w:val="2"/>
          <w:sz w:val="21"/>
        </w:rPr>
        <w:t>壹年。军训期间，所购军训服装如在使用过程中出现质量、款式、尺码等问题，成交供应商需按照学校要求提供三次集中调换。</w:t>
      </w:r>
    </w:p>
    <w:p>
      <w:pPr>
        <w:numPr>
          <w:ilvl w:val="0"/>
          <w:numId w:val="7"/>
        </w:numPr>
        <w:spacing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质量标准：达到国家或行业颁布的其他现行各项技术标准和验收规范规定</w:t>
      </w:r>
    </w:p>
    <w:p>
      <w:pPr>
        <w:numPr>
          <w:ilvl w:val="0"/>
          <w:numId w:val="7"/>
        </w:numPr>
        <w:spacing w:line="360" w:lineRule="auto"/>
        <w:ind w:left="420" w:left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其他</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2"/>
          <w:sz w:val="21"/>
          <w:szCs w:val="21"/>
        </w:rPr>
        <w:t>供应商最终投标报价超过该综合单价的，其该投标为无效报价</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报价须包含该采购</w:t>
      </w:r>
      <w:r>
        <w:rPr>
          <w:rFonts w:hint="eastAsia" w:asciiTheme="minorEastAsia" w:hAnsiTheme="minorEastAsia" w:eastAsiaTheme="minorEastAsia" w:cstheme="minorEastAsia"/>
          <w:color w:val="auto"/>
          <w:sz w:val="21"/>
          <w:szCs w:val="21"/>
          <w:lang w:eastAsia="zh-CN"/>
        </w:rPr>
        <w:t>需求</w:t>
      </w:r>
      <w:r>
        <w:rPr>
          <w:rFonts w:hint="eastAsia" w:asciiTheme="minorEastAsia" w:hAnsiTheme="minorEastAsia" w:eastAsiaTheme="minorEastAsia" w:cstheme="minorEastAsia"/>
          <w:color w:val="auto"/>
          <w:sz w:val="21"/>
          <w:szCs w:val="21"/>
        </w:rPr>
        <w:t>的全部内容。</w:t>
      </w:r>
    </w:p>
    <w:p>
      <w:pPr>
        <w:numPr>
          <w:ilvl w:val="0"/>
          <w:numId w:val="0"/>
        </w:numPr>
        <w:spacing w:line="360" w:lineRule="auto"/>
        <w:jc w:val="left"/>
        <w:rPr>
          <w:rFonts w:hint="eastAsia" w:asciiTheme="minorEastAsia" w:hAnsiTheme="minorEastAsia" w:eastAsiaTheme="minorEastAsia" w:cstheme="minorEastAsia"/>
          <w:strike/>
          <w:dstrike w:val="0"/>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、合同履行期限</w:t>
      </w:r>
      <w:r>
        <w:rPr>
          <w:rFonts w:hint="eastAsia" w:asciiTheme="minorEastAsia" w:hAnsiTheme="minorEastAsia" w:eastAsiaTheme="minorEastAsia" w:cstheme="minorEastAsia"/>
          <w:color w:val="auto"/>
          <w:sz w:val="21"/>
          <w:szCs w:val="21"/>
          <w:lang w:eastAsia="zh-CN"/>
        </w:rPr>
        <w:t>：所有军训服装必须在2020年9月</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lang w:eastAsia="zh-CN"/>
        </w:rPr>
        <w:t>日前全部到位（具体时间根据学校安排），新生报名日由成交供应商自行组织15人以上负责发放。如本次军训因疫情延缓，则服装供应顺延至下一年度军训前交货。</w:t>
      </w:r>
      <w:r>
        <w:rPr>
          <w:rFonts w:hint="eastAsia" w:asciiTheme="minorEastAsia" w:hAnsiTheme="minorEastAsia" w:eastAsiaTheme="minorEastAsia" w:cstheme="minorEastAsia"/>
          <w:color w:val="auto"/>
          <w:sz w:val="21"/>
          <w:szCs w:val="21"/>
          <w:u w:val="single"/>
          <w:lang w:eastAsia="zh-CN"/>
        </w:rPr>
        <w:t xml:space="preserve">  </w:t>
      </w:r>
      <w:r>
        <w:rPr>
          <w:rFonts w:hint="eastAsia" w:asciiTheme="minorEastAsia" w:hAnsiTheme="minorEastAsia" w:eastAsiaTheme="minorEastAsia" w:cstheme="minorEastAsia"/>
          <w:color w:val="auto"/>
          <w:sz w:val="21"/>
          <w:szCs w:val="21"/>
          <w:u w:val="single"/>
          <w:lang w:val="en-US" w:eastAsia="zh-CN"/>
        </w:rPr>
        <w:t xml:space="preserve">                 </w:t>
      </w:r>
    </w:p>
    <w:p>
      <w:pPr>
        <w:numPr>
          <w:ilvl w:val="0"/>
          <w:numId w:val="0"/>
        </w:numPr>
        <w:spacing w:line="36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8、本项目</w:t>
      </w:r>
      <w:r>
        <w:rPr>
          <w:rFonts w:hint="eastAsia" w:asciiTheme="minorEastAsia" w:hAnsiTheme="minorEastAsia" w:eastAsiaTheme="minorEastAsia" w:cstheme="minorEastAsia"/>
          <w:color w:val="auto"/>
          <w:sz w:val="21"/>
          <w:szCs w:val="21"/>
          <w:u w:val="single"/>
          <w:lang w:val="en-US" w:eastAsia="zh-CN"/>
        </w:rPr>
        <w:t>不接受</w:t>
      </w:r>
      <w:r>
        <w:rPr>
          <w:rFonts w:hint="eastAsia" w:asciiTheme="minorEastAsia" w:hAnsiTheme="minorEastAsia" w:eastAsiaTheme="minorEastAsia" w:cstheme="minorEastAsia"/>
          <w:color w:val="auto"/>
          <w:sz w:val="21"/>
          <w:szCs w:val="21"/>
          <w:lang w:val="en-US" w:eastAsia="zh-CN"/>
        </w:rPr>
        <w:t>联合体竞标；</w:t>
      </w:r>
    </w:p>
    <w:p>
      <w:pPr>
        <w:pStyle w:val="4"/>
        <w:numPr>
          <w:ilvl w:val="0"/>
          <w:numId w:val="6"/>
        </w:numPr>
        <w:spacing w:line="360" w:lineRule="auto"/>
        <w:jc w:val="left"/>
        <w:rPr>
          <w:rFonts w:hint="eastAsia" w:asciiTheme="minorEastAsia" w:hAnsiTheme="minorEastAsia" w:eastAsiaTheme="minorEastAsia" w:cstheme="minorEastAsia"/>
          <w:color w:val="auto"/>
          <w:sz w:val="21"/>
          <w:szCs w:val="21"/>
        </w:rPr>
      </w:pPr>
      <w:bookmarkStart w:id="9" w:name="_Toc20667"/>
      <w:r>
        <w:rPr>
          <w:rFonts w:hint="eastAsia" w:asciiTheme="minorEastAsia" w:hAnsiTheme="minorEastAsia" w:eastAsiaTheme="minorEastAsia" w:cstheme="minorEastAsia"/>
          <w:color w:val="auto"/>
          <w:sz w:val="21"/>
          <w:szCs w:val="21"/>
        </w:rPr>
        <w:t>申请人的资格要求</w:t>
      </w:r>
      <w:bookmarkEnd w:id="9"/>
    </w:p>
    <w:p>
      <w:pPr>
        <w:numPr>
          <w:ilvl w:val="0"/>
          <w:numId w:val="8"/>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满足《中华人民共和国政府采购法》第二十二条规定；</w:t>
      </w:r>
    </w:p>
    <w:p>
      <w:pPr>
        <w:spacing w:line="360" w:lineRule="auto"/>
        <w:ind w:left="446"/>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1.1具有独立承担民事责任的能力；</w:t>
      </w:r>
    </w:p>
    <w:p>
      <w:pPr>
        <w:spacing w:line="360" w:lineRule="auto"/>
        <w:ind w:left="420" w:firstLine="315" w:firstLineChars="1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1.2具有良好的商业信誉和健全的财务会计制度；</w:t>
      </w:r>
    </w:p>
    <w:p>
      <w:pPr>
        <w:spacing w:line="360" w:lineRule="auto"/>
        <w:ind w:left="420" w:firstLine="315" w:firstLineChars="1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1.3具有履行合同所必需的设备和专业技术能力；</w:t>
      </w:r>
    </w:p>
    <w:p>
      <w:pPr>
        <w:spacing w:line="360" w:lineRule="auto"/>
        <w:ind w:left="420" w:firstLine="315" w:firstLineChars="1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1.4有依法缴纳税收和社会保障资金的良好记录；</w:t>
      </w:r>
    </w:p>
    <w:p>
      <w:pPr>
        <w:spacing w:line="360" w:lineRule="auto"/>
        <w:ind w:left="420" w:firstLine="315" w:firstLineChars="15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1.5参加政府采购活动前三年内，在经营活动中没有重大违法记录</w:t>
      </w:r>
      <w:r>
        <w:rPr>
          <w:rFonts w:hint="eastAsia" w:asciiTheme="minorEastAsia" w:hAnsiTheme="minorEastAsia" w:eastAsiaTheme="minorEastAsia" w:cstheme="minorEastAsia"/>
          <w:color w:val="auto"/>
          <w:sz w:val="21"/>
          <w:szCs w:val="21"/>
          <w:lang w:eastAsia="zh-CN"/>
        </w:rPr>
        <w:t>；（重大违法记录是指供应商因违法经营受到刑事处罚或者责令停产停业、吊销许可证或者执照、较大数额罚款等行政处罚）</w:t>
      </w:r>
    </w:p>
    <w:p>
      <w:pPr>
        <w:spacing w:line="360" w:lineRule="auto"/>
        <w:ind w:left="420" w:firstLine="315" w:firstLineChars="15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1.6法律、行政法规规定的其他条件；</w:t>
      </w:r>
    </w:p>
    <w:p>
      <w:pPr>
        <w:numPr>
          <w:ilvl w:val="0"/>
          <w:numId w:val="8"/>
        </w:numPr>
        <w:spacing w:line="360" w:lineRule="auto"/>
        <w:ind w:firstLine="420" w:firstLineChars="200"/>
        <w:jc w:val="left"/>
        <w:rPr>
          <w:rFonts w:hint="eastAsia" w:asciiTheme="minorEastAsia" w:hAnsiTheme="minorEastAsia" w:eastAsiaTheme="minorEastAsia" w:cstheme="minorEastAsia"/>
          <w:strike w:val="0"/>
          <w:dstrike w:val="0"/>
          <w:color w:val="auto"/>
          <w:sz w:val="21"/>
          <w:szCs w:val="21"/>
        </w:rPr>
      </w:pPr>
      <w:r>
        <w:rPr>
          <w:rFonts w:hint="eastAsia" w:asciiTheme="minorEastAsia" w:hAnsiTheme="minorEastAsia" w:eastAsiaTheme="minorEastAsia" w:cstheme="minorEastAsia"/>
          <w:color w:val="auto"/>
          <w:sz w:val="21"/>
          <w:szCs w:val="21"/>
        </w:rPr>
        <w:t>落实政府采购政策需满足的资格要求：</w:t>
      </w:r>
      <w:r>
        <w:rPr>
          <w:rFonts w:hint="eastAsia" w:asciiTheme="minorEastAsia" w:hAnsiTheme="minorEastAsia" w:eastAsiaTheme="minorEastAsia" w:cstheme="minorEastAsia"/>
          <w:strike w:val="0"/>
          <w:dstrike w:val="0"/>
          <w:color w:val="auto"/>
          <w:sz w:val="21"/>
          <w:szCs w:val="21"/>
        </w:rPr>
        <w:t>本项目需落实政府采购强制、优先采购节能产品政策；政府采购优先采购环保产品政策；政府采购促进中小企业发展（监狱企业、残疾人福利性单位视同小微企业）等政策详见</w:t>
      </w:r>
      <w:r>
        <w:rPr>
          <w:rFonts w:hint="eastAsia" w:asciiTheme="minorEastAsia" w:hAnsiTheme="minorEastAsia" w:eastAsiaTheme="minorEastAsia" w:cstheme="minorEastAsia"/>
          <w:strike w:val="0"/>
          <w:dstrike w:val="0"/>
          <w:color w:val="auto"/>
          <w:sz w:val="21"/>
          <w:szCs w:val="21"/>
          <w:lang w:val="en-US" w:eastAsia="zh-CN"/>
        </w:rPr>
        <w:t>采购</w:t>
      </w:r>
      <w:r>
        <w:rPr>
          <w:rFonts w:hint="eastAsia" w:asciiTheme="minorEastAsia" w:hAnsiTheme="minorEastAsia" w:eastAsiaTheme="minorEastAsia" w:cstheme="minorEastAsia"/>
          <w:strike w:val="0"/>
          <w:dstrike w:val="0"/>
          <w:color w:val="auto"/>
          <w:sz w:val="21"/>
          <w:szCs w:val="21"/>
        </w:rPr>
        <w:t>文件；</w:t>
      </w:r>
    </w:p>
    <w:p>
      <w:pPr>
        <w:numPr>
          <w:ilvl w:val="0"/>
          <w:numId w:val="8"/>
        </w:numPr>
        <w:spacing w:line="360" w:lineRule="auto"/>
        <w:ind w:firstLine="422" w:firstLineChars="2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本项目的特定资格要求：</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3.1供应商未被列入“信用中国”网站(www.creditchina.gov.cn)失信被执行人、重大税收违法案件当事人、政府采购严重违法失信行为记录名单和“中国政府采购”网站（www.ccgp.gov.cn）政府采购严重违法失信行为记录名单（评审时以采购代理机构现场查询结果为准）；</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    3.2供</w:t>
      </w:r>
      <w:r>
        <w:rPr>
          <w:rFonts w:hint="eastAsia" w:asciiTheme="minorEastAsia" w:hAnsiTheme="minorEastAsia" w:eastAsiaTheme="minorEastAsia" w:cstheme="minorEastAsia"/>
          <w:color w:val="auto"/>
          <w:sz w:val="21"/>
          <w:szCs w:val="21"/>
          <w:lang w:eastAsia="zh-CN"/>
        </w:rPr>
        <w:t>应商营业执照的</w:t>
      </w:r>
      <w:r>
        <w:rPr>
          <w:rFonts w:hint="eastAsia" w:asciiTheme="minorEastAsia" w:hAnsiTheme="minorEastAsia" w:eastAsiaTheme="minorEastAsia" w:cstheme="minorEastAsia"/>
          <w:color w:val="auto"/>
          <w:sz w:val="21"/>
          <w:szCs w:val="21"/>
        </w:rPr>
        <w:t>经营范围需满足采购需求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u w:val="single"/>
          <w:lang w:val="en-US" w:eastAsia="zh-CN"/>
        </w:rPr>
        <w:t xml:space="preserve">                       </w:t>
      </w:r>
    </w:p>
    <w:p>
      <w:pPr>
        <w:numPr>
          <w:ilvl w:val="0"/>
          <w:numId w:val="8"/>
        </w:num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如国家法律法规对市场准入有要求的还应符合相关规定；</w:t>
      </w:r>
    </w:p>
    <w:p>
      <w:pPr>
        <w:pStyle w:val="4"/>
        <w:numPr>
          <w:ilvl w:val="0"/>
          <w:numId w:val="6"/>
        </w:numPr>
        <w:spacing w:line="360" w:lineRule="auto"/>
        <w:jc w:val="left"/>
        <w:rPr>
          <w:rFonts w:hint="eastAsia" w:asciiTheme="minorEastAsia" w:hAnsiTheme="minorEastAsia" w:eastAsiaTheme="minorEastAsia" w:cstheme="minorEastAsia"/>
          <w:color w:val="auto"/>
          <w:sz w:val="21"/>
          <w:szCs w:val="21"/>
        </w:rPr>
      </w:pPr>
      <w:bookmarkStart w:id="10" w:name="_Toc30193"/>
      <w:bookmarkStart w:id="11" w:name="_Toc334539185"/>
      <w:r>
        <w:rPr>
          <w:rFonts w:hint="eastAsia" w:asciiTheme="minorEastAsia" w:hAnsiTheme="minorEastAsia" w:eastAsiaTheme="minorEastAsia" w:cstheme="minorEastAsia"/>
          <w:color w:val="auto"/>
          <w:sz w:val="21"/>
          <w:szCs w:val="21"/>
        </w:rPr>
        <w:t>获取</w:t>
      </w:r>
      <w:r>
        <w:rPr>
          <w:rFonts w:hint="eastAsia" w:asciiTheme="minorEastAsia" w:hAnsiTheme="minorEastAsia" w:eastAsiaTheme="minorEastAsia" w:cstheme="minorEastAsia"/>
          <w:color w:val="auto"/>
          <w:sz w:val="21"/>
          <w:szCs w:val="21"/>
          <w:lang w:eastAsia="zh-CN"/>
        </w:rPr>
        <w:t>采购</w:t>
      </w:r>
      <w:r>
        <w:rPr>
          <w:rFonts w:hint="eastAsia" w:asciiTheme="minorEastAsia" w:hAnsiTheme="minorEastAsia" w:eastAsiaTheme="minorEastAsia" w:cstheme="minorEastAsia"/>
          <w:color w:val="auto"/>
          <w:sz w:val="21"/>
          <w:szCs w:val="21"/>
        </w:rPr>
        <w:t>文件</w:t>
      </w:r>
      <w:bookmarkEnd w:id="10"/>
    </w:p>
    <w:p>
      <w:p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时间：</w:t>
      </w:r>
      <w:r>
        <w:rPr>
          <w:rFonts w:hint="eastAsia" w:asciiTheme="minorEastAsia" w:hAnsiTheme="minorEastAsia" w:eastAsiaTheme="minorEastAsia" w:cstheme="minorEastAsia"/>
          <w:color w:val="auto"/>
          <w:sz w:val="21"/>
          <w:szCs w:val="21"/>
          <w:u w:val="single"/>
          <w:lang w:val="en-US" w:eastAsia="zh-CN"/>
        </w:rPr>
        <w:t>2020</w:t>
      </w:r>
      <w:r>
        <w:rPr>
          <w:rFonts w:hint="eastAsia" w:asciiTheme="minorEastAsia" w:hAnsiTheme="minorEastAsia" w:eastAsiaTheme="minorEastAsia" w:cstheme="minorEastAsia"/>
          <w:color w:val="auto"/>
          <w:sz w:val="21"/>
          <w:szCs w:val="21"/>
          <w:u w:val="single"/>
        </w:rPr>
        <w:t>年</w:t>
      </w:r>
      <w:r>
        <w:rPr>
          <w:rFonts w:hint="eastAsia" w:asciiTheme="minorEastAsia" w:hAnsiTheme="minorEastAsia" w:eastAsiaTheme="minorEastAsia" w:cstheme="minorEastAsia"/>
          <w:color w:val="auto"/>
          <w:sz w:val="21"/>
          <w:szCs w:val="21"/>
          <w:u w:val="single"/>
          <w:lang w:val="en-US" w:eastAsia="zh-CN"/>
        </w:rPr>
        <w:t>8</w:t>
      </w:r>
      <w:r>
        <w:rPr>
          <w:rFonts w:hint="eastAsia" w:asciiTheme="minorEastAsia" w:hAnsiTheme="minorEastAsia" w:eastAsiaTheme="minorEastAsia" w:cstheme="minorEastAsia"/>
          <w:color w:val="auto"/>
          <w:sz w:val="21"/>
          <w:szCs w:val="21"/>
          <w:u w:val="single"/>
        </w:rPr>
        <w:t>月</w:t>
      </w:r>
      <w:r>
        <w:rPr>
          <w:rFonts w:hint="eastAsia" w:asciiTheme="minorEastAsia" w:hAnsiTheme="minorEastAsia" w:eastAsiaTheme="minorEastAsia" w:cstheme="minorEastAsia"/>
          <w:color w:val="auto"/>
          <w:sz w:val="21"/>
          <w:szCs w:val="21"/>
          <w:u w:val="single"/>
          <w:lang w:val="en-US" w:eastAsia="zh-CN"/>
        </w:rPr>
        <w:t>24</w:t>
      </w:r>
      <w:r>
        <w:rPr>
          <w:rFonts w:hint="eastAsia" w:asciiTheme="minorEastAsia" w:hAnsiTheme="minorEastAsia" w:eastAsiaTheme="minorEastAsia" w:cstheme="minorEastAsia"/>
          <w:color w:val="auto"/>
          <w:sz w:val="21"/>
          <w:szCs w:val="21"/>
          <w:u w:val="single"/>
        </w:rPr>
        <w:t>日至</w:t>
      </w:r>
      <w:r>
        <w:rPr>
          <w:rFonts w:hint="eastAsia" w:asciiTheme="minorEastAsia" w:hAnsiTheme="minorEastAsia" w:eastAsiaTheme="minorEastAsia" w:cstheme="minorEastAsia"/>
          <w:color w:val="auto"/>
          <w:sz w:val="21"/>
          <w:szCs w:val="21"/>
          <w:u w:val="single"/>
          <w:lang w:val="en-US" w:eastAsia="zh-CN"/>
        </w:rPr>
        <w:t>2020</w:t>
      </w:r>
      <w:r>
        <w:rPr>
          <w:rFonts w:hint="eastAsia" w:asciiTheme="minorEastAsia" w:hAnsiTheme="minorEastAsia" w:eastAsiaTheme="minorEastAsia" w:cstheme="minorEastAsia"/>
          <w:color w:val="auto"/>
          <w:sz w:val="21"/>
          <w:szCs w:val="21"/>
          <w:u w:val="single"/>
        </w:rPr>
        <w:t>年</w:t>
      </w:r>
      <w:r>
        <w:rPr>
          <w:rFonts w:hint="eastAsia" w:asciiTheme="minorEastAsia" w:hAnsiTheme="minorEastAsia" w:eastAsiaTheme="minorEastAsia" w:cstheme="minorEastAsia"/>
          <w:color w:val="auto"/>
          <w:sz w:val="21"/>
          <w:szCs w:val="21"/>
          <w:u w:val="single"/>
          <w:lang w:val="en-US" w:eastAsia="zh-CN"/>
        </w:rPr>
        <w:t>8</w:t>
      </w:r>
      <w:r>
        <w:rPr>
          <w:rFonts w:hint="eastAsia" w:asciiTheme="minorEastAsia" w:hAnsiTheme="minorEastAsia" w:eastAsiaTheme="minorEastAsia" w:cstheme="minorEastAsia"/>
          <w:color w:val="auto"/>
          <w:sz w:val="21"/>
          <w:szCs w:val="21"/>
          <w:u w:val="single"/>
        </w:rPr>
        <w:t>月</w:t>
      </w:r>
      <w:r>
        <w:rPr>
          <w:rFonts w:hint="eastAsia" w:asciiTheme="minorEastAsia" w:hAnsiTheme="minorEastAsia" w:eastAsiaTheme="minorEastAsia" w:cstheme="minorEastAsia"/>
          <w:color w:val="auto"/>
          <w:sz w:val="21"/>
          <w:szCs w:val="21"/>
          <w:u w:val="single"/>
          <w:lang w:val="en-US" w:eastAsia="zh-CN"/>
        </w:rPr>
        <w:t>28</w:t>
      </w:r>
      <w:r>
        <w:rPr>
          <w:rFonts w:hint="eastAsia" w:asciiTheme="minorEastAsia" w:hAnsiTheme="minorEastAsia" w:eastAsiaTheme="minorEastAsia" w:cstheme="minorEastAsia"/>
          <w:color w:val="auto"/>
          <w:sz w:val="21"/>
          <w:szCs w:val="21"/>
          <w:u w:val="single"/>
        </w:rPr>
        <w:t>日</w:t>
      </w:r>
      <w:r>
        <w:rPr>
          <w:rFonts w:hint="eastAsia" w:asciiTheme="minorEastAsia" w:hAnsiTheme="minorEastAsia" w:eastAsiaTheme="minorEastAsia" w:cstheme="minorEastAsia"/>
          <w:color w:val="auto"/>
          <w:sz w:val="21"/>
          <w:szCs w:val="21"/>
        </w:rPr>
        <w:t>（提供期限自本公告发布</w:t>
      </w:r>
      <w:r>
        <w:rPr>
          <w:rFonts w:hint="eastAsia" w:asciiTheme="minorEastAsia" w:hAnsiTheme="minorEastAsia" w:eastAsiaTheme="minorEastAsia" w:cstheme="minorEastAsia"/>
          <w:color w:val="auto"/>
          <w:sz w:val="21"/>
          <w:szCs w:val="21"/>
          <w:lang w:eastAsia="zh-CN"/>
        </w:rPr>
        <w:t>之</w:t>
      </w:r>
      <w:r>
        <w:rPr>
          <w:rFonts w:hint="eastAsia" w:asciiTheme="minorEastAsia" w:hAnsiTheme="minorEastAsia" w:eastAsiaTheme="minorEastAsia" w:cstheme="minorEastAsia"/>
          <w:color w:val="auto"/>
          <w:sz w:val="21"/>
          <w:szCs w:val="21"/>
        </w:rPr>
        <w:t>日起</w:t>
      </w:r>
      <w:r>
        <w:rPr>
          <w:rFonts w:hint="eastAsia" w:asciiTheme="minorEastAsia" w:hAnsiTheme="minorEastAsia" w:eastAsiaTheme="minorEastAsia" w:cstheme="minorEastAsia"/>
          <w:color w:val="auto"/>
          <w:sz w:val="21"/>
          <w:szCs w:val="21"/>
          <w:lang w:eastAsia="zh-CN"/>
        </w:rPr>
        <w:t>至少</w:t>
      </w:r>
      <w:r>
        <w:rPr>
          <w:rFonts w:hint="eastAsia" w:asciiTheme="minorEastAsia" w:hAnsiTheme="minorEastAsia" w:eastAsiaTheme="minorEastAsia" w:cstheme="minorEastAsia"/>
          <w:color w:val="auto"/>
          <w:sz w:val="21"/>
          <w:szCs w:val="21"/>
        </w:rPr>
        <w:t>5个工作日），每天上午</w:t>
      </w:r>
      <w:r>
        <w:rPr>
          <w:rFonts w:hint="eastAsia" w:asciiTheme="minorEastAsia" w:hAnsiTheme="minorEastAsia" w:eastAsiaTheme="minorEastAsia" w:cstheme="minorEastAsia"/>
          <w:color w:val="auto"/>
          <w:sz w:val="21"/>
          <w:szCs w:val="21"/>
          <w:lang w:val="en-US" w:eastAsia="zh-CN"/>
        </w:rPr>
        <w:t>09:00</w:t>
      </w:r>
      <w:r>
        <w:rPr>
          <w:rFonts w:hint="eastAsia" w:asciiTheme="minorEastAsia" w:hAnsiTheme="minorEastAsia" w:eastAsiaTheme="minorEastAsia" w:cstheme="minorEastAsia"/>
          <w:color w:val="auto"/>
          <w:sz w:val="21"/>
          <w:szCs w:val="21"/>
        </w:rPr>
        <w:t>至</w:t>
      </w:r>
      <w:r>
        <w:rPr>
          <w:rFonts w:hint="eastAsia" w:asciiTheme="minorEastAsia" w:hAnsiTheme="minorEastAsia" w:eastAsiaTheme="minorEastAsia" w:cstheme="minorEastAsia"/>
          <w:color w:val="auto"/>
          <w:sz w:val="21"/>
          <w:szCs w:val="21"/>
          <w:lang w:val="en-US" w:eastAsia="zh-CN"/>
        </w:rPr>
        <w:t>12:00</w:t>
      </w:r>
      <w:r>
        <w:rPr>
          <w:rFonts w:hint="eastAsia" w:asciiTheme="minorEastAsia" w:hAnsiTheme="minorEastAsia" w:eastAsiaTheme="minorEastAsia" w:cstheme="minorEastAsia"/>
          <w:color w:val="auto"/>
          <w:sz w:val="21"/>
          <w:szCs w:val="21"/>
        </w:rPr>
        <w:t>，下午</w:t>
      </w:r>
      <w:r>
        <w:rPr>
          <w:rFonts w:hint="eastAsia" w:asciiTheme="minorEastAsia" w:hAnsiTheme="minorEastAsia" w:eastAsiaTheme="minorEastAsia" w:cstheme="minorEastAsia"/>
          <w:color w:val="auto"/>
          <w:sz w:val="21"/>
          <w:szCs w:val="21"/>
          <w:lang w:val="en-US" w:eastAsia="zh-CN"/>
        </w:rPr>
        <w:t>14:30</w:t>
      </w:r>
      <w:r>
        <w:rPr>
          <w:rFonts w:hint="eastAsia" w:asciiTheme="minorEastAsia" w:hAnsiTheme="minorEastAsia" w:eastAsiaTheme="minorEastAsia" w:cstheme="minorEastAsia"/>
          <w:color w:val="auto"/>
          <w:sz w:val="21"/>
          <w:szCs w:val="21"/>
        </w:rPr>
        <w:t>至</w:t>
      </w:r>
      <w:r>
        <w:rPr>
          <w:rFonts w:hint="eastAsia" w:asciiTheme="minorEastAsia" w:hAnsiTheme="minorEastAsia" w:eastAsiaTheme="minorEastAsia" w:cstheme="minorEastAsia"/>
          <w:color w:val="auto"/>
          <w:sz w:val="21"/>
          <w:szCs w:val="21"/>
          <w:lang w:val="en-US" w:eastAsia="zh-CN"/>
        </w:rPr>
        <w:t>17:00</w:t>
      </w:r>
      <w:r>
        <w:rPr>
          <w:rFonts w:hint="eastAsia" w:asciiTheme="minorEastAsia" w:hAnsiTheme="minorEastAsia" w:eastAsiaTheme="minorEastAsia" w:cstheme="minorEastAsia"/>
          <w:color w:val="auto"/>
          <w:sz w:val="21"/>
          <w:szCs w:val="21"/>
        </w:rPr>
        <w:t>（北京时间，法定节假日除外）</w:t>
      </w:r>
    </w:p>
    <w:p>
      <w:p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地点：武昌区中北路岳家嘴立交山河企业大厦</w:t>
      </w:r>
      <w:r>
        <w:rPr>
          <w:rFonts w:hint="eastAsia" w:asciiTheme="minorEastAsia" w:hAnsiTheme="minorEastAsia" w:eastAsiaTheme="minorEastAsia" w:cstheme="minorEastAsia"/>
          <w:color w:val="auto"/>
          <w:sz w:val="21"/>
          <w:szCs w:val="21"/>
          <w:lang w:val="en-US" w:eastAsia="zh-CN"/>
        </w:rPr>
        <w:t>48楼</w:t>
      </w:r>
      <w:r>
        <w:rPr>
          <w:rFonts w:hint="eastAsia" w:asciiTheme="minorEastAsia" w:hAnsiTheme="minorEastAsia" w:eastAsiaTheme="minorEastAsia" w:cstheme="minorEastAsia"/>
          <w:color w:val="auto"/>
          <w:sz w:val="21"/>
          <w:szCs w:val="21"/>
        </w:rPr>
        <w:t>4805室；</w:t>
      </w: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现场获取</w:t>
      </w:r>
      <w:r>
        <w:rPr>
          <w:rFonts w:hint="eastAsia" w:asciiTheme="minorEastAsia" w:hAnsiTheme="minorEastAsia" w:eastAsiaTheme="minorEastAsia" w:cstheme="minorEastAsia"/>
          <w:b w:val="0"/>
          <w:bCs w:val="0"/>
          <w:color w:val="auto"/>
          <w:sz w:val="21"/>
          <w:szCs w:val="21"/>
        </w:rPr>
        <w:t>：</w:t>
      </w:r>
      <w:bookmarkEnd w:id="11"/>
      <w:r>
        <w:rPr>
          <w:rFonts w:hint="eastAsia" w:asciiTheme="minorEastAsia" w:hAnsiTheme="minorEastAsia" w:eastAsiaTheme="minorEastAsia" w:cstheme="minorEastAsia"/>
          <w:b w:val="0"/>
          <w:bCs w:val="0"/>
          <w:color w:val="auto"/>
          <w:sz w:val="21"/>
          <w:szCs w:val="21"/>
        </w:rPr>
        <w:t>1）法定代表人领取的，凭法定代表人身份证明书（格式</w:t>
      </w:r>
      <w:r>
        <w:rPr>
          <w:rFonts w:hint="eastAsia" w:asciiTheme="minorEastAsia" w:hAnsiTheme="minorEastAsia" w:eastAsiaTheme="minorEastAsia" w:cstheme="minorEastAsia"/>
          <w:b w:val="0"/>
          <w:bCs w:val="0"/>
          <w:color w:val="auto"/>
          <w:sz w:val="21"/>
          <w:szCs w:val="21"/>
          <w:lang w:eastAsia="zh-CN"/>
        </w:rPr>
        <w:t>见附件</w:t>
      </w:r>
      <w:r>
        <w:rPr>
          <w:rFonts w:hint="eastAsia" w:asciiTheme="minorEastAsia" w:hAnsiTheme="minorEastAsia" w:eastAsiaTheme="minorEastAsia" w:cstheme="minorEastAsia"/>
          <w:b w:val="0"/>
          <w:bCs w:val="0"/>
          <w:color w:val="auto"/>
          <w:sz w:val="21"/>
          <w:szCs w:val="21"/>
        </w:rPr>
        <w:t>）及法定代表人身份证原件领取；2）法定代表人委托他人领取的，凭法定代表人授权书（格式</w:t>
      </w:r>
      <w:r>
        <w:rPr>
          <w:rFonts w:hint="eastAsia" w:asciiTheme="minorEastAsia" w:hAnsiTheme="minorEastAsia" w:eastAsiaTheme="minorEastAsia" w:cstheme="minorEastAsia"/>
          <w:b w:val="0"/>
          <w:bCs w:val="0"/>
          <w:color w:val="auto"/>
          <w:sz w:val="21"/>
          <w:szCs w:val="21"/>
          <w:lang w:eastAsia="zh-CN"/>
        </w:rPr>
        <w:t>见附件</w:t>
      </w:r>
      <w:r>
        <w:rPr>
          <w:rFonts w:hint="eastAsia" w:asciiTheme="minorEastAsia" w:hAnsiTheme="minorEastAsia" w:eastAsiaTheme="minorEastAsia" w:cstheme="minorEastAsia"/>
          <w:b w:val="0"/>
          <w:bCs w:val="0"/>
          <w:color w:val="auto"/>
          <w:sz w:val="21"/>
          <w:szCs w:val="21"/>
        </w:rPr>
        <w:t>）及受托人身份证原件领取</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3</w:t>
      </w:r>
      <w:r>
        <w:rPr>
          <w:rFonts w:hint="eastAsia" w:asciiTheme="minorEastAsia" w:hAnsiTheme="minorEastAsia" w:eastAsiaTheme="minorEastAsia" w:cstheme="minorEastAsia"/>
          <w:b w:val="0"/>
          <w:bCs w:val="0"/>
          <w:color w:val="auto"/>
          <w:sz w:val="21"/>
          <w:szCs w:val="21"/>
        </w:rPr>
        <w:t>）加盖</w:t>
      </w:r>
      <w:r>
        <w:rPr>
          <w:rFonts w:hint="eastAsia" w:asciiTheme="minorEastAsia" w:hAnsiTheme="minorEastAsia" w:eastAsiaTheme="minorEastAsia" w:cstheme="minorEastAsia"/>
          <w:b w:val="0"/>
          <w:bCs w:val="0"/>
          <w:color w:val="auto"/>
          <w:sz w:val="21"/>
          <w:szCs w:val="21"/>
          <w:lang w:val="en-US" w:eastAsia="zh-CN"/>
        </w:rPr>
        <w:t>公章</w:t>
      </w:r>
      <w:r>
        <w:rPr>
          <w:rFonts w:hint="eastAsia" w:asciiTheme="minorEastAsia" w:hAnsiTheme="minorEastAsia" w:eastAsiaTheme="minorEastAsia" w:cstheme="minorEastAsia"/>
          <w:b w:val="0"/>
          <w:bCs w:val="0"/>
          <w:color w:val="auto"/>
          <w:sz w:val="21"/>
          <w:szCs w:val="21"/>
        </w:rPr>
        <w:t>的营业执照</w:t>
      </w:r>
      <w:r>
        <w:rPr>
          <w:rFonts w:hint="eastAsia" w:asciiTheme="minorEastAsia" w:hAnsiTheme="minorEastAsia" w:eastAsiaTheme="minorEastAsia" w:cstheme="minorEastAsia"/>
          <w:b w:val="0"/>
          <w:bCs w:val="0"/>
          <w:color w:val="auto"/>
          <w:sz w:val="21"/>
          <w:szCs w:val="21"/>
          <w:lang w:val="en-US" w:eastAsia="zh-CN"/>
        </w:rPr>
        <w:t>真彩扫描件、项目报名表</w:t>
      </w:r>
      <w:r>
        <w:rPr>
          <w:rFonts w:hint="eastAsia" w:asciiTheme="minorEastAsia" w:hAnsiTheme="minorEastAsia" w:eastAsiaTheme="minorEastAsia" w:cstheme="minorEastAsia"/>
          <w:b w:val="0"/>
          <w:bCs w:val="0"/>
          <w:color w:val="auto"/>
          <w:sz w:val="21"/>
          <w:szCs w:val="21"/>
        </w:rPr>
        <w:t>（格式见附件）</w:t>
      </w:r>
      <w:r>
        <w:rPr>
          <w:rFonts w:hint="eastAsia" w:asciiTheme="minorEastAsia" w:hAnsiTheme="minorEastAsia" w:eastAsiaTheme="minorEastAsia" w:cstheme="minorEastAsia"/>
          <w:b w:val="0"/>
          <w:bCs w:val="0"/>
          <w:color w:val="auto"/>
          <w:sz w:val="21"/>
          <w:szCs w:val="21"/>
          <w:lang w:val="en-US" w:eastAsia="zh-CN"/>
        </w:rPr>
        <w:t>、供应商信用承诺书（格式见附件）、《中小企业声明函》扫描件，格式详见《政府采购促进中小企业发展暂行办法》(财库【2011】181号)（如项目非专门面向中小微企业，则不需要中小企业声明函）；</w:t>
      </w:r>
      <w:r>
        <w:rPr>
          <w:rFonts w:hint="eastAsia" w:asciiTheme="minorEastAsia" w:hAnsiTheme="minorEastAsia" w:eastAsiaTheme="minorEastAsia" w:cstheme="minorEastAsia"/>
          <w:b w:val="0"/>
          <w:bCs w:val="0"/>
          <w:color w:val="auto"/>
          <w:sz w:val="21"/>
          <w:szCs w:val="21"/>
          <w:lang w:val="en-US" w:eastAsia="zh-CN"/>
        </w:rPr>
        <w:br w:type="textWrapping"/>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lang w:val="en-US" w:eastAsia="zh-CN"/>
        </w:rPr>
        <w:t>线上获取：线上获取文件的供应商，将公告后附件内容加盖公章扫描成PDF格式发送至邮箱2102252595@qq.com（邮件主题名称必须备注所参与的项目名称及公司全称，否则不予受理），以邮箱收到的时间为准。我司会按照收到资料的顺次序逐一回复，供应商递交资料后请耐心等待工作人员邮箱回复消息后，支付文件费用并确认报名成功。报名咨询请优先选择邮箱留言方式，特殊情况再电话联系，感谢理解。</w:t>
      </w:r>
    </w:p>
    <w:p>
      <w:pPr>
        <w:spacing w:line="360" w:lineRule="auto"/>
        <w:ind w:firstLine="420" w:firstLineChars="2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售价：采购文件人民币400元/本，售后不退，不办理邮寄；</w:t>
      </w:r>
    </w:p>
    <w:p>
      <w:pPr>
        <w:pStyle w:val="4"/>
        <w:numPr>
          <w:ilvl w:val="0"/>
          <w:numId w:val="6"/>
        </w:numPr>
        <w:spacing w:line="360" w:lineRule="auto"/>
        <w:jc w:val="left"/>
        <w:rPr>
          <w:rFonts w:hint="eastAsia" w:asciiTheme="minorEastAsia" w:hAnsiTheme="minorEastAsia" w:eastAsiaTheme="minorEastAsia" w:cstheme="minorEastAsia"/>
          <w:color w:val="auto"/>
          <w:sz w:val="21"/>
          <w:szCs w:val="21"/>
        </w:rPr>
      </w:pPr>
      <w:bookmarkStart w:id="12" w:name="_Toc3841"/>
      <w:r>
        <w:rPr>
          <w:rFonts w:hint="eastAsia" w:asciiTheme="minorEastAsia" w:hAnsiTheme="minorEastAsia" w:eastAsiaTheme="minorEastAsia" w:cstheme="minorEastAsia"/>
          <w:color w:val="auto"/>
          <w:sz w:val="21"/>
          <w:szCs w:val="21"/>
          <w:lang w:eastAsia="zh-CN"/>
        </w:rPr>
        <w:t>响应文件提交</w:t>
      </w:r>
      <w:bookmarkEnd w:id="12"/>
    </w:p>
    <w:p>
      <w:pPr>
        <w:numPr>
          <w:ilvl w:val="0"/>
          <w:numId w:val="0"/>
        </w:numPr>
        <w:spacing w:line="360" w:lineRule="auto"/>
        <w:ind w:firstLine="420" w:firstLineChars="200"/>
        <w:jc w:val="left"/>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kern w:val="2"/>
          <w:sz w:val="21"/>
          <w:szCs w:val="21"/>
          <w:lang w:val="en-US" w:eastAsia="zh-CN" w:bidi="ar-SA"/>
        </w:rPr>
        <w:t>2020年9月4日10点00分（北京时间）（从磋商文件开始发出之日起至供应商提交首次响应文件截止之日止不得少于10日）</w:t>
      </w:r>
      <w:r>
        <w:rPr>
          <w:rFonts w:hint="eastAsia" w:asciiTheme="minorEastAsia" w:hAnsiTheme="minorEastAsia" w:eastAsiaTheme="minorEastAsia" w:cstheme="minorEastAsia"/>
          <w:b w:val="0"/>
          <w:bCs w:val="0"/>
          <w:color w:val="auto"/>
          <w:kern w:val="2"/>
          <w:sz w:val="21"/>
          <w:szCs w:val="21"/>
          <w:lang w:val="en-US" w:eastAsia="zh-CN" w:bidi="ar-SA"/>
        </w:rPr>
        <w:br w:type="textWrapping"/>
      </w:r>
      <w:r>
        <w:rPr>
          <w:rFonts w:hint="eastAsia" w:asciiTheme="minorEastAsia" w:hAnsiTheme="minorEastAsia" w:eastAsiaTheme="minorEastAsia" w:cstheme="minorEastAsia"/>
          <w:b w:val="0"/>
          <w:bCs w:val="0"/>
          <w:color w:val="auto"/>
          <w:kern w:val="2"/>
          <w:sz w:val="21"/>
          <w:szCs w:val="21"/>
          <w:lang w:val="en-US" w:eastAsia="zh-CN" w:bidi="ar-SA"/>
        </w:rPr>
        <w:t xml:space="preserve">    送达地点：武昌区中北路岳家嘴立交山河企业大厦4806室</w:t>
      </w:r>
    </w:p>
    <w:p>
      <w:pPr>
        <w:pStyle w:val="4"/>
        <w:numPr>
          <w:ilvl w:val="0"/>
          <w:numId w:val="6"/>
        </w:numPr>
        <w:spacing w:line="360" w:lineRule="auto"/>
        <w:jc w:val="left"/>
        <w:rPr>
          <w:rFonts w:hint="eastAsia" w:asciiTheme="minorEastAsia" w:hAnsiTheme="minorEastAsia" w:eastAsiaTheme="minorEastAsia" w:cstheme="minorEastAsia"/>
          <w:color w:val="auto"/>
          <w:sz w:val="21"/>
          <w:szCs w:val="21"/>
          <w:lang w:eastAsia="zh-CN"/>
        </w:rPr>
      </w:pPr>
      <w:bookmarkStart w:id="13" w:name="_Toc11052"/>
      <w:r>
        <w:rPr>
          <w:rFonts w:hint="eastAsia" w:asciiTheme="minorEastAsia" w:hAnsiTheme="minorEastAsia" w:eastAsiaTheme="minorEastAsia" w:cstheme="minorEastAsia"/>
          <w:color w:val="auto"/>
          <w:sz w:val="21"/>
          <w:szCs w:val="21"/>
          <w:lang w:eastAsia="zh-CN"/>
        </w:rPr>
        <w:t>开启</w:t>
      </w:r>
      <w:bookmarkEnd w:id="13"/>
    </w:p>
    <w:p>
      <w:pPr>
        <w:numPr>
          <w:ilvl w:val="0"/>
          <w:numId w:val="0"/>
        </w:numPr>
        <w:spacing w:line="360" w:lineRule="auto"/>
        <w:ind w:leftChars="0" w:firstLine="420" w:firstLineChars="200"/>
        <w:jc w:val="left"/>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时间：</w:t>
      </w:r>
      <w:r>
        <w:rPr>
          <w:rFonts w:hint="eastAsia" w:asciiTheme="minorEastAsia" w:hAnsiTheme="minorEastAsia" w:eastAsiaTheme="minorEastAsia" w:cstheme="minorEastAsia"/>
          <w:color w:val="auto"/>
          <w:sz w:val="21"/>
          <w:szCs w:val="21"/>
          <w:lang w:eastAsia="zh-CN"/>
        </w:rPr>
        <w:t>2020年</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lang w:eastAsia="zh-CN"/>
        </w:rPr>
        <w:t>月</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eastAsia="zh-CN"/>
        </w:rPr>
        <w:t>日</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lang w:eastAsia="zh-CN"/>
        </w:rPr>
        <w:t>点</w:t>
      </w:r>
      <w:r>
        <w:rPr>
          <w:rFonts w:hint="eastAsia" w:asciiTheme="minorEastAsia" w:hAnsiTheme="minorEastAsia" w:eastAsiaTheme="minorEastAsia" w:cstheme="minorEastAsia"/>
          <w:color w:val="auto"/>
          <w:sz w:val="21"/>
          <w:szCs w:val="21"/>
          <w:lang w:val="en-US" w:eastAsia="zh-CN"/>
        </w:rPr>
        <w:t>00</w:t>
      </w:r>
      <w:r>
        <w:rPr>
          <w:rFonts w:hint="eastAsia" w:asciiTheme="minorEastAsia" w:hAnsiTheme="minorEastAsia" w:eastAsiaTheme="minorEastAsia" w:cstheme="minorEastAsia"/>
          <w:color w:val="auto"/>
          <w:sz w:val="21"/>
          <w:szCs w:val="21"/>
          <w:lang w:eastAsia="zh-CN"/>
        </w:rPr>
        <w:t>分（北京时间）</w:t>
      </w:r>
    </w:p>
    <w:p>
      <w:pPr>
        <w:pStyle w:val="4"/>
        <w:numPr>
          <w:ilvl w:val="0"/>
          <w:numId w:val="6"/>
        </w:numPr>
        <w:spacing w:line="360" w:lineRule="auto"/>
        <w:jc w:val="left"/>
        <w:rPr>
          <w:rFonts w:hint="eastAsia" w:asciiTheme="minorEastAsia" w:hAnsiTheme="minorEastAsia" w:eastAsiaTheme="minorEastAsia" w:cstheme="minorEastAsia"/>
          <w:color w:val="auto"/>
          <w:sz w:val="21"/>
          <w:szCs w:val="21"/>
        </w:rPr>
      </w:pPr>
      <w:bookmarkStart w:id="14" w:name="_Toc23624"/>
      <w:r>
        <w:rPr>
          <w:rFonts w:hint="eastAsia" w:asciiTheme="minorEastAsia" w:hAnsiTheme="minorEastAsia" w:eastAsiaTheme="minorEastAsia" w:cstheme="minorEastAsia"/>
          <w:color w:val="auto"/>
          <w:sz w:val="21"/>
          <w:szCs w:val="21"/>
        </w:rPr>
        <w:t>公告期限</w:t>
      </w:r>
      <w:bookmarkEnd w:id="14"/>
    </w:p>
    <w:p>
      <w:pPr>
        <w:spacing w:line="360" w:lineRule="auto"/>
        <w:ind w:firstLine="420" w:firstLineChars="200"/>
        <w:jc w:val="left"/>
        <w:rPr>
          <w:rFonts w:hint="eastAsia" w:asciiTheme="minorEastAsia" w:hAnsiTheme="minorEastAsia" w:eastAsiaTheme="minorEastAsia" w:cstheme="minorEastAsia"/>
          <w:color w:val="auto"/>
          <w:sz w:val="21"/>
          <w:szCs w:val="21"/>
          <w:lang w:eastAsia="zh-CN"/>
        </w:rPr>
      </w:pPr>
      <w:bookmarkStart w:id="15" w:name="_Toc276368888"/>
      <w:bookmarkStart w:id="16" w:name="_Toc6021"/>
      <w:bookmarkStart w:id="17" w:name="_Toc334539188"/>
      <w:bookmarkStart w:id="18" w:name="_Toc320898024"/>
      <w:bookmarkStart w:id="19" w:name="_Toc317262251"/>
      <w:bookmarkStart w:id="20" w:name="_Toc259607751"/>
      <w:r>
        <w:rPr>
          <w:rFonts w:hint="eastAsia" w:asciiTheme="minorEastAsia" w:hAnsiTheme="minorEastAsia" w:eastAsiaTheme="minorEastAsia" w:cstheme="minorEastAsia"/>
          <w:color w:val="auto"/>
          <w:sz w:val="21"/>
          <w:szCs w:val="21"/>
          <w:lang w:val="en-US" w:eastAsia="zh-CN"/>
        </w:rPr>
        <w:t>自本公告发布之日起</w:t>
      </w:r>
      <w:r>
        <w:rPr>
          <w:rFonts w:hint="eastAsia" w:asciiTheme="minorEastAsia" w:hAnsiTheme="minorEastAsia" w:eastAsiaTheme="minorEastAsia" w:cstheme="minorEastAsia"/>
          <w:color w:val="auto"/>
          <w:sz w:val="21"/>
          <w:szCs w:val="21"/>
          <w:lang w:eastAsia="zh-CN"/>
        </w:rPr>
        <w:t>至少</w:t>
      </w:r>
      <w:r>
        <w:rPr>
          <w:rFonts w:hint="eastAsia" w:asciiTheme="minorEastAsia" w:hAnsiTheme="minorEastAsia" w:eastAsiaTheme="minorEastAsia" w:cstheme="minorEastAsia"/>
          <w:color w:val="auto"/>
          <w:sz w:val="21"/>
          <w:szCs w:val="21"/>
          <w:lang w:val="en-US" w:eastAsia="zh-CN"/>
        </w:rPr>
        <w:t>5个工作日</w:t>
      </w:r>
    </w:p>
    <w:bookmarkEnd w:id="15"/>
    <w:bookmarkEnd w:id="16"/>
    <w:bookmarkEnd w:id="17"/>
    <w:bookmarkEnd w:id="18"/>
    <w:bookmarkEnd w:id="19"/>
    <w:bookmarkEnd w:id="20"/>
    <w:p>
      <w:pPr>
        <w:pStyle w:val="4"/>
        <w:numPr>
          <w:ilvl w:val="0"/>
          <w:numId w:val="6"/>
        </w:numPr>
        <w:spacing w:line="360" w:lineRule="auto"/>
        <w:jc w:val="left"/>
        <w:rPr>
          <w:rFonts w:hint="eastAsia" w:asciiTheme="minorEastAsia" w:hAnsiTheme="minorEastAsia" w:eastAsiaTheme="minorEastAsia" w:cstheme="minorEastAsia"/>
          <w:color w:val="auto"/>
          <w:sz w:val="21"/>
          <w:szCs w:val="21"/>
        </w:rPr>
      </w:pPr>
      <w:bookmarkStart w:id="21" w:name="_Toc17673"/>
      <w:r>
        <w:rPr>
          <w:rFonts w:hint="eastAsia" w:asciiTheme="minorEastAsia" w:hAnsiTheme="minorEastAsia" w:eastAsiaTheme="minorEastAsia" w:cstheme="minorEastAsia"/>
          <w:color w:val="auto"/>
          <w:sz w:val="21"/>
          <w:szCs w:val="21"/>
        </w:rPr>
        <w:t>其他补充事宜</w:t>
      </w:r>
      <w:bookmarkEnd w:id="21"/>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bookmarkStart w:id="22" w:name="_Toc259028279"/>
      <w:r>
        <w:rPr>
          <w:rFonts w:hint="eastAsia" w:asciiTheme="minorEastAsia" w:hAnsiTheme="minorEastAsia" w:eastAsiaTheme="minorEastAsia" w:cstheme="minorEastAsia"/>
          <w:color w:val="auto"/>
          <w:sz w:val="21"/>
          <w:szCs w:val="21"/>
          <w:lang w:val="en-US" w:eastAsia="zh-CN"/>
        </w:rPr>
        <w:t>1.本项目是否专门面向中小企业、监狱企业、残疾人福利性单位：否</w:t>
      </w:r>
    </w:p>
    <w:p>
      <w:pPr>
        <w:numPr>
          <w:ilvl w:val="0"/>
          <w:numId w:val="0"/>
        </w:num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与采购人存在利害关系可能影响采购公正性的法人、其他组织或者个人，不得参与本项目；单位负责人为同一人或存在控股、管理关系的不同单位只能有一家单位报名(按在采购代理机构处获取文件登记的先后顺序)。为本项目提供过整体设计、规范编制或者项目管理、监理、检测等服务的供应商不得参加本次采购活动。</w:t>
      </w: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3.供应商如需查询技术要求可直接到我处查阅采购文件第三章相关内容。</w:t>
      </w:r>
      <w:r>
        <w:rPr>
          <w:rFonts w:hint="eastAsia" w:asciiTheme="minorEastAsia" w:hAnsiTheme="minorEastAsia" w:eastAsiaTheme="minorEastAsia" w:cstheme="minorEastAsia"/>
          <w:color w:val="auto"/>
          <w:sz w:val="21"/>
          <w:szCs w:val="21"/>
          <w:lang w:val="en-US" w:eastAsia="zh-CN"/>
        </w:rPr>
        <w:br w:type="textWrapping"/>
      </w:r>
      <w:r>
        <w:rPr>
          <w:rFonts w:hint="eastAsia" w:asciiTheme="minorEastAsia" w:hAnsiTheme="minorEastAsia" w:eastAsiaTheme="minorEastAsia" w:cstheme="minorEastAsia"/>
          <w:color w:val="auto"/>
          <w:sz w:val="21"/>
          <w:szCs w:val="21"/>
          <w:lang w:val="en-US" w:eastAsia="zh-CN"/>
        </w:rPr>
        <w:t xml:space="preserve">    4.本项目将在以下网站发布所有信息，请参加本项目竞标的供应商密切关注。</w:t>
      </w:r>
    </w:p>
    <w:p>
      <w:pPr>
        <w:spacing w:line="360" w:lineRule="auto"/>
        <w:ind w:firstLine="420" w:firstLineChars="2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《中经国际招标集团有限公司官网》（网址：</w:t>
      </w:r>
      <w:r>
        <w:rPr>
          <w:rFonts w:hint="eastAsia" w:asciiTheme="minorEastAsia" w:hAnsiTheme="minorEastAsia" w:eastAsiaTheme="minorEastAsia" w:cstheme="minorEastAsia"/>
          <w:color w:val="auto"/>
          <w:sz w:val="21"/>
          <w:szCs w:val="21"/>
          <w:lang w:val="en-US" w:eastAsia="zh-CN"/>
        </w:rPr>
        <w:fldChar w:fldCharType="begin"/>
      </w:r>
      <w:r>
        <w:rPr>
          <w:rFonts w:hint="eastAsia" w:asciiTheme="minorEastAsia" w:hAnsiTheme="minorEastAsia" w:eastAsiaTheme="minorEastAsia" w:cstheme="minorEastAsia"/>
          <w:color w:val="auto"/>
          <w:sz w:val="21"/>
          <w:szCs w:val="21"/>
          <w:lang w:val="en-US" w:eastAsia="zh-CN"/>
        </w:rPr>
        <w:instrText xml:space="preserve"> HYPERLINK "http://www.ceitcl.com/）" </w:instrText>
      </w:r>
      <w:r>
        <w:rPr>
          <w:rFonts w:hint="eastAsia" w:asciiTheme="minorEastAsia" w:hAnsiTheme="minorEastAsia" w:eastAsiaTheme="minorEastAsia" w:cstheme="minorEastAsia"/>
          <w:color w:val="auto"/>
          <w:sz w:val="21"/>
          <w:szCs w:val="21"/>
          <w:lang w:val="en-US" w:eastAsia="zh-CN"/>
        </w:rPr>
        <w:fldChar w:fldCharType="separate"/>
      </w:r>
      <w:r>
        <w:rPr>
          <w:rFonts w:hint="eastAsia" w:asciiTheme="minorEastAsia" w:hAnsiTheme="minorEastAsia" w:eastAsiaTheme="minorEastAsia" w:cstheme="minorEastAsia"/>
          <w:color w:val="auto"/>
          <w:sz w:val="21"/>
          <w:szCs w:val="21"/>
          <w:lang w:val="en-US" w:eastAsia="zh-CN"/>
        </w:rPr>
        <w:t>http://www.ceitcl.com/）</w:t>
      </w:r>
    </w:p>
    <w:p>
      <w:pPr>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fldChar w:fldCharType="end"/>
      </w:r>
    </w:p>
    <w:bookmarkEnd w:id="22"/>
    <w:p>
      <w:pPr>
        <w:pStyle w:val="4"/>
        <w:numPr>
          <w:ilvl w:val="0"/>
          <w:numId w:val="6"/>
        </w:numPr>
        <w:spacing w:line="360" w:lineRule="auto"/>
        <w:jc w:val="left"/>
        <w:rPr>
          <w:rFonts w:hint="eastAsia" w:asciiTheme="minorEastAsia" w:hAnsiTheme="minorEastAsia" w:eastAsiaTheme="minorEastAsia" w:cstheme="minorEastAsia"/>
          <w:color w:val="auto"/>
          <w:sz w:val="21"/>
          <w:szCs w:val="21"/>
        </w:rPr>
      </w:pPr>
      <w:bookmarkStart w:id="23" w:name="_Toc12218"/>
      <w:r>
        <w:rPr>
          <w:rFonts w:hint="eastAsia" w:asciiTheme="minorEastAsia" w:hAnsiTheme="minorEastAsia" w:eastAsiaTheme="minorEastAsia" w:cstheme="minorEastAsia"/>
          <w:color w:val="auto"/>
          <w:sz w:val="21"/>
          <w:szCs w:val="21"/>
        </w:rPr>
        <w:t>凡对本次采购提出询问，请按以下方式联系</w:t>
      </w:r>
      <w:bookmarkEnd w:id="23"/>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1.采购人信息</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 称：湖北水利水电职业技术学院　　　　　　　　　　　　</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址：湖北省武汉市武昌珞狮路306号　　　　　　　　　　　　</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联系方式：黄老师、王老师/027-81292806　　　　　　　　　 </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2.采购代理机构信息</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  称：中经国际招标集团有限公司　　　　　　　　　　　　</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址：武昌区中北路岳家嘴立交山河企业大厦48楼4805、4806室　　　　　　　　　　　　</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联系方式：027-87820788　　　　　　　　　　　　</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3.项目联系方式</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项目联系人：张梦、彭盼明</w:t>
      </w:r>
    </w:p>
    <w:p>
      <w:pPr>
        <w:spacing w:line="360" w:lineRule="auto"/>
        <w:ind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电    　话：027-87820788　</w:t>
      </w:r>
      <w:r>
        <w:rPr>
          <w:rFonts w:hint="eastAsia" w:asciiTheme="minorEastAsia" w:hAnsiTheme="minorEastAsia" w:eastAsiaTheme="minorEastAsia" w:cstheme="minorEastAsia"/>
          <w:color w:val="auto"/>
          <w:sz w:val="21"/>
          <w:szCs w:val="21"/>
          <w:lang w:eastAsia="zh-CN"/>
        </w:rPr>
        <w:t>　</w:t>
      </w:r>
    </w:p>
    <w:p>
      <w:pPr>
        <w:pStyle w:val="4"/>
        <w:numPr>
          <w:ilvl w:val="0"/>
          <w:numId w:val="6"/>
        </w:num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bookmarkStart w:id="24" w:name="_Toc30016"/>
      <w:r>
        <w:rPr>
          <w:rFonts w:hint="eastAsia" w:asciiTheme="minorEastAsia" w:hAnsiTheme="minorEastAsia" w:eastAsiaTheme="minorEastAsia" w:cstheme="minorEastAsia"/>
          <w:color w:val="auto"/>
          <w:sz w:val="21"/>
          <w:szCs w:val="21"/>
        </w:rPr>
        <w:t>注意事项</w:t>
      </w:r>
      <w:bookmarkEnd w:id="24"/>
    </w:p>
    <w:p>
      <w:pPr>
        <w:spacing w:line="360" w:lineRule="auto"/>
        <w:ind w:firstLine="420" w:firstLineChars="2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1、供应商在获取本项目竞争性磋商文件前须仔细阅读资格要求内容，并按磋商文件规定要求在响应文件中递交合格有效的资格证明文件，资格审查不合格将导致竞标失败。</w:t>
      </w:r>
    </w:p>
    <w:p>
      <w:pPr>
        <w:spacing w:line="360" w:lineRule="auto"/>
        <w:ind w:firstLine="420" w:firstLineChars="2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供应商对自己所提供的资格证明材料的真实性负责，无论何时，如发现供应商提供虚假的材料，将按照《中华人民共和国政府采购法》及本项目竞争性磋商文件的有关规定进行严肃处理，并在相关网站上进行通报。</w:t>
      </w:r>
    </w:p>
    <w:p>
      <w:pPr>
        <w:spacing w:line="360" w:lineRule="auto"/>
        <w:ind w:firstLine="420" w:firstLineChars="2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3、请供应商仔细阅读本磋商文件的全部条文，对于文件中存在的任何含糊、遗漏、相互矛盾之处，或是对于采购范围的界定和采购内容的要求不清楚，认为存在歧义的，供应商应按本文件规定的时限向采购代理机构寻求书面澄清；未提出澄清要求的，则认同为完全理解本文件要求并接受采购人或采购代理机构可能作出的任何最终解释。</w:t>
      </w:r>
    </w:p>
    <w:p>
      <w:pPr>
        <w:spacing w:line="360" w:lineRule="auto"/>
        <w:ind w:firstLine="420" w:firstLineChars="2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lang w:val="en-US" w:eastAsia="zh-CN"/>
        </w:rPr>
        <w:t>4、关于本项目磋商文件有关内容的澄清、修改及变更等通知将通过书面形式经邮箱通知各供应商同时电话或短信告知，若采购人或采购代理机构未收到回复，视为收悉，并默认通知内容。若因供应商自身原因接收消息不及时，导致竞标受影响，其后果自行承担。</w:t>
      </w:r>
    </w:p>
    <w:p>
      <w:pPr>
        <w:spacing w:line="360" w:lineRule="auto"/>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中经国际招标集团有限公司</w:t>
      </w:r>
    </w:p>
    <w:p>
      <w:pPr>
        <w:spacing w:line="360" w:lineRule="auto"/>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color w:val="auto"/>
          <w:szCs w:val="21"/>
          <w:lang w:eastAsia="zh-CN"/>
        </w:rPr>
        <w:t>2020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8</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23</w:t>
      </w:r>
      <w:r>
        <w:rPr>
          <w:rFonts w:hint="eastAsia" w:asciiTheme="minorEastAsia" w:hAnsiTheme="minorEastAsia" w:eastAsiaTheme="minorEastAsia" w:cstheme="minorEastAsia"/>
          <w:color w:val="auto"/>
          <w:szCs w:val="21"/>
        </w:rPr>
        <w:t>日</w:t>
      </w:r>
    </w:p>
    <w:p>
      <w:pPr>
        <w:numPr>
          <w:ilvl w:val="0"/>
          <w:numId w:val="4"/>
        </w:numPr>
        <w:jc w:val="center"/>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6"/>
          <w:szCs w:val="36"/>
        </w:rPr>
        <w:br w:type="page"/>
      </w:r>
    </w:p>
    <w:p>
      <w:pPr>
        <w:pStyle w:val="3"/>
        <w:numPr>
          <w:ilvl w:val="0"/>
          <w:numId w:val="4"/>
        </w:numPr>
        <w:jc w:val="center"/>
        <w:rPr>
          <w:rFonts w:hint="eastAsia" w:asciiTheme="minorEastAsia" w:hAnsiTheme="minorEastAsia" w:eastAsiaTheme="minorEastAsia" w:cstheme="minorEastAsia"/>
          <w:color w:val="auto"/>
          <w:sz w:val="32"/>
          <w:szCs w:val="32"/>
        </w:rPr>
      </w:pPr>
      <w:bookmarkStart w:id="25" w:name="_Toc30354"/>
      <w:r>
        <w:rPr>
          <w:rFonts w:hint="eastAsia" w:asciiTheme="minorEastAsia" w:hAnsiTheme="minorEastAsia" w:eastAsiaTheme="minorEastAsia" w:cstheme="minorEastAsia"/>
          <w:color w:val="auto"/>
          <w:sz w:val="36"/>
          <w:szCs w:val="36"/>
        </w:rPr>
        <w:t>供应商须知</w:t>
      </w:r>
      <w:bookmarkEnd w:id="25"/>
    </w:p>
    <w:p>
      <w:pPr>
        <w:autoSpaceDE w:val="0"/>
        <w:autoSpaceDN w:val="0"/>
        <w:adjustRightInd w:val="0"/>
        <w:spacing w:line="360" w:lineRule="auto"/>
        <w:jc w:val="center"/>
        <w:outlineLvl w:val="1"/>
        <w:rPr>
          <w:rFonts w:hint="eastAsia" w:asciiTheme="minorEastAsia" w:hAnsiTheme="minorEastAsia" w:eastAsiaTheme="minorEastAsia" w:cstheme="minorEastAsia"/>
          <w:b/>
          <w:color w:val="auto"/>
          <w:szCs w:val="21"/>
          <w:lang w:val="zh-CN"/>
        </w:rPr>
      </w:pPr>
      <w:bookmarkStart w:id="26" w:name="_Toc5340"/>
      <w:r>
        <w:rPr>
          <w:rFonts w:hint="eastAsia" w:asciiTheme="minorEastAsia" w:hAnsiTheme="minorEastAsia" w:eastAsiaTheme="minorEastAsia" w:cstheme="minorEastAsia"/>
          <w:b/>
          <w:color w:val="auto"/>
          <w:szCs w:val="21"/>
        </w:rPr>
        <w:t>《供应商须知前附表》</w:t>
      </w:r>
      <w:bookmarkEnd w:id="26"/>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磋商供应商应仔细阅读竞争性磋商采购文件的第二章“供应商须知”，下面所列资料是对“供应商须知”的具体补充和说明。</w:t>
      </w:r>
      <w:r>
        <w:rPr>
          <w:rFonts w:hint="eastAsia" w:asciiTheme="minorEastAsia" w:hAnsiTheme="minorEastAsia" w:eastAsiaTheme="minorEastAsia" w:cstheme="minorEastAsia"/>
          <w:color w:val="auto"/>
          <w:szCs w:val="21"/>
          <w:lang w:val="zh-CN"/>
        </w:rPr>
        <w:t>如有矛盾，应以本表为准。</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zh-CN"/>
              </w:rPr>
              <w:t>条款号</w:t>
            </w:r>
          </w:p>
        </w:tc>
        <w:tc>
          <w:tcPr>
            <w:tcW w:w="2127"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条款名称</w:t>
            </w:r>
          </w:p>
        </w:tc>
        <w:tc>
          <w:tcPr>
            <w:tcW w:w="6130" w:type="dxa"/>
            <w:shd w:val="clear" w:color="auto" w:fill="F1F1F1"/>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6"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2.1</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采购人</w:t>
            </w:r>
          </w:p>
        </w:tc>
        <w:tc>
          <w:tcPr>
            <w:tcW w:w="6130" w:type="dxa"/>
            <w:vAlign w:val="center"/>
          </w:tcPr>
          <w:p>
            <w:pPr>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Cs w:val="21"/>
                <w:lang w:val="zh-CN"/>
              </w:rPr>
              <w:t>湖北水利水电职业技术学院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2127" w:type="dxa"/>
            <w:vAlign w:val="center"/>
          </w:tcPr>
          <w:p>
            <w:pPr>
              <w:pStyle w:val="24"/>
              <w:widowControl w:val="0"/>
              <w:autoSpaceDE w:val="0"/>
              <w:autoSpaceDN w:val="0"/>
              <w:adjustRightInd w:val="0"/>
              <w:spacing w:before="0" w:beforeAutospacing="0" w:after="0" w:afterAutospacing="0" w:line="240" w:lineRule="auto"/>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监管部门</w:t>
            </w:r>
          </w:p>
        </w:tc>
        <w:tc>
          <w:tcPr>
            <w:tcW w:w="6130" w:type="dxa"/>
            <w:vAlign w:val="center"/>
          </w:tcPr>
          <w:p>
            <w:pPr>
              <w:autoSpaceDE w:val="0"/>
              <w:autoSpaceDN w:val="0"/>
              <w:adjustRightInd w:val="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Cs w:val="21"/>
                <w:lang w:val="zh-CN"/>
              </w:rPr>
              <w:t>湖北水利水电职业技术学院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采购代理机构</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left"/>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中经国际招标集团有限公司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2.5</w:t>
            </w:r>
          </w:p>
        </w:tc>
        <w:tc>
          <w:tcPr>
            <w:tcW w:w="2127"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磋商供应商</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sz w:val="21"/>
                <w:szCs w:val="21"/>
                <w:lang w:val="zh-CN"/>
              </w:rPr>
              <w:t>详见</w:t>
            </w:r>
            <w:r>
              <w:rPr>
                <w:rFonts w:hint="eastAsia" w:asciiTheme="minorEastAsia" w:hAnsiTheme="minorEastAsia" w:eastAsiaTheme="minorEastAsia" w:cstheme="minorEastAsia"/>
                <w:color w:val="auto"/>
                <w:sz w:val="21"/>
                <w:szCs w:val="21"/>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4.2</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rPr>
              <w:t>招标代理服务费</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根据国家发展与改革委员会办公厅发改办价格【2003】857号文的规定，经与</w:t>
            </w:r>
            <w:r>
              <w:rPr>
                <w:rFonts w:hint="eastAsia" w:asciiTheme="minorEastAsia" w:hAnsiTheme="minorEastAsia" w:eastAsiaTheme="minorEastAsia" w:cstheme="minorEastAsia"/>
                <w:color w:val="auto"/>
                <w:sz w:val="21"/>
                <w:szCs w:val="21"/>
                <w:lang w:eastAsia="zh-CN"/>
              </w:rPr>
              <w:t>采购人</w:t>
            </w:r>
            <w:r>
              <w:rPr>
                <w:rFonts w:hint="eastAsia" w:asciiTheme="minorEastAsia" w:hAnsiTheme="minorEastAsia" w:eastAsiaTheme="minorEastAsia" w:cstheme="minorEastAsia"/>
                <w:color w:val="auto"/>
                <w:sz w:val="21"/>
                <w:szCs w:val="21"/>
              </w:rPr>
              <w:t>协商，由</w:t>
            </w:r>
            <w:r>
              <w:rPr>
                <w:rFonts w:hint="eastAsia" w:asciiTheme="minorEastAsia" w:hAnsiTheme="minorEastAsia" w:eastAsiaTheme="minorEastAsia" w:cstheme="minorEastAsia"/>
                <w:color w:val="auto"/>
                <w:sz w:val="21"/>
                <w:szCs w:val="21"/>
                <w:lang w:eastAsia="zh-CN"/>
              </w:rPr>
              <w:t>成交人</w:t>
            </w:r>
            <w:r>
              <w:rPr>
                <w:rFonts w:hint="eastAsia" w:asciiTheme="minorEastAsia" w:hAnsiTheme="minorEastAsia" w:eastAsiaTheme="minorEastAsia" w:cstheme="minorEastAsia"/>
                <w:color w:val="auto"/>
                <w:sz w:val="21"/>
                <w:szCs w:val="21"/>
              </w:rPr>
              <w:t>按国家发展计划委员会计价格【2002】1980号文规定</w:t>
            </w:r>
            <w:r>
              <w:rPr>
                <w:rFonts w:hint="eastAsia" w:asciiTheme="minorEastAsia" w:hAnsiTheme="minorEastAsia" w:eastAsiaTheme="minorEastAsia" w:cstheme="minorEastAsia"/>
                <w:color w:val="auto"/>
                <w:sz w:val="21"/>
                <w:szCs w:val="21"/>
                <w:lang w:eastAsia="zh-CN"/>
              </w:rPr>
              <w:t>的</w:t>
            </w:r>
            <w:r>
              <w:rPr>
                <w:rFonts w:hint="eastAsia" w:asciiTheme="minorEastAsia" w:hAnsiTheme="minorEastAsia" w:eastAsiaTheme="minorEastAsia" w:cstheme="minorEastAsia"/>
                <w:color w:val="auto"/>
                <w:sz w:val="21"/>
                <w:szCs w:val="21"/>
              </w:rPr>
              <w:t>取费标准向采购代理机构支付招标代理服务费。招标代理服务费由</w:t>
            </w:r>
            <w:r>
              <w:rPr>
                <w:rFonts w:hint="eastAsia" w:asciiTheme="minorEastAsia" w:hAnsiTheme="minorEastAsia" w:eastAsiaTheme="minorEastAsia" w:cstheme="minorEastAsia"/>
                <w:color w:val="auto"/>
                <w:sz w:val="21"/>
                <w:szCs w:val="21"/>
                <w:lang w:eastAsia="zh-CN"/>
              </w:rPr>
              <w:t>成交人</w:t>
            </w:r>
            <w:r>
              <w:rPr>
                <w:rFonts w:hint="eastAsia" w:asciiTheme="minorEastAsia" w:hAnsiTheme="minorEastAsia" w:eastAsiaTheme="minorEastAsia" w:cstheme="minorEastAsia"/>
                <w:color w:val="auto"/>
                <w:sz w:val="21"/>
                <w:szCs w:val="21"/>
              </w:rPr>
              <w:t>在领取成交通知书的同时，向采购代理机构支付。</w:t>
            </w:r>
            <w:r>
              <w:rPr>
                <w:rFonts w:hint="eastAsia" w:asciiTheme="minorEastAsia" w:hAnsiTheme="minorEastAsia" w:eastAsiaTheme="minorEastAsia" w:cstheme="minorEastAsia"/>
                <w:b w:val="0"/>
                <w:bCs w:val="0"/>
                <w:color w:val="auto"/>
                <w:sz w:val="21"/>
                <w:szCs w:val="21"/>
                <w:highlight w:val="none"/>
                <w:lang w:eastAsia="zh-CN"/>
              </w:rPr>
              <w:t>不足叁仟元按叁仟元保底收费计取。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6.2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snapToGrid w:val="0"/>
                <w:color w:val="auto"/>
                <w:kern w:val="0"/>
                <w:sz w:val="21"/>
                <w:szCs w:val="21"/>
                <w:lang w:val="zh-CN"/>
              </w:rPr>
              <w:t>提疑截止时间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en-US" w:eastAsia="zh-CN"/>
              </w:rPr>
              <w:t>供应商</w:t>
            </w:r>
            <w:r>
              <w:rPr>
                <w:rFonts w:hint="eastAsia" w:asciiTheme="minorEastAsia" w:hAnsiTheme="minorEastAsia" w:eastAsiaTheme="minorEastAsia" w:cstheme="minorEastAsia"/>
                <w:b w:val="0"/>
                <w:bCs w:val="0"/>
                <w:color w:val="auto"/>
                <w:sz w:val="21"/>
                <w:szCs w:val="21"/>
                <w:lang w:val="zh-CN"/>
              </w:rPr>
              <w:t>对</w:t>
            </w:r>
            <w:r>
              <w:rPr>
                <w:rFonts w:hint="eastAsia" w:asciiTheme="minorEastAsia" w:hAnsiTheme="minorEastAsia" w:eastAsiaTheme="minorEastAsia" w:cstheme="minorEastAsia"/>
                <w:b w:val="0"/>
                <w:bCs w:val="0"/>
                <w:color w:val="auto"/>
                <w:sz w:val="21"/>
                <w:szCs w:val="21"/>
                <w:lang w:val="en-US" w:eastAsia="zh-CN"/>
              </w:rPr>
              <w:t>磋商</w:t>
            </w:r>
            <w:r>
              <w:rPr>
                <w:rFonts w:hint="eastAsia" w:asciiTheme="minorEastAsia" w:hAnsiTheme="minorEastAsia" w:eastAsiaTheme="minorEastAsia" w:cstheme="minorEastAsia"/>
                <w:b w:val="0"/>
                <w:bCs w:val="0"/>
                <w:color w:val="auto"/>
                <w:sz w:val="21"/>
                <w:szCs w:val="21"/>
                <w:lang w:val="zh-CN"/>
              </w:rPr>
              <w:t>文件有异议</w:t>
            </w:r>
            <w:r>
              <w:rPr>
                <w:rFonts w:hint="eastAsia" w:asciiTheme="minorEastAsia" w:hAnsiTheme="minorEastAsia" w:eastAsiaTheme="minorEastAsia" w:cstheme="minorEastAsia"/>
                <w:b w:val="0"/>
                <w:bCs w:val="0"/>
                <w:color w:val="auto"/>
                <w:sz w:val="21"/>
                <w:szCs w:val="21"/>
                <w:lang w:val="en-US" w:eastAsia="zh-CN"/>
              </w:rPr>
              <w:t>或疑问</w:t>
            </w:r>
            <w:r>
              <w:rPr>
                <w:rFonts w:hint="eastAsia" w:asciiTheme="minorEastAsia" w:hAnsiTheme="minorEastAsia" w:eastAsiaTheme="minorEastAsia" w:cstheme="minorEastAsia"/>
                <w:b w:val="0"/>
                <w:bCs w:val="0"/>
                <w:color w:val="auto"/>
                <w:sz w:val="21"/>
                <w:szCs w:val="21"/>
                <w:lang w:val="zh-CN"/>
              </w:rPr>
              <w:t>的，均应以书面形式在</w:t>
            </w:r>
          </w:p>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b w:val="0"/>
                <w:bCs w:val="0"/>
                <w:color w:val="auto"/>
                <w:sz w:val="21"/>
                <w:szCs w:val="21"/>
                <w:lang w:val="zh-CN"/>
              </w:rPr>
            </w:pPr>
            <w:r>
              <w:rPr>
                <w:rFonts w:hint="eastAsia" w:asciiTheme="minorEastAsia" w:hAnsiTheme="minorEastAsia" w:eastAsiaTheme="minorEastAsia" w:cstheme="minorEastAsia"/>
                <w:b w:val="0"/>
                <w:bCs w:val="0"/>
                <w:color w:val="auto"/>
                <w:sz w:val="21"/>
                <w:szCs w:val="21"/>
                <w:lang w:val="zh-CN"/>
              </w:rPr>
              <w:t>2020年</w:t>
            </w:r>
            <w:r>
              <w:rPr>
                <w:rFonts w:hint="eastAsia" w:asciiTheme="minorEastAsia" w:hAnsiTheme="minorEastAsia" w:eastAsiaTheme="minorEastAsia" w:cstheme="minorEastAsia"/>
                <w:b w:val="0"/>
                <w:bCs w:val="0"/>
                <w:color w:val="auto"/>
                <w:sz w:val="21"/>
                <w:szCs w:val="21"/>
                <w:lang w:val="en-US" w:eastAsia="zh-CN"/>
              </w:rPr>
              <w:t>8</w:t>
            </w:r>
            <w:r>
              <w:rPr>
                <w:rFonts w:hint="eastAsia" w:asciiTheme="minorEastAsia" w:hAnsiTheme="minorEastAsia" w:eastAsiaTheme="minorEastAsia" w:cstheme="minorEastAsia"/>
                <w:b w:val="0"/>
                <w:bCs w:val="0"/>
                <w:color w:val="auto"/>
                <w:sz w:val="21"/>
                <w:szCs w:val="21"/>
                <w:lang w:val="zh-CN"/>
              </w:rPr>
              <w:t>月</w:t>
            </w:r>
            <w:r>
              <w:rPr>
                <w:rFonts w:hint="eastAsia" w:asciiTheme="minorEastAsia" w:hAnsiTheme="minorEastAsia" w:eastAsiaTheme="minorEastAsia" w:cstheme="minorEastAsia"/>
                <w:b w:val="0"/>
                <w:bCs w:val="0"/>
                <w:color w:val="auto"/>
                <w:sz w:val="21"/>
                <w:szCs w:val="21"/>
                <w:lang w:val="en-US" w:eastAsia="zh-CN"/>
              </w:rPr>
              <w:t>31</w:t>
            </w:r>
            <w:r>
              <w:rPr>
                <w:rFonts w:hint="eastAsia" w:asciiTheme="minorEastAsia" w:hAnsiTheme="minorEastAsia" w:eastAsiaTheme="minorEastAsia" w:cstheme="minorEastAsia"/>
                <w:b w:val="0"/>
                <w:bCs w:val="0"/>
                <w:color w:val="auto"/>
                <w:sz w:val="21"/>
                <w:szCs w:val="21"/>
                <w:lang w:val="zh-CN"/>
              </w:rPr>
              <w:t>日</w:t>
            </w:r>
            <w:r>
              <w:rPr>
                <w:rFonts w:hint="eastAsia" w:asciiTheme="minorEastAsia" w:hAnsiTheme="minorEastAsia" w:eastAsiaTheme="minorEastAsia" w:cstheme="minorEastAsia"/>
                <w:b w:val="0"/>
                <w:bCs w:val="0"/>
                <w:color w:val="auto"/>
                <w:sz w:val="21"/>
                <w:szCs w:val="21"/>
                <w:lang w:val="en-US" w:eastAsia="zh-CN"/>
              </w:rPr>
              <w:t>17</w:t>
            </w:r>
            <w:r>
              <w:rPr>
                <w:rFonts w:hint="eastAsia" w:asciiTheme="minorEastAsia" w:hAnsiTheme="minorEastAsia" w:eastAsiaTheme="minorEastAsia" w:cstheme="minorEastAsia"/>
                <w:b w:val="0"/>
                <w:bCs w:val="0"/>
                <w:color w:val="auto"/>
                <w:sz w:val="21"/>
                <w:szCs w:val="21"/>
                <w:lang w:val="zh-CN"/>
              </w:rPr>
              <w:t>:</w:t>
            </w:r>
            <w:r>
              <w:rPr>
                <w:rFonts w:hint="eastAsia" w:asciiTheme="minorEastAsia" w:hAnsiTheme="minorEastAsia" w:eastAsiaTheme="minorEastAsia" w:cstheme="minorEastAsia"/>
                <w:b w:val="0"/>
                <w:bCs w:val="0"/>
                <w:color w:val="auto"/>
                <w:sz w:val="21"/>
                <w:szCs w:val="21"/>
                <w:lang w:val="en-US" w:eastAsia="zh-CN"/>
              </w:rPr>
              <w:t>0</w:t>
            </w:r>
            <w:r>
              <w:rPr>
                <w:rFonts w:hint="eastAsia" w:asciiTheme="minorEastAsia" w:hAnsiTheme="minorEastAsia" w:eastAsiaTheme="minorEastAsia" w:cstheme="minorEastAsia"/>
                <w:b w:val="0"/>
                <w:bCs w:val="0"/>
                <w:color w:val="auto"/>
                <w:sz w:val="21"/>
                <w:szCs w:val="21"/>
                <w:lang w:val="zh-CN"/>
              </w:rPr>
              <w:t>0时前（北京时间），通知采购代理机构。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4"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7.1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供应商确认收到磋商</w:t>
            </w:r>
          </w:p>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文件澄清或者修改的</w:t>
            </w:r>
          </w:p>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时间</w:t>
            </w:r>
          </w:p>
        </w:tc>
        <w:tc>
          <w:tcPr>
            <w:tcW w:w="6130" w:type="dxa"/>
            <w:vAlign w:val="center"/>
          </w:tcPr>
          <w:p>
            <w:pPr>
              <w:pStyle w:val="24"/>
              <w:widowControl w:val="0"/>
              <w:autoSpaceDE w:val="0"/>
              <w:autoSpaceDN w:val="0"/>
              <w:adjustRightInd w:val="0"/>
              <w:spacing w:before="31" w:beforeLines="10" w:beforeAutospacing="0" w:after="31" w:afterLines="10" w:afterAutospacing="0" w:line="240" w:lineRule="auto"/>
              <w:ind w:right="21" w:rightChars="10"/>
              <w:jc w:val="left"/>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kern w:val="2"/>
                <w:sz w:val="21"/>
                <w:szCs w:val="21"/>
                <w:lang w:val="zh-CN" w:eastAsia="zh-CN" w:bidi="ar-SA"/>
              </w:rPr>
              <w:t>在收到相应修改文件后24小时内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对多</w:t>
            </w:r>
            <w:r>
              <w:rPr>
                <w:rFonts w:hint="eastAsia" w:asciiTheme="minorEastAsia" w:hAnsiTheme="minorEastAsia" w:eastAsiaTheme="minorEastAsia" w:cstheme="minorEastAsia"/>
                <w:snapToGrid w:val="0"/>
                <w:color w:val="auto"/>
                <w:kern w:val="0"/>
                <w:sz w:val="21"/>
                <w:szCs w:val="21"/>
                <w:lang w:val="en-US" w:eastAsia="zh-CN"/>
              </w:rPr>
              <w:t>包</w:t>
            </w:r>
            <w:r>
              <w:rPr>
                <w:rFonts w:hint="eastAsia" w:asciiTheme="minorEastAsia" w:hAnsiTheme="minorEastAsia" w:eastAsiaTheme="minorEastAsia" w:cstheme="minorEastAsia"/>
                <w:snapToGrid w:val="0"/>
                <w:color w:val="auto"/>
                <w:kern w:val="0"/>
                <w:sz w:val="21"/>
                <w:szCs w:val="21"/>
                <w:lang w:val="zh-CN"/>
              </w:rPr>
              <w:t>采购的规定</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eastAsia="zh-CN"/>
              </w:rPr>
            </w:pPr>
            <w:r>
              <w:rPr>
                <w:rFonts w:hint="eastAsia" w:asciiTheme="minorEastAsia" w:hAnsiTheme="minorEastAsia" w:eastAsiaTheme="minorEastAsia" w:cstheme="minorEastAsia"/>
                <w:color w:val="auto"/>
                <w:sz w:val="21"/>
                <w:szCs w:val="21"/>
                <w:lang w:val="zh-CN" w:eastAsia="zh-CN"/>
              </w:rPr>
              <w:t>详见</w:t>
            </w:r>
            <w:r>
              <w:rPr>
                <w:rFonts w:hint="eastAsia" w:asciiTheme="minorEastAsia" w:hAnsiTheme="minorEastAsia" w:eastAsiaTheme="minorEastAsia" w:cstheme="minorEastAsia"/>
                <w:color w:val="auto"/>
                <w:sz w:val="21"/>
                <w:szCs w:val="21"/>
                <w:lang w:val="en-US" w:eastAsia="zh-CN"/>
              </w:rPr>
              <w:t>第一章第一款相关要求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12.1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备选方案</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联合体磋商</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本次采购  </w:t>
            </w:r>
            <w:r>
              <w:rPr>
                <w:rFonts w:hint="eastAsia" w:asciiTheme="minorEastAsia" w:hAnsiTheme="minorEastAsia" w:eastAsiaTheme="minorEastAsia" w:cstheme="minorEastAsia"/>
                <w:color w:val="auto"/>
                <w:sz w:val="21"/>
                <w:szCs w:val="21"/>
                <w:u w:val="single"/>
                <w:lang w:val="zh-CN"/>
              </w:rPr>
              <w:t>不接受</w:t>
            </w:r>
            <w:r>
              <w:rPr>
                <w:rFonts w:hint="eastAsia" w:asciiTheme="minorEastAsia" w:hAnsiTheme="minorEastAsia" w:eastAsiaTheme="minorEastAsia" w:cstheme="minorEastAsia"/>
                <w:color w:val="auto"/>
                <w:sz w:val="21"/>
                <w:szCs w:val="21"/>
                <w:lang w:val="zh-CN"/>
              </w:rPr>
              <w:t xml:space="preserve"> 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val="zh-CN"/>
              </w:rPr>
              <w:t>应提交的其它资格证明文件（实质性要求）</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详见第一章《</w:t>
            </w:r>
            <w:r>
              <w:rPr>
                <w:rFonts w:hint="eastAsia" w:asciiTheme="minorEastAsia" w:hAnsiTheme="minorEastAsia" w:eastAsiaTheme="minorEastAsia" w:cstheme="minorEastAsia"/>
                <w:color w:val="auto"/>
                <w:sz w:val="21"/>
                <w:szCs w:val="21"/>
                <w:lang w:val="en-US" w:eastAsia="zh-CN"/>
              </w:rPr>
              <w:t>竞争性磋商</w:t>
            </w:r>
            <w:r>
              <w:rPr>
                <w:rFonts w:hint="eastAsia" w:asciiTheme="minorEastAsia" w:hAnsiTheme="minorEastAsia" w:eastAsiaTheme="minorEastAsia" w:cstheme="minorEastAsia"/>
                <w:color w:val="auto"/>
                <w:sz w:val="21"/>
                <w:szCs w:val="21"/>
                <w:lang w:val="zh-CN"/>
              </w:rPr>
              <w:t>公告》第二款“资格要求”，须提供的证明文件包括但不限于：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1、具有独立承担民事责任的能力（经营范围需满足采购需求）；</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营业执照等证明文件或自然人的身份证明（如供应商是企业 （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2、具有良好的商业信誉和健全的财务会计制度；</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良好的商业信誉证明材料（自拟），财务会计制度指财务状况报告（供应商是法人的，应提供前一年度经审计的财务报告，或其基本开户银行出具的资信证明（银行资信证明应能说明该供应商与银行之间业务往来正常，企业信誉良好等。银行出具的单纯的存款证明不能视作银行资信证明。下同），其他组织和自然人，没有经审计的财务报告，提供银行出具的资信证明。由财政部门认可的政府采购专业担保机构对供应商进行资信审查后出具投标担保函的，可以不用提供经审计的财务报告和银行资信证明文件。）</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3、具有履行合同所必需的设备和专业技术能力的证明材料；（自拟）</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4、具有依法缴纳税收和社会保障资金的良好记录：（1）供应商依法缴纳税收的证明材料：投标截止时间往前推算连续六个月（至少三个月）缴纳税收的凭据（完税证明、缴款书、银行代扣（代缴）转账凭证等均可）；（2）供应商依法缴纳社会保障资金的证明材料：投标截止时间往前推算连续六个月（至少三个月）缴纳社会保险的凭据（专用发票或社会保险缴纳清单）；（3）供应商为其他组织或自然人的，也需要按此项规定提供缴纳税收的凭据和缴纳社会保险的凭据；（4）递交投标文件截止时间当月成立但因税务机关原因导致其尚未依法缴纳税收的供应商，提供依法缴纳税收承诺书原件（格式自拟），该承诺书视同税收缴纳凭据。（5）递交投标文件截止时间当月成立但因社会保障资金管理机关原因导致其尚未依法缴纳社会保障资金的供应商，提供依法缴纳社会保障资金承诺书原件（格式自拟），该承诺书视同社会保险凭据。（6）依法免税或不需要缴纳社会保障资金的供应商，应提供相应文件证明其依法免税或不需要缴纳社会保障资金。</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5、参加政府采购活动前三年内，在经营活动中没有重大违法记录；（提供书面声明）（重大违法记录是指供应商因违法经营受到刑事处罚或者责令停产停业、吊销许可证或者执照、较大数额罚款等行政处罚）</w:t>
            </w:r>
          </w:p>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lang w:val="zh-CN"/>
              </w:rPr>
            </w:pPr>
            <w:r>
              <w:rPr>
                <w:rFonts w:hint="eastAsia" w:asciiTheme="minorEastAsia" w:hAnsiTheme="minorEastAsia" w:eastAsiaTheme="minorEastAsia" w:cstheme="minorEastAsia"/>
                <w:b/>
                <w:bCs/>
                <w:color w:val="auto"/>
                <w:sz w:val="21"/>
                <w:szCs w:val="21"/>
                <w:lang w:val="zh-CN"/>
              </w:rPr>
              <w:t>6、符合本文件第一章第二款资格要求的所有证明资料。</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lang w:val="zh-CN"/>
              </w:rPr>
              <w:t>注：除上述要求的资格证明文件外，如国家法律法规对市场准入有要求的还应提交相关资格证明文件。所有证书、证明文件包括按要求提供的官网截图必须是真实可查证的，须注明资料来源。资格证明文件应为原件清晰的扫描件），副本可用正本的复印件。所有证明材料须清晰可辨认，如因证明材料模糊无法辨认，缺页、漏页导致无法进行评审认定的，责任由供应商自负。如发现弄虚作假将按照有关规定严肃处理。证明材料仅限于投标单位本身，参股或控股单位及独立法人子公司的材料不能作为证明材料，但投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14.4</w:t>
            </w:r>
          </w:p>
        </w:tc>
        <w:tc>
          <w:tcPr>
            <w:tcW w:w="2127" w:type="dxa"/>
            <w:vAlign w:val="center"/>
          </w:tcPr>
          <w:p>
            <w:pPr>
              <w:autoSpaceDE w:val="0"/>
              <w:autoSpaceDN w:val="0"/>
              <w:adjustRightInd w:val="0"/>
              <w:spacing w:beforeLines="10"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供应商不得存在的其他情形</w:t>
            </w:r>
          </w:p>
        </w:tc>
        <w:tc>
          <w:tcPr>
            <w:tcW w:w="6130" w:type="dxa"/>
            <w:vAlign w:val="center"/>
          </w:tcPr>
          <w:p>
            <w:pPr>
              <w:numPr>
                <w:ilvl w:val="0"/>
                <w:numId w:val="9"/>
              </w:num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与采购人存在利害关系可能影响</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公正性的法人、其他组织或者个人，不得参与本项目；单位负责人为同一人或存在控股、管理关系的不同单位只能有一家单位报名(按在采购代理机构处获取文件登记的先后顺序)。</w:t>
            </w:r>
          </w:p>
          <w:p>
            <w:pPr>
              <w:numPr>
                <w:ilvl w:val="0"/>
                <w:numId w:val="9"/>
              </w:numPr>
              <w:spacing w:line="24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参与本项目采购活动前，已为本项目提供过整体设计、规范编制或者项目管理、监理、检测等服务的供应商。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15.1</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lang w:val="zh-CN"/>
              </w:rPr>
              <w:t>证明响应内容符合竞争性磋商采购文件要求的文件和竞争性磋商采购文件规定的其他资料</w:t>
            </w:r>
          </w:p>
        </w:tc>
        <w:tc>
          <w:tcPr>
            <w:tcW w:w="6130" w:type="dxa"/>
            <w:vAlign w:val="center"/>
          </w:tcPr>
          <w:p>
            <w:pPr>
              <w:numPr>
                <w:ilvl w:val="0"/>
                <w:numId w:val="0"/>
              </w:num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证明满足磋商文件第三章中技术要求及商务要求的所有相关规定的相关内容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16.1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磋商保证金金额、递交方式、时间及接受磋商保证金的帐户信息</w:t>
            </w:r>
          </w:p>
        </w:tc>
        <w:tc>
          <w:tcPr>
            <w:tcW w:w="6130" w:type="dxa"/>
            <w:vAlign w:val="center"/>
          </w:tcPr>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金    额：</w:t>
            </w:r>
            <w:r>
              <w:rPr>
                <w:rFonts w:hint="eastAsia" w:asciiTheme="minorEastAsia" w:hAnsiTheme="minorEastAsia" w:eastAsiaTheme="minorEastAsia" w:cstheme="minorEastAsia"/>
                <w:color w:val="auto"/>
                <w:sz w:val="21"/>
                <w:szCs w:val="21"/>
                <w:lang w:val="en-US" w:eastAsia="zh-CN"/>
              </w:rPr>
              <w:t>伍仟</w:t>
            </w:r>
            <w:r>
              <w:rPr>
                <w:rFonts w:hint="eastAsia" w:asciiTheme="minorEastAsia" w:hAnsiTheme="minorEastAsia" w:eastAsiaTheme="minorEastAsia" w:cstheme="minorEastAsia"/>
                <w:color w:val="auto"/>
                <w:sz w:val="21"/>
                <w:szCs w:val="21"/>
              </w:rPr>
              <w:t>元整(￥</w:t>
            </w:r>
            <w:r>
              <w:rPr>
                <w:rFonts w:hint="eastAsia" w:asciiTheme="minorEastAsia" w:hAnsiTheme="minorEastAsia" w:eastAsiaTheme="minorEastAsia" w:cstheme="minorEastAsia"/>
                <w:color w:val="auto"/>
                <w:sz w:val="21"/>
                <w:szCs w:val="21"/>
                <w:lang w:val="en-US" w:eastAsia="zh-CN"/>
              </w:rPr>
              <w:t>5000</w:t>
            </w:r>
            <w:r>
              <w:rPr>
                <w:rFonts w:hint="eastAsia" w:asciiTheme="minorEastAsia" w:hAnsiTheme="minorEastAsia" w:eastAsiaTheme="minorEastAsia" w:cstheme="minorEastAsia"/>
                <w:color w:val="auto"/>
                <w:sz w:val="21"/>
                <w:szCs w:val="21"/>
              </w:rPr>
              <w:t>.00元)</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户    名：中经国际招标集团有限公司湖北分公司</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开户银行：中国农业银行股份有限公司武汉岳家嘴支行</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帐    号：17053001040009288</w:t>
            </w:r>
          </w:p>
          <w:p>
            <w:pPr>
              <w:spacing w:line="240" w:lineRule="auto"/>
              <w:ind w:right="256" w:rightChars="122"/>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投标人交纳投标保证金必须从投标人的基本帐户以支票、汇票、本票、电汇或者金融机构、担保机构出具的保函等非现金形式一次性汇至中经国际招标集团有限公司湖北分公司专用账户,截止时间为递交响应文件截止时间。成交供应商签订合同后须将合同扫描件（PDF版）发送至2102252595@qq.com邮箱备案后方可退还保证金。"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lang w:eastAsia="zh-CN"/>
              </w:rPr>
              <w:t>缴纳</w:t>
            </w:r>
            <w:r>
              <w:rPr>
                <w:rFonts w:hint="eastAsia" w:asciiTheme="minorEastAsia" w:hAnsiTheme="minorEastAsia" w:eastAsiaTheme="minorEastAsia" w:cstheme="minorEastAsia"/>
                <w:color w:val="auto"/>
                <w:sz w:val="21"/>
                <w:szCs w:val="21"/>
              </w:rPr>
              <w:t>投标保证金必须从</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的基本帐户以支票、汇票、本票、电汇或者金融机构、担保机构出具的保函等非现金形式一次性汇至中经国际招标集团有限公司湖北分公司专用账户,截止时间为</w:t>
            </w:r>
            <w:r>
              <w:rPr>
                <w:rFonts w:hint="eastAsia" w:asciiTheme="minorEastAsia" w:hAnsiTheme="minorEastAsia" w:eastAsiaTheme="minorEastAsia" w:cstheme="minorEastAsia"/>
                <w:color w:val="auto"/>
                <w:sz w:val="21"/>
                <w:szCs w:val="21"/>
                <w:lang w:val="en-US" w:eastAsia="zh-CN"/>
              </w:rPr>
              <w:t>递交响应文件截止时间</w:t>
            </w:r>
            <w:r>
              <w:rPr>
                <w:rFonts w:hint="eastAsia" w:asciiTheme="minorEastAsia" w:hAnsiTheme="minorEastAsia" w:eastAsiaTheme="minorEastAsia" w:cstheme="minorEastAsia"/>
                <w:color w:val="auto"/>
                <w:sz w:val="21"/>
                <w:szCs w:val="21"/>
                <w:lang w:eastAsia="zh-CN"/>
              </w:rPr>
              <w:t>，以采购代理公司银行到账信息为准。</w:t>
            </w:r>
            <w:r>
              <w:rPr>
                <w:rFonts w:hint="eastAsia" w:asciiTheme="minorEastAsia" w:hAnsiTheme="minorEastAsia" w:eastAsiaTheme="minorEastAsia" w:cstheme="minorEastAsia"/>
                <w:color w:val="auto"/>
                <w:sz w:val="21"/>
                <w:szCs w:val="21"/>
              </w:rPr>
              <w:t>成交</w:t>
            </w:r>
            <w:r>
              <w:rPr>
                <w:rFonts w:hint="eastAsia" w:asciiTheme="minorEastAsia" w:hAnsiTheme="minorEastAsia" w:eastAsiaTheme="minorEastAsia" w:cstheme="minorEastAsia"/>
                <w:color w:val="auto"/>
                <w:sz w:val="21"/>
                <w:szCs w:val="21"/>
                <w:lang w:val="en-US" w:eastAsia="zh-CN"/>
              </w:rPr>
              <w:t>供应商</w:t>
            </w:r>
            <w:r>
              <w:rPr>
                <w:rFonts w:hint="eastAsia" w:asciiTheme="minorEastAsia" w:hAnsiTheme="minorEastAsia" w:eastAsiaTheme="minorEastAsia" w:cstheme="minorEastAsia"/>
                <w:color w:val="auto"/>
                <w:sz w:val="21"/>
                <w:szCs w:val="21"/>
              </w:rPr>
              <w:t>签订合同后须将合同扫描件（PDF版）发送至2102252595@qq.com邮箱备案后方可退还保证金。</w:t>
            </w:r>
            <w:r>
              <w:rPr>
                <w:rFonts w:hint="eastAsia" w:asciiTheme="minorEastAsia" w:hAnsiTheme="minorEastAsia" w:eastAsiaTheme="minorEastAsia" w:cstheme="minorEastAsia"/>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17.1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磋商有效期</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kern w:val="0"/>
                <w:sz w:val="21"/>
                <w:szCs w:val="21"/>
              </w:rPr>
              <w:t>自磋商截止时间起共</w:t>
            </w:r>
            <w:r>
              <w:rPr>
                <w:rFonts w:hint="eastAsia" w:asciiTheme="minorEastAsia" w:hAnsiTheme="minorEastAsia" w:eastAsiaTheme="minorEastAsia" w:cstheme="minorEastAsia"/>
                <w:color w:val="auto"/>
                <w:kern w:val="0"/>
                <w:sz w:val="21"/>
                <w:szCs w:val="21"/>
                <w:u w:val="single"/>
                <w:lang w:val="en-US" w:eastAsia="zh-CN"/>
              </w:rPr>
              <w:t xml:space="preserve"> 90 </w:t>
            </w:r>
            <w:r>
              <w:rPr>
                <w:rFonts w:hint="eastAsia" w:asciiTheme="minorEastAsia" w:hAnsiTheme="minorEastAsia" w:eastAsiaTheme="minorEastAsia" w:cstheme="minorEastAsia"/>
                <w:color w:val="auto"/>
                <w:kern w:val="0"/>
                <w:sz w:val="21"/>
                <w:szCs w:val="21"/>
              </w:rPr>
              <w:t>日历天</w:t>
            </w:r>
            <w:r>
              <w:rPr>
                <w:rFonts w:hint="eastAsia" w:asciiTheme="minorEastAsia" w:hAnsiTheme="minorEastAsia" w:eastAsiaTheme="minorEastAsia" w:cstheme="minorEastAsia"/>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zh-CN"/>
              </w:rPr>
              <w:t>18.1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竞争性磋商响应文件正、副本数量</w:t>
            </w:r>
          </w:p>
        </w:tc>
        <w:tc>
          <w:tcPr>
            <w:tcW w:w="6130" w:type="dxa"/>
            <w:vAlign w:val="center"/>
          </w:tcPr>
          <w:p>
            <w:pPr>
              <w:autoSpaceDE w:val="0"/>
              <w:autoSpaceDN w:val="0"/>
              <w:snapToGri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投标文件纸质版：正本一份（需为</w:t>
            </w:r>
            <w:r>
              <w:rPr>
                <w:rFonts w:hint="eastAsia" w:asciiTheme="minorEastAsia" w:hAnsiTheme="minorEastAsia" w:eastAsiaTheme="minorEastAsia" w:cstheme="minorEastAsia"/>
                <w:color w:val="auto"/>
                <w:sz w:val="21"/>
                <w:szCs w:val="21"/>
                <w:lang w:val="en-US" w:eastAsia="zh-CN"/>
              </w:rPr>
              <w:t>彩色打印</w:t>
            </w:r>
            <w:r>
              <w:rPr>
                <w:rFonts w:hint="eastAsia" w:asciiTheme="minorEastAsia" w:hAnsiTheme="minorEastAsia" w:eastAsiaTheme="minorEastAsia" w:cstheme="minorEastAsia"/>
                <w:color w:val="auto"/>
                <w:sz w:val="21"/>
                <w:szCs w:val="21"/>
              </w:rPr>
              <w:t>件），副本</w:t>
            </w:r>
            <w:r>
              <w:rPr>
                <w:rFonts w:hint="eastAsia" w:asciiTheme="minorEastAsia" w:hAnsiTheme="minorEastAsia" w:eastAsiaTheme="minorEastAsia" w:cstheme="minorEastAsia"/>
                <w:color w:val="auto"/>
                <w:sz w:val="21"/>
                <w:szCs w:val="21"/>
                <w:u w:val="single"/>
              </w:rPr>
              <w:t xml:space="preserve"> 两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投标文件电子版：</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□不要求</w:t>
            </w:r>
          </w:p>
          <w:p>
            <w:pPr>
              <w:autoSpaceDE w:val="0"/>
              <w:autoSpaceDN w:val="0"/>
              <w:snapToGri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bdr w:val="single" w:color="auto" w:sz="4" w:space="0"/>
              </w:rPr>
              <w:t>√</w:t>
            </w:r>
            <w:r>
              <w:rPr>
                <w:rFonts w:hint="eastAsia" w:asciiTheme="minorEastAsia" w:hAnsiTheme="minorEastAsia" w:eastAsiaTheme="minorEastAsia" w:cstheme="minorEastAsia"/>
                <w:color w:val="auto"/>
                <w:sz w:val="21"/>
                <w:szCs w:val="21"/>
              </w:rPr>
              <w:t>要求，投标文件电子版内容：</w:t>
            </w:r>
            <w:r>
              <w:rPr>
                <w:rFonts w:hint="eastAsia" w:asciiTheme="minorEastAsia" w:hAnsiTheme="minorEastAsia" w:eastAsiaTheme="minorEastAsia" w:cstheme="minorEastAsia"/>
                <w:color w:val="auto"/>
                <w:sz w:val="21"/>
                <w:szCs w:val="21"/>
                <w:u w:val="single"/>
              </w:rPr>
              <w:t>与正本保持一致</w:t>
            </w:r>
          </w:p>
          <w:p>
            <w:pPr>
              <w:autoSpaceDE w:val="0"/>
              <w:autoSpaceDN w:val="0"/>
              <w:snapToGrid w:val="0"/>
              <w:spacing w:line="240" w:lineRule="auto"/>
              <w:ind w:firstLine="840" w:firstLineChars="40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shd w:val="clear" w:color="auto" w:fill="FFFFFF"/>
              </w:rPr>
              <w:t>投标文件电子版格式：</w:t>
            </w:r>
            <w:r>
              <w:rPr>
                <w:rFonts w:hint="eastAsia" w:asciiTheme="minorEastAsia" w:hAnsiTheme="minorEastAsia" w:eastAsiaTheme="minorEastAsia" w:cstheme="minorEastAsia"/>
                <w:color w:val="auto"/>
                <w:sz w:val="21"/>
                <w:szCs w:val="21"/>
                <w:u w:val="single"/>
                <w:lang w:val="en-US" w:eastAsia="zh-CN"/>
              </w:rPr>
              <w:t>加盖公章后的</w:t>
            </w:r>
            <w:r>
              <w:rPr>
                <w:rFonts w:hint="eastAsia" w:asciiTheme="minorEastAsia" w:hAnsiTheme="minorEastAsia" w:eastAsiaTheme="minorEastAsia" w:cstheme="minorEastAsia"/>
                <w:color w:val="auto"/>
                <w:sz w:val="21"/>
                <w:szCs w:val="21"/>
                <w:u w:val="single"/>
              </w:rPr>
              <w:t>PDF</w:t>
            </w:r>
            <w:r>
              <w:rPr>
                <w:rFonts w:hint="eastAsia" w:asciiTheme="minorEastAsia" w:hAnsiTheme="minorEastAsia" w:eastAsiaTheme="minorEastAsia" w:cstheme="minorEastAsia"/>
                <w:color w:val="auto"/>
                <w:sz w:val="21"/>
                <w:szCs w:val="21"/>
                <w:u w:val="single"/>
                <w:lang w:val="en-US" w:eastAsia="zh-CN"/>
              </w:rPr>
              <w:t>扫描件</w:t>
            </w:r>
            <w:r>
              <w:rPr>
                <w:rFonts w:hint="eastAsia" w:asciiTheme="minorEastAsia" w:hAnsiTheme="minorEastAsia" w:eastAsiaTheme="minorEastAsia" w:cstheme="minorEastAsia"/>
                <w:color w:val="auto"/>
                <w:sz w:val="21"/>
                <w:szCs w:val="21"/>
                <w:u w:val="single"/>
              </w:rPr>
              <w:t>格式</w:t>
            </w:r>
            <w:r>
              <w:rPr>
                <w:rFonts w:hint="eastAsia" w:asciiTheme="minorEastAsia" w:hAnsiTheme="minorEastAsia" w:eastAsiaTheme="minorEastAsia" w:cstheme="minorEastAsia"/>
                <w:color w:val="auto"/>
                <w:sz w:val="21"/>
                <w:szCs w:val="21"/>
                <w:u w:val="single"/>
                <w:lang w:val="en-US"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投标文件电子版形式：</w:t>
            </w:r>
            <w:r>
              <w:rPr>
                <w:rFonts w:hint="eastAsia" w:asciiTheme="minorEastAsia" w:hAnsiTheme="minorEastAsia" w:eastAsiaTheme="minorEastAsia" w:cstheme="minorEastAsia"/>
                <w:color w:val="auto"/>
                <w:sz w:val="21"/>
                <w:szCs w:val="21"/>
                <w:u w:val="single"/>
              </w:rPr>
              <w:t xml:space="preserve"> U盘1份</w:t>
            </w:r>
          </w:p>
          <w:p>
            <w:pPr>
              <w:autoSpaceDE w:val="0"/>
              <w:autoSpaceDN w:val="0"/>
              <w:adjustRightInd w:val="0"/>
              <w:spacing w:line="240" w:lineRule="auto"/>
              <w:jc w:val="left"/>
              <w:rPr>
                <w:rFonts w:hint="eastAsia" w:asciiTheme="minorEastAsia" w:hAnsiTheme="minorEastAsia" w:eastAsiaTheme="minorEastAsia" w:cstheme="minorEastAsia"/>
                <w:b w:val="0"/>
                <w:bCs w:val="0"/>
                <w:color w:val="auto"/>
                <w:sz w:val="21"/>
                <w:szCs w:val="21"/>
                <w:u w:val="single"/>
              </w:rPr>
            </w:pPr>
            <w:r>
              <w:rPr>
                <w:rFonts w:hint="eastAsia" w:asciiTheme="minorEastAsia" w:hAnsiTheme="minorEastAsia" w:eastAsiaTheme="minorEastAsia" w:cstheme="minorEastAsia"/>
                <w:b w:val="0"/>
                <w:bCs w:val="0"/>
                <w:color w:val="auto"/>
                <w:sz w:val="21"/>
                <w:szCs w:val="21"/>
                <w:u w:val="none"/>
                <w:lang w:val="en-US" w:eastAsia="zh-CN"/>
              </w:rPr>
              <w:t>3、手持</w:t>
            </w:r>
            <w:r>
              <w:rPr>
                <w:rFonts w:hint="eastAsia" w:asciiTheme="minorEastAsia" w:hAnsiTheme="minorEastAsia" w:eastAsiaTheme="minorEastAsia" w:cstheme="minorEastAsia"/>
                <w:b w:val="0"/>
                <w:bCs w:val="0"/>
                <w:color w:val="auto"/>
                <w:sz w:val="21"/>
                <w:szCs w:val="21"/>
                <w:u w:val="none"/>
              </w:rPr>
              <w:t>法定代表人授权委托书（或法定代表人身份证明书）、单独</w:t>
            </w:r>
            <w:r>
              <w:rPr>
                <w:rFonts w:hint="eastAsia" w:asciiTheme="minorEastAsia" w:hAnsiTheme="minorEastAsia" w:eastAsiaTheme="minorEastAsia" w:cstheme="minorEastAsia"/>
                <w:b w:val="0"/>
                <w:bCs w:val="0"/>
                <w:color w:val="auto"/>
                <w:sz w:val="21"/>
                <w:szCs w:val="21"/>
                <w:u w:val="none"/>
                <w:lang w:val="en-US" w:eastAsia="zh-CN"/>
              </w:rPr>
              <w:t>密封</w:t>
            </w:r>
            <w:r>
              <w:rPr>
                <w:rFonts w:hint="eastAsia" w:asciiTheme="minorEastAsia" w:hAnsiTheme="minorEastAsia" w:eastAsiaTheme="minorEastAsia" w:cstheme="minorEastAsia"/>
                <w:b w:val="0"/>
                <w:bCs w:val="0"/>
                <w:color w:val="auto"/>
                <w:sz w:val="21"/>
                <w:szCs w:val="21"/>
                <w:u w:val="none"/>
              </w:rPr>
              <w:t>提供的报价一览表、优惠声明（如有）</w:t>
            </w:r>
            <w:r>
              <w:rPr>
                <w:rFonts w:hint="eastAsia" w:asciiTheme="minorEastAsia" w:hAnsiTheme="minorEastAsia" w:eastAsiaTheme="minorEastAsia" w:cstheme="minorEastAsia"/>
                <w:b w:val="0"/>
                <w:bCs w:val="0"/>
                <w:color w:val="auto"/>
                <w:sz w:val="21"/>
                <w:szCs w:val="21"/>
                <w:u w:val="none"/>
                <w:lang w:eastAsia="zh-CN"/>
              </w:rPr>
              <w:t>；</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所有响应文件概不退还，响应文件按包分开制作，分开密封。</w:t>
            </w:r>
          </w:p>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rPr>
              <w:t>纸质投标文件</w:t>
            </w:r>
            <w:r>
              <w:rPr>
                <w:rFonts w:hint="eastAsia" w:asciiTheme="minorEastAsia" w:hAnsiTheme="minorEastAsia" w:eastAsiaTheme="minorEastAsia" w:cstheme="minorEastAsia"/>
                <w:color w:val="auto"/>
                <w:sz w:val="21"/>
                <w:szCs w:val="21"/>
                <w:lang w:val="en-US" w:eastAsia="zh-CN"/>
              </w:rPr>
              <w:t>应</w:t>
            </w:r>
            <w:r>
              <w:rPr>
                <w:rFonts w:hint="eastAsia" w:asciiTheme="minorEastAsia" w:hAnsiTheme="minorEastAsia" w:eastAsiaTheme="minorEastAsia" w:cstheme="minorEastAsia"/>
                <w:color w:val="auto"/>
                <w:sz w:val="21"/>
                <w:szCs w:val="21"/>
              </w:rPr>
              <w:t>采用胶粘方</w:t>
            </w:r>
            <w:r>
              <w:rPr>
                <w:rFonts w:hint="eastAsia" w:asciiTheme="minorEastAsia" w:hAnsiTheme="minorEastAsia" w:eastAsiaTheme="minorEastAsia" w:cstheme="minorEastAsia"/>
                <w:color w:val="auto"/>
                <w:sz w:val="21"/>
                <w:szCs w:val="21"/>
                <w:lang w:val="zh-CN"/>
              </w:rPr>
              <w:t>式装订,装订应牢固、不易拆散和换页。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24"/>
              <w:widowControl w:val="0"/>
              <w:autoSpaceDE w:val="0"/>
              <w:autoSpaceDN w:val="0"/>
              <w:adjustRightInd w:val="0"/>
              <w:spacing w:before="31" w:beforeLines="10" w:beforeAutospacing="0" w:after="31" w:afterLines="10" w:afterAutospacing="0" w:line="240" w:lineRule="auto"/>
              <w:ind w:left="21" w:leftChars="10" w:right="21" w:rightChars="10"/>
              <w:jc w:val="center"/>
              <w:rPr>
                <w:rFonts w:hint="eastAsia" w:asciiTheme="minorEastAsia" w:hAnsiTheme="minorEastAsia" w:eastAsiaTheme="minorEastAsia" w:cstheme="minorEastAsia"/>
                <w:color w:val="auto"/>
                <w:kern w:val="2"/>
                <w:sz w:val="21"/>
                <w:szCs w:val="21"/>
                <w:lang w:val="zh-CN"/>
              </w:rPr>
            </w:pPr>
            <w:r>
              <w:rPr>
                <w:rFonts w:hint="eastAsia" w:asciiTheme="minorEastAsia" w:hAnsiTheme="minorEastAsia" w:eastAsiaTheme="minorEastAsia" w:cstheme="minorEastAsia"/>
                <w:color w:val="auto"/>
                <w:kern w:val="2"/>
                <w:sz w:val="21"/>
                <w:szCs w:val="21"/>
                <w:lang w:val="en-US" w:eastAsia="zh-CN"/>
              </w:rPr>
              <w:t>19.1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竞争性磋商响应文件的密封和标记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rPr>
              <w:t>本条款细化为：响应文件</w:t>
            </w:r>
            <w:r>
              <w:rPr>
                <w:rFonts w:hint="eastAsia" w:asciiTheme="minorEastAsia" w:hAnsiTheme="minorEastAsia" w:eastAsiaTheme="minorEastAsia" w:cstheme="minorEastAsia"/>
                <w:color w:val="auto"/>
                <w:kern w:val="0"/>
                <w:sz w:val="21"/>
                <w:szCs w:val="21"/>
                <w:lang w:eastAsia="zh-CN"/>
              </w:rPr>
              <w:t>正本</w:t>
            </w:r>
            <w:r>
              <w:rPr>
                <w:rFonts w:hint="eastAsia" w:asciiTheme="minorEastAsia" w:hAnsiTheme="minorEastAsia" w:eastAsiaTheme="minorEastAsia" w:cstheme="minorEastAsia"/>
                <w:color w:val="auto"/>
                <w:kern w:val="0"/>
                <w:sz w:val="21"/>
                <w:szCs w:val="21"/>
              </w:rPr>
              <w:t>需逐页加盖供应商单位公章，不得使用单位其他专用章代替。</w:t>
            </w:r>
            <w:r>
              <w:rPr>
                <w:rFonts w:hint="eastAsia" w:asciiTheme="minorEastAsia" w:hAnsiTheme="minorEastAsia" w:eastAsiaTheme="minorEastAsia" w:cstheme="minorEastAsia"/>
                <w:color w:val="auto"/>
                <w:kern w:val="0"/>
                <w:sz w:val="21"/>
                <w:szCs w:val="21"/>
                <w:lang w:eastAsia="zh-CN"/>
              </w:rPr>
              <w:t>因签字盖章问题导致的响应材料被否决或竞标受影响的情况，其后果供应商自行承担。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19.4</w:t>
            </w:r>
          </w:p>
        </w:tc>
        <w:tc>
          <w:tcPr>
            <w:tcW w:w="2127" w:type="dxa"/>
            <w:vAlign w:val="center"/>
          </w:tcPr>
          <w:p>
            <w:pPr>
              <w:autoSpaceDE w:val="0"/>
              <w:autoSpaceDN w:val="0"/>
              <w:adjustRightIn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样品</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kern w:val="0"/>
                <w:sz w:val="21"/>
                <w:szCs w:val="21"/>
                <w:lang w:val="zh-CN"/>
              </w:rPr>
            </w:pPr>
            <w:r>
              <w:rPr>
                <w:rFonts w:hint="eastAsia" w:ascii="宋体" w:hAnsi="宋体" w:cs="宋体"/>
                <w:color w:val="auto"/>
                <w:szCs w:val="21"/>
                <w:lang w:val="zh-CN"/>
              </w:rPr>
              <w:t>提交及退还样品的相关规定：</w:t>
            </w:r>
            <w:r>
              <w:rPr>
                <w:rFonts w:hint="eastAsia" w:ascii="宋体" w:hAnsi="宋体" w:cs="宋体"/>
                <w:color w:val="auto"/>
                <w:szCs w:val="21"/>
              </w:rPr>
              <w:t>供应商在投标时需</w:t>
            </w:r>
            <w:r>
              <w:rPr>
                <w:rFonts w:hint="eastAsia" w:ascii="宋体" w:hAnsi="宋体" w:cs="宋体"/>
                <w:color w:val="auto"/>
                <w:szCs w:val="21"/>
                <w:lang w:val="zh-CN"/>
              </w:rPr>
              <w:t>提供一整套军训服（迷彩服、T恤、胶鞋、帽、腰带、马扎）样品。（样品尺码不限），样品整套密封，并标明供应商名称；供应商提供的所有</w:t>
            </w:r>
            <w:r>
              <w:rPr>
                <w:rFonts w:hint="eastAsia" w:ascii="宋体" w:hAnsi="宋体" w:cs="宋体"/>
                <w:color w:val="auto"/>
                <w:szCs w:val="21"/>
              </w:rPr>
              <w:t xml:space="preserve"> </w:t>
            </w:r>
            <w:r>
              <w:rPr>
                <w:rFonts w:hint="eastAsia" w:ascii="宋体" w:hAnsi="宋体" w:cs="宋体"/>
                <w:color w:val="auto"/>
                <w:szCs w:val="21"/>
                <w:lang w:val="zh-CN"/>
              </w:rPr>
              <w:t>品目的投标样品，成交后封存，作为验收依据。未成交的供应商在成交公告发布之后退还。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kern w:val="0"/>
                <w:sz w:val="21"/>
                <w:szCs w:val="21"/>
                <w:lang w:val="zh-CN"/>
              </w:rPr>
              <w:t>响应文件送达地点及递交截止时间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详见第一章第四款相关要求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磋商小组人数</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3人或3人以上单数组成，其中采购人代表不超过成员总数的三分之一，外聘经济及技术专家在省政府采购专家库中随机抽取。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bCs/>
                <w:snapToGrid w:val="0"/>
                <w:color w:val="auto"/>
                <w:kern w:val="0"/>
                <w:sz w:val="21"/>
                <w:szCs w:val="21"/>
                <w:lang w:val="en-US" w:eastAsia="zh-CN"/>
              </w:rPr>
            </w:pPr>
            <w:r>
              <w:rPr>
                <w:rFonts w:hint="eastAsia" w:asciiTheme="minorEastAsia" w:hAnsiTheme="minorEastAsia" w:eastAsiaTheme="minorEastAsia" w:cstheme="minorEastAsia"/>
                <w:b/>
                <w:bCs/>
                <w:snapToGrid w:val="0"/>
                <w:color w:val="auto"/>
                <w:kern w:val="0"/>
                <w:sz w:val="21"/>
                <w:szCs w:val="21"/>
                <w:lang w:val="en-US" w:eastAsia="zh-CN"/>
              </w:rPr>
              <w:t>磋商代表</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
                <w:bCs/>
                <w:color w:val="auto"/>
                <w:sz w:val="21"/>
                <w:szCs w:val="21"/>
                <w:lang w:val="zh-CN"/>
              </w:rPr>
            </w:pPr>
            <w:r>
              <w:rPr>
                <w:rFonts w:hint="eastAsia" w:asciiTheme="minorEastAsia" w:hAnsiTheme="minorEastAsia" w:eastAsiaTheme="minorEastAsia" w:cstheme="minorEastAsia"/>
                <w:b/>
                <w:bCs/>
                <w:color w:val="auto"/>
                <w:sz w:val="21"/>
                <w:szCs w:val="21"/>
                <w:lang w:val="zh-CN" w:eastAsia="zh-CN"/>
              </w:rPr>
              <w:t>建议供应商拟派出席磋商会议的磋商代表为熟知本项目的技术人员或商务负责人等能</w:t>
            </w:r>
            <w:r>
              <w:rPr>
                <w:rFonts w:hint="eastAsia" w:asciiTheme="minorEastAsia" w:hAnsiTheme="minorEastAsia" w:eastAsiaTheme="minorEastAsia" w:cstheme="minorEastAsia"/>
                <w:b/>
                <w:bCs/>
                <w:color w:val="auto"/>
                <w:sz w:val="21"/>
                <w:szCs w:val="21"/>
                <w:lang w:val="en-US" w:eastAsia="zh-CN"/>
              </w:rPr>
              <w:t>为磋商小组详细介绍供应商公司情况及项目了解情况的</w:t>
            </w:r>
            <w:r>
              <w:rPr>
                <w:rFonts w:hint="eastAsia" w:asciiTheme="minorEastAsia" w:hAnsiTheme="minorEastAsia" w:eastAsiaTheme="minorEastAsia" w:cstheme="minorEastAsia"/>
                <w:b/>
                <w:bCs/>
                <w:color w:val="auto"/>
                <w:sz w:val="21"/>
                <w:szCs w:val="21"/>
                <w:lang w:val="zh-CN" w:eastAsia="zh-CN"/>
              </w:rPr>
              <w:t>具有依法缴纳社会保障资金良好记录（磋商现场查询）的在职工作人员，以便在评审过程中进行可能出现的答疑或澄清。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26.4</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提交最后报价供应商的确定方式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采购代理机构将竞争性磋商第二轮报价表（磋商承诺书）发放至所有通过了资格审查及符合性审查的磋商供应商，磋商供应商应在指定的时间内提交满足要求的最后报价，</w:t>
            </w:r>
            <w:r>
              <w:rPr>
                <w:rFonts w:hint="eastAsia" w:asciiTheme="minorEastAsia" w:hAnsiTheme="minorEastAsia" w:eastAsiaTheme="minorEastAsia" w:cstheme="minorEastAsia"/>
                <w:snapToGrid w:val="0"/>
                <w:color w:val="auto"/>
                <w:kern w:val="0"/>
                <w:sz w:val="21"/>
                <w:szCs w:val="21"/>
                <w:lang w:val="en-US" w:eastAsia="zh-CN"/>
              </w:rPr>
              <w:t>在指定地点以</w:t>
            </w:r>
            <w:r>
              <w:rPr>
                <w:rFonts w:hint="eastAsia" w:asciiTheme="minorEastAsia" w:hAnsiTheme="minorEastAsia" w:eastAsiaTheme="minorEastAsia" w:cstheme="minorEastAsia"/>
                <w:snapToGrid w:val="0"/>
                <w:color w:val="auto"/>
                <w:kern w:val="0"/>
                <w:sz w:val="21"/>
                <w:szCs w:val="21"/>
                <w:lang w:val="zh-CN"/>
              </w:rPr>
              <w:t>密封</w:t>
            </w:r>
            <w:r>
              <w:rPr>
                <w:rFonts w:hint="eastAsia" w:asciiTheme="minorEastAsia" w:hAnsiTheme="minorEastAsia" w:eastAsiaTheme="minorEastAsia" w:cstheme="minorEastAsia"/>
                <w:snapToGrid w:val="0"/>
                <w:color w:val="auto"/>
                <w:kern w:val="0"/>
                <w:sz w:val="21"/>
                <w:szCs w:val="21"/>
                <w:lang w:val="en-US" w:eastAsia="zh-CN"/>
              </w:rPr>
              <w:t>等形式</w:t>
            </w:r>
            <w:r>
              <w:rPr>
                <w:rFonts w:hint="eastAsia" w:asciiTheme="minorEastAsia" w:hAnsiTheme="minorEastAsia" w:eastAsiaTheme="minorEastAsia" w:cstheme="minorEastAsia"/>
                <w:snapToGrid w:val="0"/>
                <w:color w:val="auto"/>
                <w:kern w:val="0"/>
                <w:sz w:val="21"/>
                <w:szCs w:val="21"/>
                <w:lang w:val="zh-CN"/>
              </w:rPr>
              <w:t>递交</w:t>
            </w:r>
            <w:r>
              <w:rPr>
                <w:rFonts w:hint="eastAsia" w:asciiTheme="minorEastAsia" w:hAnsiTheme="minorEastAsia" w:eastAsiaTheme="minorEastAsia" w:cstheme="minorEastAsia"/>
                <w:snapToGrid w:val="0"/>
                <w:color w:val="auto"/>
                <w:kern w:val="0"/>
                <w:sz w:val="21"/>
                <w:szCs w:val="21"/>
                <w:lang w:val="en-US" w:eastAsia="zh-CN"/>
              </w:rPr>
              <w:t>给采购代理机构指定现场工作人员或</w:t>
            </w:r>
            <w:r>
              <w:rPr>
                <w:rFonts w:hint="eastAsia" w:asciiTheme="minorEastAsia" w:hAnsiTheme="minorEastAsia" w:eastAsiaTheme="minorEastAsia" w:cstheme="minorEastAsia"/>
                <w:snapToGrid w:val="0"/>
                <w:color w:val="auto"/>
                <w:kern w:val="0"/>
                <w:sz w:val="21"/>
                <w:szCs w:val="21"/>
                <w:lang w:val="zh-CN"/>
              </w:rPr>
              <w:t>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推荐成交候选</w:t>
            </w:r>
            <w:r>
              <w:rPr>
                <w:rFonts w:hint="eastAsia" w:asciiTheme="minorEastAsia" w:hAnsiTheme="minorEastAsia" w:eastAsiaTheme="minorEastAsia" w:cstheme="minorEastAsia"/>
                <w:snapToGrid w:val="0"/>
                <w:color w:val="auto"/>
                <w:kern w:val="0"/>
                <w:sz w:val="21"/>
                <w:szCs w:val="21"/>
                <w:lang w:val="en-US" w:eastAsia="zh-CN"/>
              </w:rPr>
              <w:t>供应商</w:t>
            </w:r>
            <w:r>
              <w:rPr>
                <w:rFonts w:hint="eastAsia" w:asciiTheme="minorEastAsia" w:hAnsiTheme="minorEastAsia" w:eastAsiaTheme="minorEastAsia" w:cstheme="minorEastAsia"/>
                <w:snapToGrid w:val="0"/>
                <w:color w:val="auto"/>
                <w:kern w:val="0"/>
                <w:sz w:val="21"/>
                <w:szCs w:val="21"/>
                <w:lang w:val="zh-CN"/>
              </w:rPr>
              <w:t>数量</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rPr>
              <w:t>本项目推荐</w:t>
            </w:r>
            <w:r>
              <w:rPr>
                <w:rFonts w:hint="eastAsia" w:asciiTheme="minorEastAsia" w:hAnsiTheme="minorEastAsia" w:eastAsiaTheme="minorEastAsia" w:cstheme="minorEastAsia"/>
                <w:bCs/>
                <w:color w:val="auto"/>
                <w:kern w:val="44"/>
                <w:sz w:val="21"/>
                <w:szCs w:val="21"/>
                <w:u w:val="single"/>
                <w:lang w:val="en-US" w:eastAsia="zh-CN"/>
              </w:rPr>
              <w:t>3</w:t>
            </w:r>
            <w:r>
              <w:rPr>
                <w:rFonts w:hint="eastAsia" w:asciiTheme="minorEastAsia" w:hAnsiTheme="minorEastAsia" w:eastAsiaTheme="minorEastAsia" w:cstheme="minorEastAsia"/>
                <w:bCs/>
                <w:color w:val="auto"/>
                <w:kern w:val="44"/>
                <w:sz w:val="21"/>
                <w:szCs w:val="21"/>
              </w:rPr>
              <w:t>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28.5</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snapToGrid w:val="0"/>
                <w:color w:val="auto"/>
                <w:kern w:val="0"/>
                <w:sz w:val="21"/>
                <w:szCs w:val="21"/>
                <w:lang w:val="zh-CN"/>
              </w:rPr>
            </w:pPr>
            <w:r>
              <w:rPr>
                <w:rFonts w:hint="eastAsia" w:asciiTheme="minorEastAsia" w:hAnsiTheme="minorEastAsia" w:eastAsiaTheme="minorEastAsia" w:cstheme="minorEastAsia"/>
                <w:snapToGrid w:val="0"/>
                <w:color w:val="auto"/>
                <w:kern w:val="0"/>
                <w:sz w:val="21"/>
                <w:szCs w:val="21"/>
                <w:lang w:val="zh-CN"/>
              </w:rPr>
              <w:t>成交通知书的领</w:t>
            </w:r>
            <w:r>
              <w:rPr>
                <w:rFonts w:hint="eastAsia" w:asciiTheme="minorEastAsia" w:hAnsiTheme="minorEastAsia" w:eastAsiaTheme="minorEastAsia" w:cstheme="minorEastAsia"/>
                <w:snapToGrid w:val="0"/>
                <w:color w:val="auto"/>
                <w:kern w:val="0"/>
                <w:sz w:val="21"/>
                <w:szCs w:val="21"/>
                <w:lang w:val="en-US" w:eastAsia="zh-CN"/>
              </w:rPr>
              <w:t>时</w:t>
            </w:r>
            <w:r>
              <w:rPr>
                <w:rFonts w:hint="eastAsia" w:asciiTheme="minorEastAsia" w:hAnsiTheme="minorEastAsia" w:eastAsiaTheme="minorEastAsia" w:cstheme="minorEastAsia"/>
                <w:snapToGrid w:val="0"/>
                <w:color w:val="auto"/>
                <w:kern w:val="0"/>
                <w:sz w:val="21"/>
                <w:szCs w:val="21"/>
                <w:lang w:val="zh-CN"/>
              </w:rPr>
              <w:t>间</w:t>
            </w:r>
          </w:p>
        </w:tc>
        <w:tc>
          <w:tcPr>
            <w:tcW w:w="6130" w:type="dxa"/>
            <w:vAlign w:val="center"/>
          </w:tcPr>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rPr>
              <w:t>成交通知书与成交结果公告同时发出，成交供应商在成交结果公告</w:t>
            </w:r>
          </w:p>
          <w:p>
            <w:pPr>
              <w:autoSpaceDE w:val="0"/>
              <w:autoSpaceDN w:val="0"/>
              <w:adjustRightInd w:val="0"/>
              <w:spacing w:line="240" w:lineRule="auto"/>
              <w:jc w:val="left"/>
              <w:rPr>
                <w:rFonts w:hint="eastAsia"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rPr>
              <w:t>发布以后即可</w:t>
            </w:r>
            <w:r>
              <w:rPr>
                <w:rFonts w:hint="eastAsia" w:asciiTheme="minorEastAsia" w:hAnsiTheme="minorEastAsia" w:eastAsiaTheme="minorEastAsia" w:cstheme="minorEastAsia"/>
                <w:bCs/>
                <w:color w:val="auto"/>
                <w:kern w:val="44"/>
                <w:sz w:val="21"/>
                <w:szCs w:val="21"/>
                <w:lang w:val="en-US" w:eastAsia="zh-CN"/>
              </w:rPr>
              <w:t>联系采购代理机构</w:t>
            </w:r>
            <w:r>
              <w:rPr>
                <w:rFonts w:hint="eastAsia" w:asciiTheme="minorEastAsia" w:hAnsiTheme="minorEastAsia" w:eastAsiaTheme="minorEastAsia" w:cstheme="minorEastAsia"/>
                <w:bCs/>
                <w:color w:val="auto"/>
                <w:kern w:val="44"/>
                <w:sz w:val="21"/>
                <w:szCs w:val="21"/>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9071" w:type="dxa"/>
            <w:gridSpan w:val="3"/>
            <w:vAlign w:val="center"/>
          </w:tcPr>
          <w:p>
            <w:pPr>
              <w:autoSpaceDE w:val="0"/>
              <w:autoSpaceDN w:val="0"/>
              <w:adjustRightInd w:val="0"/>
              <w:snapToGrid w:val="0"/>
              <w:spacing w:before="31" w:beforeLines="10" w:after="31" w:afterLines="10" w:line="240" w:lineRule="auto"/>
              <w:ind w:right="21" w:rightChars="10"/>
              <w:jc w:val="center"/>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b/>
                <w:bCs/>
                <w:color w:val="auto"/>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报价方式</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本项目按每套综合单价报价。本项目竞标报价为“交钥匙”价。竞标报价应包括完成该项目的货物</w:t>
            </w:r>
            <w:r>
              <w:rPr>
                <w:rFonts w:hint="eastAsia" w:asciiTheme="minorEastAsia" w:hAnsiTheme="minorEastAsia" w:eastAsiaTheme="minorEastAsia" w:cstheme="minorEastAsia"/>
                <w:color w:val="auto"/>
                <w:sz w:val="21"/>
                <w:szCs w:val="21"/>
                <w:lang w:val="en-US" w:eastAsia="zh-CN"/>
              </w:rPr>
              <w:t>本身</w:t>
            </w:r>
            <w:r>
              <w:rPr>
                <w:rFonts w:hint="eastAsia" w:asciiTheme="minorEastAsia" w:hAnsiTheme="minorEastAsia" w:eastAsiaTheme="minorEastAsia" w:cstheme="minorEastAsia"/>
                <w:color w:val="auto"/>
                <w:sz w:val="21"/>
                <w:szCs w:val="21"/>
                <w:lang w:val="zh-CN"/>
              </w:rPr>
              <w:t>、包装、人工、运输、仓储、保险、各种税费、专利技术及质保期间等一切服务费用及其他售后服务等全部相关工作。合同签订后采购人未提出增加工作内容的情况下，合同价不得调整。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各供应商按此要求进行报价，同时在合同实施过程中还将发生的其它费用</w:t>
            </w:r>
            <w:r>
              <w:rPr>
                <w:rFonts w:hint="eastAsia" w:asciiTheme="minorEastAsia" w:hAnsiTheme="minorEastAsia" w:eastAsiaTheme="minorEastAsia" w:cstheme="minorEastAsia"/>
                <w:color w:val="auto"/>
                <w:sz w:val="21"/>
                <w:szCs w:val="21"/>
                <w:lang w:val="en-US" w:eastAsia="zh-CN"/>
              </w:rPr>
              <w:t>也</w:t>
            </w:r>
            <w:r>
              <w:rPr>
                <w:rFonts w:hint="eastAsia" w:asciiTheme="minorEastAsia" w:hAnsiTheme="minorEastAsia" w:eastAsiaTheme="minorEastAsia" w:cstheme="minorEastAsia"/>
                <w:color w:val="auto"/>
                <w:sz w:val="21"/>
                <w:szCs w:val="21"/>
                <w:lang w:val="zh-CN"/>
              </w:rPr>
              <w:t>应包含在总价中，对在合同实施过程中可能发生的其它费用（如：增加耗材、材料涨价、人工、运输成本增加等因素），</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lang w:val="zh-CN"/>
              </w:rPr>
              <w:t>概不负责。</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对于</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文件未列明，而</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lang w:val="zh-CN"/>
              </w:rPr>
              <w:t>供应商认为</w:t>
            </w:r>
            <w:r>
              <w:rPr>
                <w:rFonts w:hint="eastAsia" w:asciiTheme="minorEastAsia" w:hAnsiTheme="minorEastAsia" w:eastAsiaTheme="minorEastAsia" w:cstheme="minorEastAsia"/>
                <w:color w:val="auto"/>
                <w:sz w:val="21"/>
                <w:szCs w:val="21"/>
                <w:lang w:val="en-US" w:eastAsia="zh-CN"/>
              </w:rPr>
              <w:t>必须</w:t>
            </w:r>
            <w:r>
              <w:rPr>
                <w:rFonts w:hint="eastAsia" w:asciiTheme="minorEastAsia" w:hAnsiTheme="minorEastAsia" w:eastAsiaTheme="minorEastAsia" w:cstheme="minorEastAsia"/>
                <w:color w:val="auto"/>
                <w:sz w:val="21"/>
                <w:szCs w:val="21"/>
                <w:lang w:val="zh-CN"/>
              </w:rPr>
              <w:t>的费用也需列入总报价。在合同实施时，采购人将不予支付</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lang w:val="zh-CN"/>
              </w:rPr>
              <w:t>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踏勘现场</w:t>
            </w:r>
          </w:p>
        </w:tc>
        <w:tc>
          <w:tcPr>
            <w:tcW w:w="6130" w:type="dxa"/>
            <w:vAlign w:val="center"/>
          </w:tcPr>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采购人不组织统一踏勘，</w:t>
            </w:r>
            <w:r>
              <w:rPr>
                <w:rFonts w:hint="eastAsia" w:asciiTheme="minorEastAsia" w:hAnsiTheme="minorEastAsia" w:eastAsiaTheme="minorEastAsia" w:cstheme="minorEastAsia"/>
                <w:color w:val="auto"/>
                <w:sz w:val="21"/>
                <w:szCs w:val="21"/>
              </w:rPr>
              <w:t>请各供应商自行踏勘现场；</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□组织，踏勘时间：</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踏勘集中地点：</w:t>
            </w:r>
          </w:p>
          <w:p>
            <w:pPr>
              <w:autoSpaceDE w:val="0"/>
              <w:autoSpaceDN w:val="0"/>
              <w:adjustRightInd w:val="0"/>
              <w:snapToGrid w:val="0"/>
              <w:spacing w:before="31" w:beforeLines="10" w:after="31" w:afterLines="10" w:line="240" w:lineRule="auto"/>
              <w:ind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踏勘联系人：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注：1、</w:t>
            </w:r>
            <w:r>
              <w:rPr>
                <w:rFonts w:hint="eastAsia" w:asciiTheme="minorEastAsia" w:hAnsiTheme="minorEastAsia" w:eastAsiaTheme="minorEastAsia" w:cstheme="minorEastAsia"/>
                <w:color w:val="auto"/>
                <w:sz w:val="21"/>
                <w:szCs w:val="21"/>
              </w:rPr>
              <w:t>供应商承担踏勘现场所发生的自身费用；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供应商应承担踏勘现场的责任和风险。</w:t>
            </w:r>
          </w:p>
          <w:p>
            <w:pPr>
              <w:numPr>
                <w:ilvl w:val="0"/>
                <w:numId w:val="0"/>
              </w:numPr>
              <w:autoSpaceDE w:val="0"/>
              <w:autoSpaceDN w:val="0"/>
              <w:adjustRightInd w:val="0"/>
              <w:snapToGrid w:val="0"/>
              <w:spacing w:before="31" w:beforeLines="10" w:after="31" w:afterLines="10" w:line="240" w:lineRule="auto"/>
              <w:ind w:left="0" w:leftChars="0" w:right="21" w:rightChars="10"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采购人在踏勘现场中介绍的项目</w:t>
            </w:r>
            <w:r>
              <w:rPr>
                <w:rFonts w:hint="eastAsia" w:asciiTheme="minorEastAsia" w:hAnsiTheme="minorEastAsia" w:eastAsiaTheme="minorEastAsia" w:cstheme="minorEastAsia"/>
                <w:color w:val="auto"/>
                <w:sz w:val="21"/>
                <w:szCs w:val="21"/>
                <w:lang w:val="en-US" w:eastAsia="zh-CN"/>
              </w:rPr>
              <w:t>背景及项目现场</w:t>
            </w:r>
            <w:r>
              <w:rPr>
                <w:rFonts w:hint="eastAsia" w:asciiTheme="minorEastAsia" w:hAnsiTheme="minorEastAsia" w:eastAsiaTheme="minorEastAsia" w:cstheme="minorEastAsia"/>
                <w:color w:val="auto"/>
                <w:sz w:val="21"/>
                <w:szCs w:val="21"/>
              </w:rPr>
              <w:t>和相关的周边环境情况，供应商在编制响应文件时参考，采购人和采购代理机构不对供应商据此作出的判断和决策负责。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2127" w:type="dxa"/>
            <w:vAlign w:val="center"/>
          </w:tcPr>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核心产品</w:t>
            </w:r>
          </w:p>
          <w:p>
            <w:pPr>
              <w:autoSpaceDE w:val="0"/>
              <w:autoSpaceDN w:val="0"/>
              <w:adjustRightInd w:val="0"/>
              <w:spacing w:before="31" w:beforeLines="10" w:after="31" w:afterLines="10" w:line="240" w:lineRule="auto"/>
              <w:ind w:left="21" w:leftChars="10" w:right="21" w:rightChars="10"/>
              <w:jc w:val="center"/>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（本项目不适用）</w:t>
            </w:r>
          </w:p>
        </w:tc>
        <w:tc>
          <w:tcPr>
            <w:tcW w:w="6130" w:type="dxa"/>
            <w:vAlign w:val="center"/>
          </w:tcPr>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本项目核心产品：</w:t>
            </w:r>
            <w:r>
              <w:rPr>
                <w:rFonts w:hint="eastAsia" w:asciiTheme="minorEastAsia" w:hAnsiTheme="minorEastAsia" w:eastAsiaTheme="minorEastAsia" w:cstheme="minorEastAsia"/>
                <w:color w:val="auto"/>
                <w:sz w:val="21"/>
                <w:szCs w:val="21"/>
                <w:u w:val="single"/>
              </w:rPr>
              <w:t>/</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1.提供相同品牌产品且通过资格审查、符合性审查的不同供应商参</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加同一合同项下投标的，按一家供应商计算，评审后得分最高的同</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品牌供应商获得成交供应商推荐资格；评审得分相同的，采取随机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抽取方式确定，其他同品牌供应商不作为</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候选人。</w:t>
            </w:r>
          </w:p>
          <w:p>
            <w:pPr>
              <w:numPr>
                <w:ilvl w:val="0"/>
                <w:numId w:val="0"/>
              </w:numPr>
              <w:autoSpaceDE w:val="0"/>
              <w:autoSpaceDN w:val="0"/>
              <w:adjustRightInd w:val="0"/>
              <w:snapToGrid w:val="0"/>
              <w:spacing w:before="31" w:beforeLines="10" w:after="31" w:afterLines="10" w:line="240" w:lineRule="auto"/>
              <w:ind w:leftChars="0" w:right="21" w:rightChars="1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2.若核心产品不止 1 个，各供应商所投任一核心产品的品牌相同，</w:t>
            </w:r>
          </w:p>
          <w:p>
            <w:pPr>
              <w:numPr>
                <w:ilvl w:val="0"/>
                <w:numId w:val="0"/>
              </w:numPr>
              <w:autoSpaceDE w:val="0"/>
              <w:autoSpaceDN w:val="0"/>
              <w:adjustRightInd w:val="0"/>
              <w:snapToGrid w:val="0"/>
              <w:spacing w:before="31" w:beforeLines="10" w:after="31" w:afterLines="10" w:line="240" w:lineRule="auto"/>
              <w:ind w:left="0" w:leftChars="0" w:right="21" w:rightChars="10" w:firstLine="0" w:firstLine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则按一家供应商计算。</w:t>
            </w:r>
          </w:p>
        </w:tc>
      </w:tr>
    </w:tbl>
    <w:p>
      <w:pPr>
        <w:rPr>
          <w:rFonts w:hint="eastAsia" w:asciiTheme="minorEastAsia" w:hAnsiTheme="minorEastAsia" w:eastAsiaTheme="minorEastAsia" w:cstheme="minorEastAsia"/>
          <w:b/>
          <w:color w:val="auto"/>
          <w:szCs w:val="21"/>
        </w:rPr>
      </w:pPr>
      <w:bookmarkStart w:id="27" w:name="_Toc19309"/>
      <w:r>
        <w:rPr>
          <w:rFonts w:hint="eastAsia" w:asciiTheme="minorEastAsia" w:hAnsiTheme="minorEastAsia" w:eastAsiaTheme="minorEastAsia" w:cstheme="minorEastAsia"/>
          <w:b/>
          <w:color w:val="auto"/>
          <w:szCs w:val="21"/>
        </w:rPr>
        <w:br w:type="page"/>
      </w:r>
    </w:p>
    <w:p>
      <w:pPr>
        <w:spacing w:line="360" w:lineRule="auto"/>
        <w:outlineLvl w:val="1"/>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供应商须知</w:t>
      </w:r>
      <w:bookmarkEnd w:id="27"/>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28" w:name="_Toc19164"/>
      <w:r>
        <w:rPr>
          <w:rFonts w:hint="eastAsia" w:asciiTheme="minorEastAsia" w:hAnsiTheme="minorEastAsia" w:eastAsiaTheme="minorEastAsia" w:cstheme="minorEastAsia"/>
          <w:b/>
          <w:color w:val="auto"/>
          <w:szCs w:val="21"/>
        </w:rPr>
        <w:t>总则</w:t>
      </w:r>
      <w:bookmarkEnd w:id="28"/>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29" w:name="_Toc27243"/>
      <w:bookmarkStart w:id="30" w:name="_Toc7383"/>
      <w:r>
        <w:rPr>
          <w:rFonts w:hint="eastAsia" w:asciiTheme="minorEastAsia" w:hAnsiTheme="minorEastAsia" w:eastAsiaTheme="minorEastAsia" w:cstheme="minorEastAsia"/>
          <w:b/>
          <w:color w:val="auto"/>
          <w:szCs w:val="21"/>
        </w:rPr>
        <w:t>适用法律及范围</w:t>
      </w:r>
      <w:bookmarkEnd w:id="29"/>
      <w:bookmarkEnd w:id="30"/>
    </w:p>
    <w:p>
      <w:pPr>
        <w:numPr>
          <w:ilvl w:val="1"/>
          <w:numId w:val="12"/>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本竞争性磋商采购文件仅适用于本次竞争性磋商中所述的项目的采购。</w:t>
      </w:r>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31" w:name="_Toc18687"/>
      <w:bookmarkStart w:id="32" w:name="_Toc30547"/>
      <w:r>
        <w:rPr>
          <w:rFonts w:hint="eastAsia" w:asciiTheme="minorEastAsia" w:hAnsiTheme="minorEastAsia" w:eastAsiaTheme="minorEastAsia" w:cstheme="minorEastAsia"/>
          <w:b/>
          <w:color w:val="auto"/>
          <w:szCs w:val="21"/>
        </w:rPr>
        <w:t>定义</w:t>
      </w:r>
      <w:bookmarkEnd w:id="31"/>
      <w:bookmarkEnd w:id="32"/>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“采购人”：本次磋商的采购人见《供应商须知前附表》。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“监管部门”：本次磋商的监管部门见《供应商须知前附表》。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“采购代理机构”：本次磋商的采购代理机构见《供应商须知前附表》。</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“供应商”是指获取本竞争性磋商采购文件的法人、其他组织或者自然人。</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“磋商供应商”是指</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符合</w:t>
      </w:r>
      <w:r>
        <w:rPr>
          <w:rFonts w:hint="eastAsia" w:asciiTheme="minorEastAsia" w:hAnsiTheme="minorEastAsia" w:eastAsiaTheme="minorEastAsia" w:cstheme="minorEastAsia"/>
          <w:color w:val="auto"/>
          <w:szCs w:val="21"/>
        </w:rPr>
        <w:t>具备《中华人民共和国政府采购法》第二十二条规定的条件；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符合《供应商须知前附表》的相应条件；</w:t>
      </w:r>
    </w:p>
    <w:p>
      <w:pPr>
        <w:numPr>
          <w:ilvl w:val="3"/>
          <w:numId w:val="11"/>
        </w:numPr>
        <w:tabs>
          <w:tab w:val="left" w:pos="0"/>
          <w:tab w:val="clear" w:pos="2040"/>
        </w:tabs>
        <w:spacing w:line="360" w:lineRule="auto"/>
        <w:ind w:left="0" w:firstLine="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通过竞争性磋商采购评定办法中初步审核的供应商。</w:t>
      </w:r>
    </w:p>
    <w:p>
      <w:pPr>
        <w:numPr>
          <w:ilvl w:val="1"/>
          <w:numId w:val="13"/>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“成交供应商”</w:t>
      </w:r>
      <w:r>
        <w:rPr>
          <w:rFonts w:hint="eastAsia" w:asciiTheme="minorEastAsia" w:hAnsiTheme="minorEastAsia" w:eastAsiaTheme="minorEastAsia" w:cstheme="minorEastAsia"/>
          <w:snapToGrid w:val="0"/>
          <w:color w:val="auto"/>
          <w:kern w:val="0"/>
          <w:szCs w:val="21"/>
          <w:lang w:val="zh-CN"/>
        </w:rPr>
        <w:t xml:space="preserve"> 是指经磋商小组评审推荐，采购人授予合同的供应商。</w:t>
      </w:r>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33" w:name="_Toc25967"/>
      <w:bookmarkStart w:id="34" w:name="_Toc30503"/>
      <w:r>
        <w:rPr>
          <w:rFonts w:hint="eastAsia" w:asciiTheme="minorEastAsia" w:hAnsiTheme="minorEastAsia" w:eastAsiaTheme="minorEastAsia" w:cstheme="minorEastAsia"/>
          <w:b/>
          <w:snapToGrid w:val="0"/>
          <w:color w:val="auto"/>
          <w:kern w:val="0"/>
          <w:szCs w:val="21"/>
          <w:lang w:val="zh-CN"/>
        </w:rPr>
        <w:t>工程、货物及服务</w:t>
      </w:r>
      <w:bookmarkEnd w:id="33"/>
      <w:bookmarkEnd w:id="34"/>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“工程”是指建设工程，包括建筑物和构筑物的新建、改建、扩建及其相关的装修、拆除、修缮等。</w:t>
      </w:r>
    </w:p>
    <w:p>
      <w:pPr>
        <w:numPr>
          <w:ilvl w:val="1"/>
          <w:numId w:val="14"/>
        </w:numPr>
        <w:tabs>
          <w:tab w:val="left" w:pos="525"/>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“货物”是指各种形态和种类的物品，包括原材料、燃料、设备、产品等。</w:t>
      </w:r>
    </w:p>
    <w:p>
      <w:pPr>
        <w:numPr>
          <w:ilvl w:val="1"/>
          <w:numId w:val="14"/>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服务”是指是指除货物（指各种形态和种类的物品，包括原材料、燃料、设备、产品等）和工程（指建设工程，包括建筑物和构筑物的新建、改建、扩建及其相关的装修、拆除、修缮等）以外的其他政府采购对象。</w:t>
      </w:r>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35" w:name="_Toc22488"/>
      <w:bookmarkStart w:id="36" w:name="_Toc9974"/>
      <w:r>
        <w:rPr>
          <w:rFonts w:hint="eastAsia" w:asciiTheme="minorEastAsia" w:hAnsiTheme="minorEastAsia" w:eastAsiaTheme="minorEastAsia" w:cstheme="minorEastAsia"/>
          <w:b/>
          <w:color w:val="auto"/>
          <w:szCs w:val="21"/>
        </w:rPr>
        <w:t>费用</w:t>
      </w:r>
      <w:bookmarkEnd w:id="35"/>
      <w:bookmarkEnd w:id="36"/>
      <w:r>
        <w:rPr>
          <w:rFonts w:hint="eastAsia" w:asciiTheme="minorEastAsia" w:hAnsiTheme="minorEastAsia" w:eastAsiaTheme="minorEastAsia" w:cstheme="minorEastAsia"/>
          <w:b/>
          <w:color w:val="auto"/>
          <w:szCs w:val="21"/>
        </w:rPr>
        <w:t xml:space="preserve">  </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供应商应承担所有与准备和参加磋商有关的费用，不论磋商的结果如何，采购人和采购代理机构均无义务和责任承担这些费用。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招标代理服务费：成交供应商须在收到成交通知书时向采购代理机构支付招标代理服务费。服务费支付标准和方法详见《供应商须知前附表》。</w:t>
      </w:r>
    </w:p>
    <w:p>
      <w:pPr>
        <w:numPr>
          <w:ilvl w:val="1"/>
          <w:numId w:val="15"/>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国家计委计价格[2002]1980 号规定标准收费：</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3"/>
        <w:gridCol w:w="2255"/>
        <w:gridCol w:w="225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金额（万元）</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货物</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服务</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100以下</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100-500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500-1000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0.45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1000-5000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0.35</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5000-10000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0.2</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10000-100000</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0.05</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523"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100000以上</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c>
          <w:tcPr>
            <w:tcW w:w="2255" w:type="dxa"/>
            <w:vAlign w:val="top"/>
          </w:tcPr>
          <w:p>
            <w:pPr>
              <w:autoSpaceDE w:val="0"/>
              <w:autoSpaceDN w:val="0"/>
              <w:snapToGrid w:val="0"/>
              <w:spacing w:line="480" w:lineRule="exact"/>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0.01</w:t>
            </w:r>
            <w:r>
              <w:rPr>
                <w:rFonts w:hint="eastAsia" w:asciiTheme="minorEastAsia" w:hAnsiTheme="minorEastAsia" w:eastAsiaTheme="minorEastAsia" w:cstheme="minorEastAsia"/>
                <w:color w:val="auto"/>
                <w:sz w:val="21"/>
                <w:szCs w:val="21"/>
              </w:rPr>
              <w:t>%</w:t>
            </w:r>
          </w:p>
        </w:tc>
      </w:tr>
    </w:tbl>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注：招标代理服务收费按差额定率累进法计算。例如：某货物招标代理业务成交金额为6000万元，计算招标代理服务收费额如下：</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0---100：100×1.500％=15000.000元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100---500：400×1.100％=44000.000元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500---1000：500×0.800％=40000.000元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1000---5000：4000×0.500％=200000.000元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5000---6000：1000×0.250％=25000.000元</w:t>
      </w:r>
    </w:p>
    <w:p>
      <w:pPr>
        <w:numPr>
          <w:ilvl w:val="0"/>
          <w:numId w:val="0"/>
        </w:numPr>
        <w:tabs>
          <w:tab w:val="left" w:pos="540"/>
        </w:tabs>
        <w:spacing w:line="360" w:lineRule="auto"/>
        <w:ind w:leftChars="0"/>
        <w:rPr>
          <w:rFonts w:hint="eastAsia" w:asciiTheme="minorEastAsia" w:hAnsiTheme="minorEastAsia" w:eastAsiaTheme="minorEastAsia" w:cstheme="minorEastAsia"/>
          <w:snapToGrid w:val="0"/>
          <w:color w:val="auto"/>
          <w:kern w:val="0"/>
          <w:szCs w:val="21"/>
          <w:lang w:val="en-US" w:eastAsia="zh-CN"/>
        </w:rPr>
      </w:pPr>
      <w:r>
        <w:rPr>
          <w:rFonts w:hint="eastAsia" w:asciiTheme="minorEastAsia" w:hAnsiTheme="minorEastAsia" w:eastAsiaTheme="minorEastAsia" w:cstheme="minorEastAsia"/>
          <w:snapToGrid w:val="0"/>
          <w:color w:val="auto"/>
          <w:kern w:val="0"/>
          <w:szCs w:val="21"/>
          <w:lang w:val="en-US" w:eastAsia="zh-CN"/>
        </w:rPr>
        <w:t>合计收费=324000.000元</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37" w:name="_Toc27172"/>
      <w:r>
        <w:rPr>
          <w:rFonts w:hint="eastAsia" w:asciiTheme="minorEastAsia" w:hAnsiTheme="minorEastAsia" w:eastAsiaTheme="minorEastAsia" w:cstheme="minorEastAsia"/>
          <w:b/>
          <w:color w:val="auto"/>
          <w:szCs w:val="21"/>
        </w:rPr>
        <w:t>竞争性磋商采购文件</w:t>
      </w:r>
      <w:bookmarkEnd w:id="37"/>
    </w:p>
    <w:p>
      <w:pPr>
        <w:numPr>
          <w:ilvl w:val="0"/>
          <w:numId w:val="11"/>
        </w:numPr>
        <w:spacing w:line="360" w:lineRule="auto"/>
        <w:ind w:hanging="540"/>
        <w:outlineLvl w:val="1"/>
        <w:rPr>
          <w:rFonts w:hint="eastAsia" w:asciiTheme="minorEastAsia" w:hAnsiTheme="minorEastAsia" w:eastAsiaTheme="minorEastAsia" w:cstheme="minorEastAsia"/>
          <w:b/>
          <w:color w:val="auto"/>
          <w:szCs w:val="21"/>
        </w:rPr>
      </w:pPr>
      <w:bookmarkStart w:id="38" w:name="_Toc4547"/>
      <w:bookmarkStart w:id="39" w:name="_Toc29851"/>
      <w:r>
        <w:rPr>
          <w:rFonts w:hint="eastAsia" w:asciiTheme="minorEastAsia" w:hAnsiTheme="minorEastAsia" w:eastAsiaTheme="minorEastAsia" w:cstheme="minorEastAsia"/>
          <w:b/>
          <w:color w:val="auto"/>
          <w:szCs w:val="21"/>
        </w:rPr>
        <w:t>竞争性磋商采购文件的构成</w:t>
      </w:r>
      <w:bookmarkEnd w:id="38"/>
      <w:bookmarkEnd w:id="39"/>
    </w:p>
    <w:p>
      <w:pPr>
        <w:numPr>
          <w:ilvl w:val="1"/>
          <w:numId w:val="16"/>
        </w:numPr>
        <w:tabs>
          <w:tab w:val="left" w:pos="540"/>
          <w:tab w:val="clear" w:pos="36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本竞争性磋商采购文件包括：</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磋商公告</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供应商须知</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采购需求</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竞争性磋商采购评定办法</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合同书格式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竞争性磋商响应文件格式</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采购过程中由采购代理机构发出的澄清和修正文件</w:t>
      </w:r>
    </w:p>
    <w:p>
      <w:pPr>
        <w:numPr>
          <w:ilvl w:val="3"/>
          <w:numId w:val="11"/>
        </w:numPr>
        <w:tabs>
          <w:tab w:val="left" w:pos="540"/>
          <w:tab w:val="clear" w:pos="2040"/>
        </w:tabs>
        <w:spacing w:line="360" w:lineRule="auto"/>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磋商小组</w:t>
      </w:r>
      <w:r>
        <w:rPr>
          <w:rFonts w:hint="eastAsia" w:asciiTheme="minorEastAsia" w:hAnsiTheme="minorEastAsia" w:eastAsiaTheme="minorEastAsia" w:cstheme="minorEastAsia"/>
          <w:color w:val="auto"/>
          <w:szCs w:val="21"/>
        </w:rPr>
        <w:t>在磋商过程中发出的对本磋商文件的实质性变动</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40" w:name="_Toc22354"/>
      <w:bookmarkStart w:id="41" w:name="_Toc29700"/>
      <w:r>
        <w:rPr>
          <w:rFonts w:hint="eastAsia" w:asciiTheme="minorEastAsia" w:hAnsiTheme="minorEastAsia" w:eastAsiaTheme="minorEastAsia" w:cstheme="minorEastAsia"/>
          <w:b/>
          <w:snapToGrid w:val="0"/>
          <w:color w:val="auto"/>
          <w:kern w:val="0"/>
          <w:szCs w:val="21"/>
          <w:lang w:val="zh-CN"/>
        </w:rPr>
        <w:t>竞争性磋商采购文件的澄清</w:t>
      </w:r>
      <w:bookmarkEnd w:id="40"/>
      <w:bookmarkEnd w:id="41"/>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供应商获取竞争性磋商采购文件后，应认真检查，如发现页数不全、附件缺失、印刷模糊等，应通知采购代理机构补全或更换，否则风险自负。</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要求对本竞争性磋商采购文件进行澄清的，应以书面形式（包括信函、电报、传真等可以有形地表现所载内容的形式，下同）在提疑截止时间以前向采购代理机构或采购人提出，提疑截止时间见《供应商须知前附表》。</w:t>
      </w:r>
    </w:p>
    <w:p>
      <w:pPr>
        <w:autoSpaceDE w:val="0"/>
        <w:autoSpaceDN w:val="0"/>
        <w:adjustRightInd w:val="0"/>
        <w:spacing w:line="360" w:lineRule="auto"/>
        <w:ind w:left="540" w:leftChars="257" w:firstLine="420" w:firstLineChars="20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采购代理机构对于符合澄清要求的，将以书面形式给所有接收磋商文件的供应商予以答复(答复中不包括问题的来源)，供应商收到答复后应在24小时内以书面形式向采购代理机构予以确认。</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供应商在规定的时间内未对竞争性磋商采购文件澄清或提出疑问的，采购代理机构将视其为同意。</w:t>
      </w:r>
    </w:p>
    <w:p>
      <w:pPr>
        <w:numPr>
          <w:ilvl w:val="1"/>
          <w:numId w:val="17"/>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澄清的内容是本竞争性磋商采购文件的组成部分，当竞争性磋商采购文件</w:t>
      </w:r>
      <w:r>
        <w:rPr>
          <w:rFonts w:hint="eastAsia" w:asciiTheme="minorEastAsia" w:hAnsiTheme="minorEastAsia" w:eastAsiaTheme="minorEastAsia" w:cstheme="minorEastAsia"/>
          <w:color w:val="auto"/>
          <w:szCs w:val="21"/>
        </w:rPr>
        <w:t>、澄清文件对同一内容的表述不一致时，以最后发出的书面文件为准。</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42" w:name="_Toc5704"/>
      <w:bookmarkStart w:id="43" w:name="_Toc31761"/>
      <w:r>
        <w:rPr>
          <w:rFonts w:hint="eastAsia" w:asciiTheme="minorEastAsia" w:hAnsiTheme="minorEastAsia" w:eastAsiaTheme="minorEastAsia" w:cstheme="minorEastAsia"/>
          <w:b/>
          <w:snapToGrid w:val="0"/>
          <w:color w:val="auto"/>
          <w:kern w:val="0"/>
          <w:szCs w:val="21"/>
          <w:lang w:val="zh-CN"/>
        </w:rPr>
        <w:t>竞争性磋商采购文件的修改</w:t>
      </w:r>
      <w:bookmarkEnd w:id="42"/>
      <w:bookmarkEnd w:id="43"/>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提交首次响应文件截止之日前，采购人、采购代理机构可以对本竞争性磋商采购文件进行必要的修改，修改的内容是磋商文件的组成部分，采购代理机构将以书面形式通知所有接受磋商文件的供应商，供应商在收到上述通知后，应在24小时内以书面形式向采购代理机构予以确认。</w:t>
      </w:r>
    </w:p>
    <w:p>
      <w:pPr>
        <w:numPr>
          <w:ilvl w:val="1"/>
          <w:numId w:val="18"/>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当磋商文件、修改文件对同一内容的表述不一致时，以最后发出的书面文件为准。</w:t>
      </w:r>
    </w:p>
    <w:p>
      <w:pPr>
        <w:numPr>
          <w:ilvl w:val="1"/>
          <w:numId w:val="18"/>
        </w:numPr>
        <w:tabs>
          <w:tab w:val="left" w:pos="525"/>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修改的内容可能影响响应文件编制的，修改文件应当在提交首次响应文件截止之日</w:t>
      </w:r>
      <w:r>
        <w:rPr>
          <w:rFonts w:hint="eastAsia" w:asciiTheme="minorEastAsia" w:hAnsiTheme="minorEastAsia" w:eastAsiaTheme="minorEastAsia" w:cstheme="minorEastAsia"/>
          <w:snapToGrid w:val="0"/>
          <w:color w:val="auto"/>
          <w:kern w:val="0"/>
          <w:szCs w:val="21"/>
          <w:lang w:val="en-US" w:eastAsia="zh-CN"/>
        </w:rPr>
        <w:t>5</w:t>
      </w:r>
      <w:r>
        <w:rPr>
          <w:rFonts w:hint="eastAsia" w:asciiTheme="minorEastAsia" w:hAnsiTheme="minorEastAsia" w:eastAsiaTheme="minorEastAsia" w:cstheme="minorEastAsia"/>
          <w:snapToGrid w:val="0"/>
          <w:color w:val="auto"/>
          <w:kern w:val="0"/>
          <w:szCs w:val="21"/>
          <w:lang w:val="zh-CN"/>
        </w:rPr>
        <w:t>个工作日前发出，不足</w:t>
      </w:r>
      <w:r>
        <w:rPr>
          <w:rFonts w:hint="eastAsia" w:asciiTheme="minorEastAsia" w:hAnsiTheme="minorEastAsia" w:eastAsiaTheme="minorEastAsia" w:cstheme="minorEastAsia"/>
          <w:snapToGrid w:val="0"/>
          <w:color w:val="auto"/>
          <w:kern w:val="0"/>
          <w:szCs w:val="21"/>
          <w:lang w:val="en-US" w:eastAsia="zh-CN"/>
        </w:rPr>
        <w:t>5</w:t>
      </w:r>
      <w:r>
        <w:rPr>
          <w:rFonts w:hint="eastAsia" w:asciiTheme="minorEastAsia" w:hAnsiTheme="minorEastAsia" w:eastAsiaTheme="minorEastAsia" w:cstheme="minorEastAsia"/>
          <w:snapToGrid w:val="0"/>
          <w:color w:val="auto"/>
          <w:kern w:val="0"/>
          <w:szCs w:val="21"/>
          <w:lang w:val="zh-CN"/>
        </w:rPr>
        <w:t>个工作日的，采购人、采购代理机构将顺延提交首次响应文件截止之日。</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44" w:name="_Toc7112"/>
      <w:r>
        <w:rPr>
          <w:rFonts w:hint="eastAsia" w:asciiTheme="minorEastAsia" w:hAnsiTheme="minorEastAsia" w:eastAsiaTheme="minorEastAsia" w:cstheme="minorEastAsia"/>
          <w:b/>
          <w:color w:val="auto"/>
          <w:szCs w:val="21"/>
        </w:rPr>
        <w:t>竞争性磋商响应文件</w:t>
      </w:r>
      <w:bookmarkEnd w:id="44"/>
    </w:p>
    <w:p>
      <w:pPr>
        <w:numPr>
          <w:ilvl w:val="0"/>
          <w:numId w:val="11"/>
        </w:numPr>
        <w:spacing w:line="360" w:lineRule="auto"/>
        <w:ind w:hanging="540"/>
        <w:outlineLvl w:val="1"/>
        <w:rPr>
          <w:rFonts w:hint="eastAsia" w:asciiTheme="minorEastAsia" w:hAnsiTheme="minorEastAsia" w:eastAsiaTheme="minorEastAsia" w:cstheme="minorEastAsia"/>
          <w:snapToGrid w:val="0"/>
          <w:color w:val="auto"/>
          <w:kern w:val="0"/>
          <w:szCs w:val="21"/>
          <w:lang w:val="zh-CN"/>
        </w:rPr>
      </w:pPr>
      <w:bookmarkStart w:id="45" w:name="_Toc7443"/>
      <w:bookmarkStart w:id="46" w:name="_Toc30987"/>
      <w:r>
        <w:rPr>
          <w:rFonts w:hint="eastAsia" w:asciiTheme="minorEastAsia" w:hAnsiTheme="minorEastAsia" w:eastAsiaTheme="minorEastAsia" w:cstheme="minorEastAsia"/>
          <w:b/>
          <w:snapToGrid w:val="0"/>
          <w:color w:val="auto"/>
          <w:kern w:val="0"/>
          <w:szCs w:val="21"/>
          <w:lang w:val="zh-CN"/>
        </w:rPr>
        <w:t>语言和计量单位</w:t>
      </w:r>
      <w:bookmarkEnd w:id="45"/>
      <w:bookmarkEnd w:id="46"/>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提交的竞争性磋商响应文件以及供应商与采购代理机构或采购人就有关磋商的所有来往信函、电报、传真等均应使用中文。供应商提交的支持文件或印刷的文献可以用另一种语言，但相应内容应附有中文翻译本，在解释竞争性磋商响应文件时以中文翻译本为准。</w:t>
      </w:r>
    </w:p>
    <w:p>
      <w:pPr>
        <w:numPr>
          <w:ilvl w:val="1"/>
          <w:numId w:val="19"/>
        </w:numPr>
        <w:tabs>
          <w:tab w:val="left" w:pos="540"/>
          <w:tab w:val="clear" w:pos="360"/>
        </w:tabs>
        <w:spacing w:line="360" w:lineRule="auto"/>
        <w:ind w:left="540" w:hanging="540"/>
        <w:rPr>
          <w:rFonts w:hint="eastAsia" w:asciiTheme="minorEastAsia" w:hAnsiTheme="minorEastAsia" w:eastAsiaTheme="minorEastAsia" w:cstheme="minorEastAsia"/>
          <w:b/>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除非竞争性磋商采购文件中另有规定，计量单位均采用中华人民共和国法定的计量单位。</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47" w:name="_Toc32272"/>
      <w:bookmarkStart w:id="48" w:name="_Toc6398"/>
      <w:r>
        <w:rPr>
          <w:rFonts w:hint="eastAsia" w:asciiTheme="minorEastAsia" w:hAnsiTheme="minorEastAsia" w:eastAsiaTheme="minorEastAsia" w:cstheme="minorEastAsia"/>
          <w:b/>
          <w:snapToGrid w:val="0"/>
          <w:color w:val="auto"/>
          <w:kern w:val="0"/>
          <w:szCs w:val="21"/>
          <w:lang w:val="zh-CN"/>
        </w:rPr>
        <w:t>竞争性磋商响应文件的构成</w:t>
      </w:r>
      <w:bookmarkEnd w:id="47"/>
      <w:bookmarkEnd w:id="48"/>
    </w:p>
    <w:p>
      <w:pPr>
        <w:numPr>
          <w:ilvl w:val="1"/>
          <w:numId w:val="20"/>
        </w:numPr>
        <w:tabs>
          <w:tab w:val="left" w:pos="525"/>
          <w:tab w:val="clear" w:pos="360"/>
        </w:tabs>
        <w:autoSpaceDE w:val="0"/>
        <w:autoSpaceDN w:val="0"/>
        <w:adjustRightInd w:val="0"/>
        <w:spacing w:line="360" w:lineRule="auto"/>
        <w:ind w:left="0" w:firstLine="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供应商编制的竞争性磋商响应</w:t>
      </w:r>
      <w:r>
        <w:rPr>
          <w:rFonts w:hint="eastAsia" w:asciiTheme="minorEastAsia" w:hAnsiTheme="minorEastAsia" w:eastAsiaTheme="minorEastAsia" w:cstheme="minorEastAsia"/>
          <w:snapToGrid w:val="0"/>
          <w:color w:val="auto"/>
          <w:kern w:val="0"/>
          <w:szCs w:val="21"/>
          <w:lang w:val="en-US" w:eastAsia="zh-CN"/>
        </w:rPr>
        <w:t>文</w:t>
      </w:r>
      <w:r>
        <w:rPr>
          <w:rFonts w:hint="eastAsia" w:asciiTheme="minorEastAsia" w:hAnsiTheme="minorEastAsia" w:eastAsiaTheme="minorEastAsia" w:cstheme="minorEastAsia"/>
          <w:snapToGrid w:val="0"/>
          <w:color w:val="auto"/>
          <w:kern w:val="0"/>
          <w:szCs w:val="21"/>
          <w:lang w:val="zh-CN"/>
        </w:rPr>
        <w:t>件应包括的内容详见本文件第六章要求。</w:t>
      </w:r>
    </w:p>
    <w:p>
      <w:pPr>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bCs/>
          <w:color w:val="auto"/>
          <w:szCs w:val="21"/>
        </w:rPr>
        <w:t>注：响应文件目录及内容每页须顺序编写页码。</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49" w:name="_Toc17989"/>
      <w:bookmarkStart w:id="50" w:name="_Toc25217"/>
      <w:r>
        <w:rPr>
          <w:rFonts w:hint="eastAsia" w:asciiTheme="minorEastAsia" w:hAnsiTheme="minorEastAsia" w:eastAsiaTheme="minorEastAsia" w:cstheme="minorEastAsia"/>
          <w:b/>
          <w:snapToGrid w:val="0"/>
          <w:color w:val="auto"/>
          <w:kern w:val="0"/>
          <w:szCs w:val="21"/>
          <w:lang w:val="zh-CN"/>
        </w:rPr>
        <w:t>竞争性磋商响应文件的编制</w:t>
      </w:r>
      <w:bookmarkEnd w:id="49"/>
      <w:bookmarkEnd w:id="50"/>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供应商应当按照本采购文件的要求编制响应文件，并对其提交的响应文件及全部资料的真实性、合法性承担法律责任，并接受采购代理机构对其中任何资料进一步核实的要求。</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21"/>
        </w:numPr>
        <w:tabs>
          <w:tab w:val="left" w:pos="540"/>
          <w:tab w:val="clear" w:pos="36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供应商在编制响应文件时应注意本次采购对多包采购的规定，多包采购的规定见《供应商须知前附表》。</w:t>
      </w:r>
    </w:p>
    <w:p>
      <w:pPr>
        <w:numPr>
          <w:ilvl w:val="0"/>
          <w:numId w:val="11"/>
        </w:numPr>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51" w:name="_Toc24544"/>
      <w:bookmarkStart w:id="52" w:name="_Toc14856"/>
      <w:r>
        <w:rPr>
          <w:rFonts w:hint="eastAsia" w:asciiTheme="minorEastAsia" w:hAnsiTheme="minorEastAsia" w:eastAsiaTheme="minorEastAsia" w:cstheme="minorEastAsia"/>
          <w:b/>
          <w:snapToGrid w:val="0"/>
          <w:color w:val="auto"/>
          <w:kern w:val="0"/>
          <w:szCs w:val="21"/>
          <w:lang w:val="zh-CN"/>
        </w:rPr>
        <w:t>磋商报价</w:t>
      </w:r>
      <w:bookmarkEnd w:id="51"/>
      <w:bookmarkEnd w:id="52"/>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磋商报价包括磋商供应商在首次提交的响应文件中的报价、磋商过程中的报价和最后报价。磋商供应商的报价均应以人民币报价。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按照本采购文件规定的采购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color w:val="auto"/>
          <w:szCs w:val="21"/>
        </w:rPr>
        <w:t>供应商应根据本磋商文件的规定和要求、市场价格水平及其走势、</w:t>
      </w:r>
      <w:r>
        <w:rPr>
          <w:rFonts w:hint="eastAsia" w:asciiTheme="minorEastAsia" w:hAnsiTheme="minorEastAsia" w:eastAsiaTheme="minorEastAsia" w:cstheme="minorEastAsia"/>
          <w:snapToGrid w:val="0"/>
          <w:color w:val="auto"/>
          <w:kern w:val="0"/>
          <w:szCs w:val="21"/>
          <w:lang w:val="zh-CN"/>
        </w:rPr>
        <w:t>磋商</w:t>
      </w:r>
      <w:r>
        <w:rPr>
          <w:rFonts w:hint="eastAsia" w:asciiTheme="minorEastAsia" w:hAnsiTheme="minorEastAsia" w:eastAsiaTheme="minorEastAsia" w:cstheme="minorEastAsia"/>
          <w:color w:val="auto"/>
          <w:szCs w:val="21"/>
        </w:rPr>
        <w:t>供应商的管理水平、</w:t>
      </w:r>
      <w:r>
        <w:rPr>
          <w:rFonts w:hint="eastAsia" w:asciiTheme="minorEastAsia" w:hAnsiTheme="minorEastAsia" w:eastAsiaTheme="minorEastAsia" w:cstheme="minorEastAsia"/>
          <w:snapToGrid w:val="0"/>
          <w:color w:val="auto"/>
          <w:kern w:val="0"/>
          <w:szCs w:val="21"/>
          <w:lang w:val="zh-CN"/>
        </w:rPr>
        <w:t>磋商</w:t>
      </w:r>
      <w:r>
        <w:rPr>
          <w:rFonts w:hint="eastAsia" w:asciiTheme="minorEastAsia" w:hAnsiTheme="minorEastAsia" w:eastAsiaTheme="minorEastAsia" w:cstheme="minorEastAsia"/>
          <w:color w:val="auto"/>
          <w:szCs w:val="21"/>
        </w:rPr>
        <w:t>供应商的</w:t>
      </w:r>
      <w:r>
        <w:rPr>
          <w:rFonts w:hint="eastAsia" w:asciiTheme="minorEastAsia" w:hAnsiTheme="minorEastAsia" w:eastAsiaTheme="minorEastAsia" w:cstheme="minorEastAsia"/>
          <w:snapToGrid w:val="0"/>
          <w:color w:val="auto"/>
          <w:kern w:val="0"/>
          <w:szCs w:val="21"/>
          <w:lang w:val="zh-CN"/>
        </w:rPr>
        <w:t>方案</w:t>
      </w:r>
      <w:r>
        <w:rPr>
          <w:rFonts w:hint="eastAsia" w:asciiTheme="minorEastAsia" w:hAnsiTheme="minorEastAsia" w:eastAsiaTheme="minorEastAsia" w:cstheme="minorEastAsia"/>
          <w:color w:val="auto"/>
          <w:szCs w:val="21"/>
        </w:rPr>
        <w:t>和由这些因素决定的磋商供应商之于本项目的成本水平等提出自己的报价。</w:t>
      </w:r>
      <w:r>
        <w:rPr>
          <w:rFonts w:hint="eastAsia" w:asciiTheme="minorEastAsia" w:hAnsiTheme="minorEastAsia" w:eastAsiaTheme="minorEastAsia" w:cstheme="minorEastAsia"/>
          <w:snapToGrid w:val="0"/>
          <w:color w:val="auto"/>
          <w:kern w:val="0"/>
          <w:szCs w:val="21"/>
          <w:lang w:val="zh-CN"/>
        </w:rPr>
        <w:t>报价应包含完成本采购文件采购需求全部内容的所有费用，所有根据本采购文件或其它原因应由磋商供应商支付的税款和其他应缴纳的费用都应包括在报价中。</w:t>
      </w:r>
      <w:r>
        <w:rPr>
          <w:rFonts w:hint="eastAsia" w:asciiTheme="minorEastAsia" w:hAnsiTheme="minorEastAsia" w:eastAsiaTheme="minorEastAsia" w:cstheme="minorEastAsia"/>
          <w:color w:val="auto"/>
          <w:szCs w:val="21"/>
        </w:rPr>
        <w:t>但磋商供应商不得以低于其成本的价格进行报价。</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color w:val="auto"/>
          <w:szCs w:val="21"/>
        </w:rPr>
        <w:t>供应商在响应文件中</w:t>
      </w:r>
      <w:r>
        <w:rPr>
          <w:rFonts w:hint="eastAsia" w:asciiTheme="minorEastAsia" w:hAnsiTheme="minorEastAsia" w:eastAsiaTheme="minorEastAsia" w:cstheme="minorEastAsia"/>
          <w:snapToGrid w:val="0"/>
          <w:color w:val="auto"/>
          <w:kern w:val="0"/>
          <w:szCs w:val="21"/>
          <w:lang w:val="zh-CN"/>
        </w:rPr>
        <w:t>注明免费的项目将视为包含在报价中。</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每一种采购内容只允许有一个报价，否则其响应文件将被视为无效文件。</w:t>
      </w:r>
    </w:p>
    <w:p>
      <w:pPr>
        <w:numPr>
          <w:ilvl w:val="1"/>
          <w:numId w:val="2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成交供应商的报价在合同执行过程中是固定不变的，不得以任何理由予以变更。</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53" w:name="_Toc6176"/>
      <w:bookmarkStart w:id="54" w:name="_Toc4071"/>
      <w:r>
        <w:rPr>
          <w:rFonts w:hint="eastAsia" w:asciiTheme="minorEastAsia" w:hAnsiTheme="minorEastAsia" w:eastAsiaTheme="minorEastAsia" w:cstheme="minorEastAsia"/>
          <w:b/>
          <w:snapToGrid w:val="0"/>
          <w:color w:val="auto"/>
          <w:kern w:val="0"/>
          <w:szCs w:val="21"/>
          <w:lang w:val="zh-CN"/>
        </w:rPr>
        <w:t>备选方案</w:t>
      </w:r>
      <w:bookmarkEnd w:id="53"/>
      <w:bookmarkEnd w:id="54"/>
    </w:p>
    <w:p>
      <w:pPr>
        <w:numPr>
          <w:ilvl w:val="1"/>
          <w:numId w:val="23"/>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 xml:space="preserve">是否允许备选方案见《供应商须知前附表》。不允许有备选方案的，若在响应文件中提交了备选方案，其响应文件将被视为无效文件。 </w:t>
      </w:r>
    </w:p>
    <w:p>
      <w:pPr>
        <w:numPr>
          <w:ilvl w:val="0"/>
          <w:numId w:val="11"/>
        </w:numPr>
        <w:tabs>
          <w:tab w:val="left" w:pos="864"/>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55" w:name="_Toc3324"/>
      <w:bookmarkStart w:id="56" w:name="_Toc20227"/>
      <w:r>
        <w:rPr>
          <w:rFonts w:hint="eastAsia" w:asciiTheme="minorEastAsia" w:hAnsiTheme="minorEastAsia" w:eastAsiaTheme="minorEastAsia" w:cstheme="minorEastAsia"/>
          <w:b/>
          <w:snapToGrid w:val="0"/>
          <w:color w:val="auto"/>
          <w:kern w:val="0"/>
          <w:szCs w:val="21"/>
          <w:lang w:val="zh-CN"/>
        </w:rPr>
        <w:t>联合体</w:t>
      </w:r>
      <w:bookmarkEnd w:id="55"/>
      <w:bookmarkEnd w:id="56"/>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 xml:space="preserve">本次采购是否允许联合体参加详见《供应商须知前附表》。 </w:t>
      </w:r>
    </w:p>
    <w:p>
      <w:pPr>
        <w:numPr>
          <w:ilvl w:val="1"/>
          <w:numId w:val="24"/>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本次采购允许联合体报价的，联合体各方不得再单独或者与其他供应商另外组成联合体参加本项目的报价。</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57" w:name="_Toc2434"/>
      <w:bookmarkStart w:id="58" w:name="_Toc4849"/>
      <w:r>
        <w:rPr>
          <w:rFonts w:hint="eastAsia" w:asciiTheme="minorEastAsia" w:hAnsiTheme="minorEastAsia" w:eastAsiaTheme="minorEastAsia" w:cstheme="minorEastAsia"/>
          <w:b/>
          <w:snapToGrid w:val="0"/>
          <w:color w:val="auto"/>
          <w:kern w:val="0"/>
          <w:szCs w:val="21"/>
          <w:lang w:val="zh-CN"/>
        </w:rPr>
        <w:t>供应商资格证明文件</w:t>
      </w:r>
      <w:bookmarkEnd w:id="57"/>
      <w:bookmarkEnd w:id="58"/>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供应商应在响应文件提交证明其有资格参加磋商的证明文件，证明文件应包括下列文件：</w:t>
      </w:r>
    </w:p>
    <w:p>
      <w:pPr>
        <w:numPr>
          <w:ilvl w:val="3"/>
          <w:numId w:val="26"/>
        </w:numPr>
        <w:tabs>
          <w:tab w:val="left" w:pos="540"/>
          <w:tab w:val="clear" w:pos="20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采购文件要求供应商应提交的其它资格证明文件，应提交的资格证明文件（</w:t>
      </w:r>
      <w:r>
        <w:rPr>
          <w:rFonts w:hint="eastAsia" w:asciiTheme="minorEastAsia" w:hAnsiTheme="minorEastAsia" w:eastAsiaTheme="minorEastAsia" w:cstheme="minorEastAsia"/>
          <w:snapToGrid w:val="0"/>
          <w:color w:val="auto"/>
          <w:kern w:val="0"/>
          <w:szCs w:val="21"/>
          <w:lang w:val="en-US" w:eastAsia="zh-CN"/>
        </w:rPr>
        <w:t>实质性要求</w:t>
      </w:r>
      <w:r>
        <w:rPr>
          <w:rFonts w:hint="eastAsia" w:asciiTheme="minorEastAsia" w:hAnsiTheme="minorEastAsia" w:eastAsiaTheme="minorEastAsia" w:cstheme="minorEastAsia"/>
          <w:snapToGrid w:val="0"/>
          <w:color w:val="auto"/>
          <w:kern w:val="0"/>
          <w:szCs w:val="21"/>
          <w:lang w:val="zh-CN"/>
        </w:rPr>
        <w:t>）见《供应商须知前附表》。</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除本须知14.1要求的资格证明文件外，如国家法律法规对市场准入有要求的还应提交相关资格证明文件。</w:t>
      </w:r>
    </w:p>
    <w:p>
      <w:pPr>
        <w:numPr>
          <w:ilvl w:val="1"/>
          <w:numId w:val="25"/>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证明材料仅限于磋商供应商单位本身，母公司、股东单位和子公司的材料不能作为证明材料，但磋商供应商单位兼并的企业的材料可作为证明材料。必须</w:t>
      </w:r>
      <w:r>
        <w:rPr>
          <w:rFonts w:hint="eastAsia" w:asciiTheme="minorEastAsia" w:hAnsiTheme="minorEastAsia" w:eastAsiaTheme="minorEastAsia" w:cstheme="minorEastAsia"/>
          <w:snapToGrid w:val="0"/>
          <w:color w:val="auto"/>
          <w:kern w:val="0"/>
          <w:szCs w:val="21"/>
          <w:lang w:val="en-US" w:eastAsia="zh-CN"/>
        </w:rPr>
        <w:t>每页</w:t>
      </w:r>
      <w:r>
        <w:rPr>
          <w:rFonts w:hint="eastAsia" w:asciiTheme="minorEastAsia" w:hAnsiTheme="minorEastAsia" w:eastAsiaTheme="minorEastAsia" w:cstheme="minorEastAsia"/>
          <w:snapToGrid w:val="0"/>
          <w:color w:val="auto"/>
          <w:kern w:val="0"/>
          <w:szCs w:val="21"/>
          <w:lang w:val="zh-CN"/>
        </w:rPr>
        <w:t>加盖单位印章，</w:t>
      </w:r>
      <w:r>
        <w:rPr>
          <w:rFonts w:hint="eastAsia" w:asciiTheme="minorEastAsia" w:hAnsiTheme="minorEastAsia" w:eastAsiaTheme="minorEastAsia" w:cstheme="minorEastAsia"/>
          <w:snapToGrid w:val="0"/>
          <w:color w:val="auto"/>
          <w:kern w:val="0"/>
          <w:szCs w:val="21"/>
          <w:lang w:val="en-US" w:eastAsia="zh-CN"/>
        </w:rPr>
        <w:t>否则做废标处理</w:t>
      </w:r>
      <w:r>
        <w:rPr>
          <w:rFonts w:hint="eastAsia" w:asciiTheme="minorEastAsia" w:hAnsiTheme="minorEastAsia" w:eastAsiaTheme="minorEastAsia" w:cstheme="minorEastAsia"/>
          <w:snapToGrid w:val="0"/>
          <w:color w:val="auto"/>
          <w:kern w:val="0"/>
          <w:szCs w:val="21"/>
          <w:lang w:val="zh-CN"/>
        </w:rPr>
        <w:t>。</w:t>
      </w:r>
    </w:p>
    <w:p>
      <w:pPr>
        <w:numPr>
          <w:ilvl w:val="1"/>
          <w:numId w:val="25"/>
        </w:numPr>
        <w:tabs>
          <w:tab w:val="left" w:pos="540"/>
          <w:tab w:val="clear" w:pos="465"/>
        </w:tabs>
        <w:autoSpaceDE w:val="0"/>
        <w:autoSpaceDN w:val="0"/>
        <w:adjustRightInd w:val="0"/>
        <w:spacing w:line="360" w:lineRule="auto"/>
        <w:ind w:left="540" w:hanging="540"/>
        <w:jc w:val="left"/>
        <w:rPr>
          <w:rFonts w:hint="eastAsia" w:eastAsiaTheme="minorEastAsia"/>
          <w:color w:val="auto"/>
          <w:lang w:val="en-US" w:eastAsia="zh-CN"/>
        </w:rPr>
      </w:pPr>
      <w:r>
        <w:rPr>
          <w:rFonts w:hint="eastAsia" w:asciiTheme="minorEastAsia" w:hAnsiTheme="minorEastAsia" w:eastAsiaTheme="minorEastAsia" w:cstheme="minorEastAsia"/>
          <w:snapToGrid w:val="0"/>
          <w:color w:val="auto"/>
          <w:kern w:val="0"/>
          <w:szCs w:val="21"/>
          <w:lang w:val="en-US" w:eastAsia="zh-CN"/>
        </w:rPr>
        <w:t>供应商不得存在的其他情形</w:t>
      </w:r>
      <w:r>
        <w:rPr>
          <w:rFonts w:hint="eastAsia" w:asciiTheme="minorEastAsia" w:hAnsiTheme="minorEastAsia" w:eastAsiaTheme="minorEastAsia" w:cstheme="minorEastAsia"/>
          <w:snapToGrid w:val="0"/>
          <w:color w:val="auto"/>
          <w:kern w:val="0"/>
          <w:szCs w:val="21"/>
          <w:lang w:val="zh-CN"/>
        </w:rPr>
        <w:t>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59" w:name="_Toc9935"/>
      <w:bookmarkStart w:id="60" w:name="_Toc14612"/>
      <w:r>
        <w:rPr>
          <w:rFonts w:hint="eastAsia" w:asciiTheme="minorEastAsia" w:hAnsiTheme="minorEastAsia" w:eastAsiaTheme="minorEastAsia" w:cstheme="minorEastAsia"/>
          <w:b/>
          <w:snapToGrid w:val="0"/>
          <w:color w:val="auto"/>
          <w:kern w:val="0"/>
          <w:szCs w:val="21"/>
          <w:lang w:val="zh-CN"/>
        </w:rPr>
        <w:t>证明报价内容、服务合格性和符合竞争性磋商采购文件规定的文件</w:t>
      </w:r>
      <w:bookmarkEnd w:id="59"/>
      <w:bookmarkEnd w:id="60"/>
    </w:p>
    <w:p>
      <w:pPr>
        <w:numPr>
          <w:ilvl w:val="1"/>
          <w:numId w:val="27"/>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证明报价内容符合竞争性磋商采购文件要求的文件和竞争性磋商采购文件规定的其他资料，具体要求见《供应商须知前附表》。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1" w:name="_Toc27068"/>
      <w:bookmarkStart w:id="62" w:name="_Toc20441"/>
      <w:r>
        <w:rPr>
          <w:rFonts w:hint="eastAsia" w:asciiTheme="minorEastAsia" w:hAnsiTheme="minorEastAsia" w:eastAsiaTheme="minorEastAsia" w:cstheme="minorEastAsia"/>
          <w:b/>
          <w:snapToGrid w:val="0"/>
          <w:color w:val="auto"/>
          <w:kern w:val="0"/>
          <w:szCs w:val="21"/>
          <w:lang w:val="zh-CN"/>
        </w:rPr>
        <w:t>磋商保证金</w:t>
      </w:r>
      <w:bookmarkEnd w:id="61"/>
      <w:bookmarkEnd w:id="62"/>
    </w:p>
    <w:p>
      <w:pPr>
        <w:numPr>
          <w:ilvl w:val="1"/>
          <w:numId w:val="28"/>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本采购文件是否要求递交磋商保证金及保证金金额、递交方式、递交时间、接受保证金的帐户信息等详见《供应商须知前附表》。</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本采购文件要求递交磋商保证金的，磋商保证金作为竞争性磋商响应文件的组成部分，</w:t>
      </w:r>
      <w:r>
        <w:rPr>
          <w:rFonts w:hint="eastAsia" w:asciiTheme="minorEastAsia" w:hAnsiTheme="minorEastAsia" w:eastAsiaTheme="minorEastAsia" w:cstheme="minorEastAsia"/>
          <w:color w:val="auto"/>
          <w:szCs w:val="21"/>
          <w:lang w:val="zh-CN"/>
        </w:rPr>
        <w:t>以到账为准。</w:t>
      </w:r>
      <w:r>
        <w:rPr>
          <w:rFonts w:hint="eastAsia" w:asciiTheme="minorEastAsia" w:hAnsiTheme="minorEastAsia" w:eastAsiaTheme="minorEastAsia" w:cstheme="minorEastAsia"/>
          <w:snapToGrid w:val="0"/>
          <w:color w:val="auto"/>
          <w:kern w:val="0"/>
          <w:szCs w:val="21"/>
          <w:lang w:val="zh-CN"/>
        </w:rPr>
        <w:t>凡未按规定递交磋商保证金的报价，其响应文件将被视为无效文件。</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磋商保证金有效时间：磋商保证金的有效期与本次磋商有效期一致。</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供应商为联合体的，应由联合体中牵头人缴纳保证金，其缴纳的保证金对联合体各方均具有约束力。</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保证金的退还：未成交的磋商供应商，其磋商保证金在成交通知书发出后5个工作日内不计利息原额退还，成交供应商的磋商保证金，在成交供应商与采购人签订合同后5个工作日内不计利息原额退还。</w:t>
      </w:r>
    </w:p>
    <w:p>
      <w:pPr>
        <w:numPr>
          <w:ilvl w:val="1"/>
          <w:numId w:val="28"/>
        </w:numPr>
        <w:tabs>
          <w:tab w:val="left" w:pos="540"/>
          <w:tab w:val="clear" w:pos="60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有下列情形之一的，磋商保证金将不予退还:</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供应商在提交响应文件截止时间后撤回响应文件的；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供应商在响应文件中提供虚假材料的；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除因不可抗力或磋商文件认可的情形以外，成交供应商不与采购人签订合同的；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供应商与采购人、其他供应商或者采购代理机构恶意串通的；</w:t>
      </w:r>
    </w:p>
    <w:p>
      <w:pPr>
        <w:numPr>
          <w:ilvl w:val="0"/>
          <w:numId w:val="29"/>
        </w:numPr>
        <w:tabs>
          <w:tab w:val="left" w:pos="525"/>
          <w:tab w:val="clear" w:pos="2040"/>
        </w:tabs>
        <w:autoSpaceDE w:val="0"/>
        <w:autoSpaceDN w:val="0"/>
        <w:adjustRightInd w:val="0"/>
        <w:spacing w:line="360" w:lineRule="auto"/>
        <w:ind w:left="540" w:hanging="539" w:hangingChars="257"/>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本采购文件规定的其他情形。</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3" w:name="_Toc4910"/>
      <w:bookmarkStart w:id="64" w:name="_Toc5668"/>
      <w:r>
        <w:rPr>
          <w:rFonts w:hint="eastAsia" w:asciiTheme="minorEastAsia" w:hAnsiTheme="minorEastAsia" w:eastAsiaTheme="minorEastAsia" w:cstheme="minorEastAsia"/>
          <w:b/>
          <w:snapToGrid w:val="0"/>
          <w:color w:val="auto"/>
          <w:kern w:val="0"/>
          <w:szCs w:val="21"/>
          <w:lang w:val="zh-CN"/>
        </w:rPr>
        <w:t>磋商有效期</w:t>
      </w:r>
      <w:bookmarkEnd w:id="63"/>
      <w:bookmarkEnd w:id="64"/>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磋商有效期从磋商结束之日起计算，本次采购磋商有效期见《供应商须知前附表》，磋商供应商承诺的磋商有效期不足的，其响应文件将被视为无效文件。</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特殊情况下，在原磋商有效期截止之前，采购代理机构或采购人可要求供应商延长磋商有效期。需要延长磋商有效期时，采购代理机构或采购人将以书面形式通知所有磋商供应商，供应商应以书面形式答复是否同意延长磋商有效期。供应商同意延长的，其磋商保证金有效期相应延长，但不得要求或被允许修改或撤销其响应文件；供应商拒绝延长的，其响应文件在原磋商有效期满后将不再有效，供应商有权收回其投标保证金。</w:t>
      </w:r>
    </w:p>
    <w:p>
      <w:pPr>
        <w:numPr>
          <w:ilvl w:val="1"/>
          <w:numId w:val="30"/>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供应商同意延长磋商有效期的，不得要求或被允许修改或撤销其竞争性磋商响应文件；供应商拒绝延长的，其响应文件失效，但供应商有权收回其磋商保证金。</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5" w:name="_Toc8272"/>
      <w:bookmarkStart w:id="66" w:name="_Toc2229"/>
      <w:r>
        <w:rPr>
          <w:rFonts w:hint="eastAsia" w:asciiTheme="minorEastAsia" w:hAnsiTheme="minorEastAsia" w:eastAsiaTheme="minorEastAsia" w:cstheme="minorEastAsia"/>
          <w:b/>
          <w:snapToGrid w:val="0"/>
          <w:color w:val="auto"/>
          <w:kern w:val="0"/>
          <w:szCs w:val="21"/>
          <w:lang w:val="zh-CN"/>
        </w:rPr>
        <w:t>竞争性磋商响应文件的装订、签署和数量</w:t>
      </w:r>
      <w:bookmarkEnd w:id="65"/>
      <w:bookmarkEnd w:id="66"/>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供应商提交的响应文件应包括正本、副本、完整的电子文档及单独提供的法定代表人授权委托书（或</w:t>
      </w:r>
      <w:r>
        <w:rPr>
          <w:rFonts w:hint="eastAsia" w:asciiTheme="minorEastAsia" w:hAnsiTheme="minorEastAsia" w:eastAsiaTheme="minorEastAsia" w:cstheme="minorEastAsia"/>
          <w:color w:val="auto"/>
          <w:szCs w:val="21"/>
        </w:rPr>
        <w:t>法定代表人身份证明书）</w:t>
      </w:r>
      <w:r>
        <w:rPr>
          <w:rFonts w:hint="eastAsia" w:asciiTheme="minorEastAsia" w:hAnsiTheme="minorEastAsia" w:eastAsiaTheme="minorEastAsia" w:cstheme="minorEastAsia"/>
          <w:snapToGrid w:val="0"/>
          <w:color w:val="auto"/>
          <w:kern w:val="0"/>
          <w:szCs w:val="21"/>
          <w:lang w:val="zh-CN"/>
        </w:rPr>
        <w:t>、报价一览表、优惠声明（如有）。本次磋商供应商提交响应文件正、副本和电子文档的数量见《供应商须知前附表》。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每套响应文件须清楚地标明“正本”、“副本”，响应文件的副本可采用正本的复印件，若副本与正本不符，以正本为准；如单独提供的法定代表人授权委托书（或</w:t>
      </w:r>
      <w:r>
        <w:rPr>
          <w:rFonts w:hint="eastAsia" w:asciiTheme="minorEastAsia" w:hAnsiTheme="minorEastAsia" w:eastAsiaTheme="minorEastAsia" w:cstheme="minorEastAsia"/>
          <w:color w:val="auto"/>
          <w:szCs w:val="21"/>
        </w:rPr>
        <w:t>法定代表人身份证明书）</w:t>
      </w:r>
      <w:r>
        <w:rPr>
          <w:rFonts w:hint="eastAsia" w:asciiTheme="minorEastAsia" w:hAnsiTheme="minorEastAsia" w:eastAsiaTheme="minorEastAsia" w:cstheme="minorEastAsia"/>
          <w:snapToGrid w:val="0"/>
          <w:color w:val="auto"/>
          <w:kern w:val="0"/>
          <w:szCs w:val="21"/>
          <w:lang w:val="zh-CN"/>
        </w:rPr>
        <w:t>、报价一览表、优惠声明（如有）与响应文件正本不符，以正本为准。电子文档与纸质文件不符，以纸质文件为准。</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正本需打印或用不褪色墨水书写，并由法定代表人或授权代表签字并加盖公章。由授权代表签字的，响应文件中应提交《法定代表人授权书》。供应商为自然人的，由供应商本人签字并附身份证明。</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竞争性磋商响应文件中的任何行间插字、涂改和增删，必须由法定代表人或授权代表在旁边签字才有效。</w:t>
      </w:r>
    </w:p>
    <w:p>
      <w:pPr>
        <w:numPr>
          <w:ilvl w:val="1"/>
          <w:numId w:val="31"/>
        </w:numPr>
        <w:tabs>
          <w:tab w:val="left" w:pos="525"/>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响应文件应当采用不可拆卸的方法的装订，对未经装订的竞争性磋商响应文件可能发生的文件散落或缺损及由此产生的后果由磋商供应商承担。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67" w:name="_Toc9786"/>
      <w:r>
        <w:rPr>
          <w:rFonts w:hint="eastAsia" w:asciiTheme="minorEastAsia" w:hAnsiTheme="minorEastAsia" w:eastAsiaTheme="minorEastAsia" w:cstheme="minorEastAsia"/>
          <w:b/>
          <w:color w:val="auto"/>
          <w:szCs w:val="21"/>
        </w:rPr>
        <w:t>竞争性磋商响应文件的递交</w:t>
      </w:r>
      <w:bookmarkEnd w:id="67"/>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68" w:name="_Toc23886"/>
      <w:bookmarkStart w:id="69" w:name="_Toc27305"/>
      <w:r>
        <w:rPr>
          <w:rFonts w:hint="eastAsia" w:asciiTheme="minorEastAsia" w:hAnsiTheme="minorEastAsia" w:eastAsiaTheme="minorEastAsia" w:cstheme="minorEastAsia"/>
          <w:b/>
          <w:color w:val="auto"/>
          <w:szCs w:val="21"/>
        </w:rPr>
        <w:t>竞争性磋商响应文件</w:t>
      </w:r>
      <w:r>
        <w:rPr>
          <w:rFonts w:hint="eastAsia" w:asciiTheme="minorEastAsia" w:hAnsiTheme="minorEastAsia" w:eastAsiaTheme="minorEastAsia" w:cstheme="minorEastAsia"/>
          <w:b/>
          <w:snapToGrid w:val="0"/>
          <w:color w:val="auto"/>
          <w:kern w:val="0"/>
          <w:szCs w:val="21"/>
          <w:lang w:val="zh-CN"/>
        </w:rPr>
        <w:t>的密封和标记</w:t>
      </w:r>
      <w:bookmarkEnd w:id="68"/>
      <w:bookmarkEnd w:id="69"/>
    </w:p>
    <w:p>
      <w:pPr>
        <w:numPr>
          <w:ilvl w:val="1"/>
          <w:numId w:val="32"/>
        </w:numP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响应文件的正本、所有副本和电子文档必须密封，</w:t>
      </w:r>
      <w:r>
        <w:rPr>
          <w:rFonts w:hint="eastAsia" w:asciiTheme="minorEastAsia" w:hAnsiTheme="minorEastAsia" w:eastAsiaTheme="minorEastAsia" w:cstheme="minorEastAsia"/>
          <w:snapToGrid w:val="0"/>
          <w:color w:val="auto"/>
          <w:kern w:val="0"/>
          <w:szCs w:val="21"/>
          <w:lang w:val="en-US" w:eastAsia="zh-CN"/>
        </w:rPr>
        <w:t>并在每一页以及骑缝处</w:t>
      </w:r>
      <w:r>
        <w:rPr>
          <w:rFonts w:hint="eastAsia" w:asciiTheme="minorEastAsia" w:hAnsiTheme="minorEastAsia" w:eastAsiaTheme="minorEastAsia" w:cstheme="minorEastAsia"/>
          <w:snapToGrid w:val="0"/>
          <w:color w:val="auto"/>
          <w:kern w:val="0"/>
          <w:szCs w:val="21"/>
          <w:lang w:val="zh-CN"/>
        </w:rPr>
        <w:t>加盖供应商公章</w:t>
      </w:r>
      <w:r>
        <w:rPr>
          <w:rFonts w:hint="eastAsia" w:asciiTheme="minorEastAsia" w:hAnsiTheme="minorEastAsia" w:eastAsiaTheme="minorEastAsia" w:cstheme="minorEastAsia"/>
          <w:snapToGrid w:val="0"/>
          <w:color w:val="auto"/>
          <w:kern w:val="0"/>
          <w:szCs w:val="21"/>
        </w:rPr>
        <w:t>后</w:t>
      </w:r>
      <w:r>
        <w:rPr>
          <w:rFonts w:hint="eastAsia" w:asciiTheme="minorEastAsia" w:hAnsiTheme="minorEastAsia" w:eastAsiaTheme="minorEastAsia" w:cstheme="minorEastAsia"/>
          <w:snapToGrid w:val="0"/>
          <w:color w:val="auto"/>
          <w:kern w:val="0"/>
          <w:szCs w:val="21"/>
          <w:lang w:val="zh-CN"/>
        </w:rPr>
        <w:t>递交，包装上应注明</w:t>
      </w:r>
      <w:r>
        <w:rPr>
          <w:rFonts w:hint="eastAsia" w:asciiTheme="minorEastAsia" w:hAnsiTheme="minorEastAsia" w:eastAsiaTheme="minorEastAsia" w:cstheme="minorEastAsia"/>
          <w:snapToGrid w:val="0"/>
          <w:color w:val="auto"/>
          <w:kern w:val="0"/>
          <w:szCs w:val="21"/>
          <w:lang w:val="en-US" w:eastAsia="zh-CN"/>
        </w:rPr>
        <w:t>项目</w:t>
      </w:r>
      <w:r>
        <w:rPr>
          <w:rFonts w:hint="eastAsia" w:asciiTheme="minorEastAsia" w:hAnsiTheme="minorEastAsia" w:eastAsiaTheme="minorEastAsia" w:cstheme="minorEastAsia"/>
          <w:snapToGrid w:val="0"/>
          <w:color w:val="auto"/>
          <w:kern w:val="0"/>
          <w:szCs w:val="21"/>
          <w:lang w:val="zh-CN"/>
        </w:rPr>
        <w:t>编号、项目名称、包号、供应商名称及“</w:t>
      </w:r>
      <w:r>
        <w:rPr>
          <w:rFonts w:hint="eastAsia" w:asciiTheme="minorEastAsia" w:hAnsiTheme="minorEastAsia" w:eastAsiaTheme="minorEastAsia" w:cstheme="minorEastAsia"/>
          <w:snapToGrid w:val="0"/>
          <w:color w:val="auto"/>
          <w:kern w:val="0"/>
          <w:szCs w:val="21"/>
          <w:u w:val="single"/>
          <w:lang w:val="zh-CN"/>
        </w:rPr>
        <w:t xml:space="preserve">  （磋商</w:t>
      </w:r>
      <w:r>
        <w:rPr>
          <w:rFonts w:hint="eastAsia" w:asciiTheme="minorEastAsia" w:hAnsiTheme="minorEastAsia" w:eastAsiaTheme="minorEastAsia" w:cstheme="minorEastAsia"/>
          <w:snapToGrid w:val="0"/>
          <w:color w:val="auto"/>
          <w:kern w:val="0"/>
          <w:szCs w:val="21"/>
          <w:u w:val="single"/>
          <w:lang w:val="en-US" w:eastAsia="zh-CN"/>
        </w:rPr>
        <w:t>截止</w:t>
      </w:r>
      <w:r>
        <w:rPr>
          <w:rFonts w:hint="eastAsia" w:asciiTheme="minorEastAsia" w:hAnsiTheme="minorEastAsia" w:eastAsiaTheme="minorEastAsia" w:cstheme="minorEastAsia"/>
          <w:snapToGrid w:val="0"/>
          <w:color w:val="auto"/>
          <w:kern w:val="0"/>
          <w:szCs w:val="21"/>
          <w:u w:val="single"/>
          <w:lang w:val="zh-CN"/>
        </w:rPr>
        <w:t>时间）  前</w:t>
      </w:r>
      <w:r>
        <w:rPr>
          <w:rFonts w:hint="eastAsia" w:asciiTheme="minorEastAsia" w:hAnsiTheme="minorEastAsia" w:eastAsiaTheme="minorEastAsia" w:cstheme="minorEastAsia"/>
          <w:snapToGrid w:val="0"/>
          <w:color w:val="auto"/>
          <w:kern w:val="0"/>
          <w:szCs w:val="21"/>
          <w:lang w:val="zh-CN"/>
        </w:rPr>
        <w:t>不得启封”的字样。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为方便磋商记录，供应商还应将一份《报价一览表》（原件）与一份《法定代表人授权书》（原件）、磋商保证金缴纳证明（</w:t>
      </w:r>
      <w:r>
        <w:rPr>
          <w:rFonts w:hint="eastAsia" w:asciiTheme="minorEastAsia" w:hAnsiTheme="minorEastAsia" w:eastAsiaTheme="minorEastAsia" w:cstheme="minorEastAsia"/>
          <w:snapToGrid w:val="0"/>
          <w:color w:val="auto"/>
          <w:kern w:val="0"/>
          <w:szCs w:val="21"/>
          <w:lang w:val="en-US" w:eastAsia="zh-CN"/>
        </w:rPr>
        <w:t>如有</w:t>
      </w:r>
      <w:r>
        <w:rPr>
          <w:rFonts w:hint="eastAsia" w:asciiTheme="minorEastAsia" w:hAnsiTheme="minorEastAsia" w:eastAsiaTheme="minorEastAsia" w:cstheme="minorEastAsia"/>
          <w:snapToGrid w:val="0"/>
          <w:color w:val="auto"/>
          <w:kern w:val="0"/>
          <w:szCs w:val="21"/>
          <w:lang w:val="zh-CN"/>
        </w:rPr>
        <w:t>）（复印件）及报价优惠声明（如有）单独密封提交，除需按</w:t>
      </w:r>
      <w:r>
        <w:rPr>
          <w:rFonts w:hint="eastAsia" w:asciiTheme="minorEastAsia" w:hAnsiTheme="minorEastAsia" w:eastAsiaTheme="minorEastAsia" w:cstheme="minorEastAsia"/>
          <w:snapToGrid w:val="0"/>
          <w:color w:val="auto"/>
          <w:kern w:val="0"/>
          <w:szCs w:val="21"/>
          <w:lang w:val="en-US" w:eastAsia="zh-CN"/>
        </w:rPr>
        <w:t>19.1</w:t>
      </w:r>
      <w:r>
        <w:rPr>
          <w:rFonts w:hint="eastAsia" w:asciiTheme="minorEastAsia" w:hAnsiTheme="minorEastAsia" w:eastAsiaTheme="minorEastAsia" w:cstheme="minorEastAsia"/>
          <w:snapToGrid w:val="0"/>
          <w:color w:val="auto"/>
          <w:kern w:val="0"/>
          <w:szCs w:val="21"/>
          <w:lang w:val="zh-CN"/>
        </w:rPr>
        <w:t>款要求注明外还应在信封上标明“报价一览表”字样。</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未按要求密封和加写标记的响应文件为无效文件，采购人、采购代理机构将拒收。</w:t>
      </w:r>
    </w:p>
    <w:p>
      <w:pPr>
        <w:numPr>
          <w:ilvl w:val="1"/>
          <w:numId w:val="32"/>
        </w:numPr>
        <w:shd w:val="clear"/>
        <w:tabs>
          <w:tab w:val="left" w:pos="540"/>
          <w:tab w:val="clear" w:pos="465"/>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要求在磋商时提交样品的，应在样品上标明磋商供应商名称。有关提交及退还样品的相关规定见《供应商须知前附表》。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0" w:name="_Toc11099"/>
      <w:bookmarkStart w:id="71" w:name="_Toc17857"/>
      <w:r>
        <w:rPr>
          <w:rFonts w:hint="eastAsia" w:asciiTheme="minorEastAsia" w:hAnsiTheme="minorEastAsia" w:eastAsiaTheme="minorEastAsia" w:cstheme="minorEastAsia"/>
          <w:b/>
          <w:snapToGrid w:val="0"/>
          <w:color w:val="auto"/>
          <w:kern w:val="0"/>
          <w:szCs w:val="21"/>
          <w:lang w:val="zh-CN"/>
        </w:rPr>
        <w:t>竞争性磋商响应文件的送达地点及截止时间</w:t>
      </w:r>
      <w:bookmarkEnd w:id="70"/>
      <w:bookmarkEnd w:id="71"/>
    </w:p>
    <w:p>
      <w:pPr>
        <w:keepNext w:val="0"/>
        <w:keepLines w:val="0"/>
        <w:pageBreakBefore w:val="0"/>
        <w:widowControl w:val="0"/>
        <w:shd w:val="clear"/>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b/>
          <w:snapToGrid w:val="0"/>
          <w:color w:val="auto"/>
          <w:kern w:val="0"/>
          <w:szCs w:val="21"/>
          <w:lang w:val="zh-CN"/>
        </w:rPr>
      </w:pPr>
      <w:r>
        <w:rPr>
          <w:rFonts w:hint="eastAsia" w:asciiTheme="minorEastAsia" w:hAnsiTheme="minorEastAsia" w:eastAsiaTheme="minorEastAsia" w:cstheme="minorEastAsia"/>
          <w:b/>
          <w:snapToGrid w:val="0"/>
          <w:color w:val="auto"/>
          <w:kern w:val="0"/>
          <w:szCs w:val="21"/>
          <w:lang w:val="zh-CN"/>
        </w:rPr>
        <w:t>20.1</w:t>
      </w:r>
      <w:r>
        <w:rPr>
          <w:rFonts w:hint="eastAsia" w:asciiTheme="minorEastAsia" w:hAnsiTheme="minorEastAsia" w:eastAsiaTheme="minorEastAsia" w:cstheme="minorEastAsia"/>
          <w:b/>
          <w:snapToGrid w:val="0"/>
          <w:color w:val="auto"/>
          <w:kern w:val="0"/>
          <w:szCs w:val="21"/>
          <w:lang w:val="en-US" w:eastAsia="zh-CN"/>
        </w:rPr>
        <w:t xml:space="preserve"> </w:t>
      </w:r>
      <w:r>
        <w:rPr>
          <w:rFonts w:hint="eastAsia" w:asciiTheme="minorEastAsia" w:hAnsiTheme="minorEastAsia" w:eastAsiaTheme="minorEastAsia" w:cstheme="minorEastAsia"/>
          <w:snapToGrid w:val="0"/>
          <w:color w:val="auto"/>
          <w:kern w:val="0"/>
          <w:szCs w:val="21"/>
          <w:lang w:val="zh-CN"/>
        </w:rPr>
        <w:t>截止时间是</w:t>
      </w:r>
      <w:r>
        <w:rPr>
          <w:rFonts w:hint="eastAsia" w:asciiTheme="minorEastAsia" w:hAnsiTheme="minorEastAsia" w:eastAsiaTheme="minorEastAsia" w:cstheme="minorEastAsia"/>
          <w:b/>
          <w:snapToGrid w:val="0"/>
          <w:color w:val="auto"/>
          <w:kern w:val="0"/>
          <w:szCs w:val="21"/>
          <w:lang w:val="zh-CN"/>
        </w:rPr>
        <w:t>竞争性磋商文件</w:t>
      </w:r>
      <w:r>
        <w:rPr>
          <w:rFonts w:hint="eastAsia" w:asciiTheme="minorEastAsia" w:hAnsiTheme="minorEastAsia" w:eastAsiaTheme="minorEastAsia" w:cstheme="minorEastAsia"/>
          <w:snapToGrid w:val="0"/>
          <w:color w:val="auto"/>
          <w:kern w:val="0"/>
          <w:szCs w:val="21"/>
          <w:lang w:val="zh-CN"/>
        </w:rPr>
        <w:t>中规定的首次送达、提交响应文件的最后时间。本次磋商响应文件的送达地点及截止时间见《供应商须知前附表》。</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2" w:name="_Toc16589"/>
      <w:bookmarkStart w:id="73" w:name="_Toc31376"/>
      <w:r>
        <w:rPr>
          <w:rFonts w:hint="eastAsia" w:asciiTheme="minorEastAsia" w:hAnsiTheme="minorEastAsia" w:eastAsiaTheme="minorEastAsia" w:cstheme="minorEastAsia"/>
          <w:b/>
          <w:snapToGrid w:val="0"/>
          <w:color w:val="auto"/>
          <w:kern w:val="0"/>
          <w:szCs w:val="21"/>
          <w:lang w:val="zh-CN"/>
        </w:rPr>
        <w:t>迟交的竞争性磋商响应文件</w:t>
      </w:r>
      <w:bookmarkEnd w:id="72"/>
      <w:bookmarkEnd w:id="73"/>
    </w:p>
    <w:p>
      <w:pPr>
        <w:numPr>
          <w:ilvl w:val="1"/>
          <w:numId w:val="33"/>
        </w:numPr>
        <w:shd w:val="clear"/>
        <w:tabs>
          <w:tab w:val="left" w:pos="540"/>
          <w:tab w:val="clear" w:pos="48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在本次磋商递交响应文件的截止时间以后送达的响应文件，不论何种原因，采购代理机构将拒收。</w:t>
      </w:r>
    </w:p>
    <w:p>
      <w:pPr>
        <w:numPr>
          <w:ilvl w:val="0"/>
          <w:numId w:val="11"/>
        </w:numPr>
        <w:shd w:val="clea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4" w:name="_Toc13658"/>
      <w:bookmarkStart w:id="75" w:name="_Toc31760"/>
      <w:r>
        <w:rPr>
          <w:rFonts w:hint="eastAsia" w:asciiTheme="minorEastAsia" w:hAnsiTheme="minorEastAsia" w:eastAsiaTheme="minorEastAsia" w:cstheme="minorEastAsia"/>
          <w:b/>
          <w:snapToGrid w:val="0"/>
          <w:color w:val="auto"/>
          <w:kern w:val="0"/>
          <w:szCs w:val="21"/>
          <w:lang w:val="zh-CN"/>
        </w:rPr>
        <w:t>竞争性磋商响应文件的补充、修改或者撤回</w:t>
      </w:r>
      <w:bookmarkEnd w:id="74"/>
      <w:bookmarkEnd w:id="75"/>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在</w:t>
      </w:r>
      <w:r>
        <w:rPr>
          <w:rFonts w:hint="eastAsia" w:asciiTheme="minorEastAsia" w:hAnsiTheme="minorEastAsia" w:eastAsiaTheme="minorEastAsia" w:cstheme="minorEastAsia"/>
          <w:snapToGrid w:val="0"/>
          <w:color w:val="auto"/>
          <w:kern w:val="0"/>
          <w:szCs w:val="21"/>
        </w:rPr>
        <w:t>提交</w:t>
      </w:r>
      <w:r>
        <w:rPr>
          <w:rFonts w:hint="eastAsia" w:asciiTheme="minorEastAsia" w:hAnsiTheme="minorEastAsia" w:eastAsiaTheme="minorEastAsia" w:cstheme="minorEastAsia"/>
          <w:snapToGrid w:val="0"/>
          <w:color w:val="auto"/>
          <w:kern w:val="0"/>
          <w:szCs w:val="21"/>
          <w:lang w:val="zh-CN"/>
        </w:rPr>
        <w:t>响应文件截止时间前，供应商可以对</w:t>
      </w:r>
      <w:r>
        <w:rPr>
          <w:rFonts w:hint="eastAsia" w:asciiTheme="minorEastAsia" w:hAnsiTheme="minorEastAsia" w:eastAsiaTheme="minorEastAsia" w:cstheme="minorEastAsia"/>
          <w:snapToGrid w:val="0"/>
          <w:color w:val="auto"/>
          <w:kern w:val="0"/>
          <w:szCs w:val="21"/>
        </w:rPr>
        <w:t>已</w:t>
      </w:r>
      <w:r>
        <w:rPr>
          <w:rFonts w:hint="eastAsia" w:asciiTheme="minorEastAsia" w:hAnsiTheme="minorEastAsia" w:eastAsiaTheme="minorEastAsia" w:cstheme="minorEastAsia"/>
          <w:snapToGrid w:val="0"/>
          <w:color w:val="auto"/>
          <w:kern w:val="0"/>
          <w:szCs w:val="21"/>
          <w:lang w:val="zh-CN"/>
        </w:rPr>
        <w:t>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从</w:t>
      </w:r>
      <w:r>
        <w:rPr>
          <w:rFonts w:hint="eastAsia" w:asciiTheme="minorEastAsia" w:hAnsiTheme="minorEastAsia" w:eastAsiaTheme="minorEastAsia" w:cstheme="minorEastAsia"/>
          <w:snapToGrid w:val="0"/>
          <w:color w:val="auto"/>
          <w:kern w:val="0"/>
          <w:szCs w:val="21"/>
        </w:rPr>
        <w:t>提交</w:t>
      </w:r>
      <w:r>
        <w:rPr>
          <w:rFonts w:hint="eastAsia" w:asciiTheme="minorEastAsia" w:hAnsiTheme="minorEastAsia" w:eastAsiaTheme="minorEastAsia" w:cstheme="minorEastAsia"/>
          <w:snapToGrid w:val="0"/>
          <w:color w:val="auto"/>
          <w:kern w:val="0"/>
          <w:szCs w:val="21"/>
          <w:lang w:val="zh-CN"/>
        </w:rPr>
        <w:t>响应文件截止时间至磋商有效期期满这段时间，供应商不得修改或</w:t>
      </w:r>
      <w:r>
        <w:rPr>
          <w:rFonts w:hint="eastAsia" w:asciiTheme="minorEastAsia" w:hAnsiTheme="minorEastAsia" w:eastAsiaTheme="minorEastAsia" w:cstheme="minorEastAsia"/>
          <w:snapToGrid w:val="0"/>
          <w:color w:val="auto"/>
          <w:kern w:val="0"/>
          <w:szCs w:val="21"/>
        </w:rPr>
        <w:t>撤销</w:t>
      </w:r>
      <w:r>
        <w:rPr>
          <w:rFonts w:hint="eastAsia" w:asciiTheme="minorEastAsia" w:hAnsiTheme="minorEastAsia" w:eastAsiaTheme="minorEastAsia" w:cstheme="minorEastAsia"/>
          <w:snapToGrid w:val="0"/>
          <w:color w:val="auto"/>
          <w:kern w:val="0"/>
          <w:szCs w:val="21"/>
          <w:lang w:val="zh-CN"/>
        </w:rPr>
        <w:t>其响应文件，否则其磋商保证金将不予以退还。</w:t>
      </w:r>
    </w:p>
    <w:p>
      <w:pPr>
        <w:numPr>
          <w:ilvl w:val="1"/>
          <w:numId w:val="34"/>
        </w:numPr>
        <w:tabs>
          <w:tab w:val="left" w:pos="540"/>
        </w:tabs>
        <w:autoSpaceDE w:val="0"/>
        <w:autoSpaceDN w:val="0"/>
        <w:adjustRightInd w:val="0"/>
        <w:spacing w:line="360" w:lineRule="auto"/>
        <w:ind w:left="540" w:hanging="54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供应商所提交的响应文件在磋商结束后，无论成交与否都不退还。</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76" w:name="_Toc24054"/>
      <w:r>
        <w:rPr>
          <w:rFonts w:hint="eastAsia" w:asciiTheme="minorEastAsia" w:hAnsiTheme="minorEastAsia" w:eastAsiaTheme="minorEastAsia" w:cstheme="minorEastAsia"/>
          <w:b/>
          <w:color w:val="auto"/>
          <w:szCs w:val="21"/>
        </w:rPr>
        <w:t>磋商程序及步骤</w:t>
      </w:r>
      <w:bookmarkEnd w:id="76"/>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7" w:name="_Toc8841"/>
      <w:bookmarkStart w:id="78" w:name="_Toc22624"/>
      <w:r>
        <w:rPr>
          <w:rFonts w:hint="eastAsia" w:asciiTheme="minorEastAsia" w:hAnsiTheme="minorEastAsia" w:eastAsiaTheme="minorEastAsia" w:cstheme="minorEastAsia"/>
          <w:b/>
          <w:color w:val="auto"/>
        </w:rPr>
        <w:t>竞争性磋商小组</w:t>
      </w:r>
      <w:bookmarkEnd w:id="77"/>
      <w:bookmarkEnd w:id="78"/>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szCs w:val="21"/>
        </w:rPr>
        <w:t>23.1 采购人</w:t>
      </w:r>
      <w:r>
        <w:rPr>
          <w:rFonts w:hint="eastAsia" w:asciiTheme="minorEastAsia" w:hAnsiTheme="minorEastAsia" w:eastAsiaTheme="minorEastAsia" w:cstheme="minorEastAsia"/>
          <w:color w:val="auto"/>
        </w:rPr>
        <w:t>依照《中华人民共和国政府采购法》、《中华人民共和国政府采购法实施条例》、《政府采购竞争性磋商采购方式管理暂行办法》及现行法律规定组建磋商小组</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rPr>
        <w:t>磋商小组由采购人代表和评审专家共3人或</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人以上单数组成</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rPr>
        <w:t>磋商小组人数详见《供应商须知前附表》。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23.2 磋商小组中的评审专家人数不少于磋商小组成员总数的2/3。除本采购文件另有规定，评审专家将从政府采购评审专家库中随机抽取。 </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23.3 磋商小组所有成员按事先抽取的磋商顺序</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集中与单一供应商分别进行磋商，并给予所有参加磋商的供应商平等的磋商机会。</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snapToGrid w:val="0"/>
          <w:color w:val="auto"/>
          <w:kern w:val="0"/>
          <w:szCs w:val="21"/>
          <w:lang w:val="zh-CN"/>
        </w:rPr>
      </w:pPr>
      <w:bookmarkStart w:id="79" w:name="_Toc21483"/>
      <w:bookmarkStart w:id="80" w:name="_Toc26119"/>
      <w:r>
        <w:rPr>
          <w:rFonts w:hint="eastAsia" w:asciiTheme="minorEastAsia" w:hAnsiTheme="minorEastAsia" w:eastAsiaTheme="minorEastAsia" w:cstheme="minorEastAsia"/>
          <w:b/>
          <w:color w:val="auto"/>
        </w:rPr>
        <w:t>磋商代表</w:t>
      </w:r>
      <w:bookmarkEnd w:id="79"/>
      <w:bookmarkEnd w:id="80"/>
    </w:p>
    <w:p>
      <w:pPr>
        <w:keepNext w:val="0"/>
        <w:keepLines w:val="0"/>
        <w:pageBreakBefore w:val="0"/>
        <w:widowControl w:val="0"/>
        <w:tabs>
          <w:tab w:val="left" w:pos="864"/>
          <w:tab w:val="left" w:pos="1080"/>
        </w:tabs>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szCs w:val="21"/>
          <w:lang w:val="en-US" w:eastAsia="zh-CN"/>
        </w:rPr>
      </w:pPr>
      <w:bookmarkStart w:id="81" w:name="_Toc9967"/>
      <w:bookmarkStart w:id="82" w:name="_Toc32662"/>
      <w:r>
        <w:rPr>
          <w:rFonts w:hint="eastAsia" w:asciiTheme="minorEastAsia" w:hAnsiTheme="minorEastAsia" w:eastAsiaTheme="minorEastAsia" w:cstheme="minorEastAsia"/>
          <w:b/>
          <w:color w:val="auto"/>
        </w:rPr>
        <w:t xml:space="preserve">24.1 </w:t>
      </w:r>
      <w:r>
        <w:rPr>
          <w:rFonts w:hint="eastAsia" w:asciiTheme="minorEastAsia" w:hAnsiTheme="minorEastAsia" w:eastAsiaTheme="minorEastAsia" w:cstheme="minorEastAsia"/>
          <w:color w:val="auto"/>
          <w:szCs w:val="21"/>
        </w:rPr>
        <w:t>磋商供应商法定代表人或授权代表应携带本人身份证明参加磋商，授权代表参加磋商的，还应携带法定代表人授权书原件。磋商代表经磋商小组核对身份后，方可参加磋商。</w:t>
      </w:r>
      <w:bookmarkEnd w:id="81"/>
      <w:bookmarkEnd w:id="82"/>
      <w:r>
        <w:rPr>
          <w:rFonts w:hint="eastAsia" w:asciiTheme="minorEastAsia" w:hAnsiTheme="minorEastAsia" w:eastAsiaTheme="minorEastAsia" w:cstheme="minorEastAsia"/>
          <w:color w:val="auto"/>
          <w:szCs w:val="21"/>
          <w:lang w:val="en-US" w:eastAsia="zh-CN"/>
        </w:rPr>
        <w:t>磋商代表的其他要求见《供应商须知前附表》。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rPr>
      </w:pPr>
      <w:bookmarkStart w:id="83" w:name="_Toc17050"/>
      <w:r>
        <w:rPr>
          <w:rFonts w:hint="eastAsia" w:asciiTheme="minorEastAsia" w:hAnsiTheme="minorEastAsia" w:eastAsiaTheme="minorEastAsia" w:cstheme="minorEastAsia"/>
          <w:b/>
          <w:color w:val="auto"/>
        </w:rPr>
        <w:t>资格审查和符合性审查</w:t>
      </w:r>
      <w:bookmarkEnd w:id="83"/>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25.1在正式磋商前，本磋商文件第四章规定的程序和方法，对供应商进行资格性审查和符合性审查，通过资格性审查和符合性审查，实质性响应磋商文件的供应商方可进入磋商程序。</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rPr>
      </w:pPr>
      <w:bookmarkStart w:id="84" w:name="_Toc26543"/>
      <w:r>
        <w:rPr>
          <w:rFonts w:hint="eastAsia" w:asciiTheme="minorEastAsia" w:hAnsiTheme="minorEastAsia" w:eastAsiaTheme="minorEastAsia" w:cstheme="minorEastAsia"/>
          <w:b/>
          <w:color w:val="auto"/>
        </w:rPr>
        <w:t>磋商</w:t>
      </w:r>
      <w:bookmarkEnd w:id="84"/>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26.1磋商小组将根据本磋商文件第四章规定的程序和方法与</w:t>
      </w:r>
      <w:r>
        <w:rPr>
          <w:rFonts w:hint="eastAsia" w:asciiTheme="minorEastAsia" w:hAnsiTheme="minorEastAsia" w:eastAsiaTheme="minorEastAsia" w:cstheme="minorEastAsia"/>
          <w:color w:val="auto"/>
          <w:szCs w:val="21"/>
          <w:lang w:val="en-US" w:eastAsia="zh-CN"/>
        </w:rPr>
        <w:t>供应商</w:t>
      </w:r>
      <w:r>
        <w:rPr>
          <w:rFonts w:hint="eastAsia" w:asciiTheme="minorEastAsia" w:hAnsiTheme="minorEastAsia" w:eastAsiaTheme="minorEastAsia" w:cstheme="minorEastAsia"/>
          <w:color w:val="auto"/>
          <w:szCs w:val="21"/>
        </w:rPr>
        <w:t>进行磋商。在磋商中，磋商的任何一方不得透露与磋商有关的其他磋商供应商的技</w:t>
      </w:r>
      <w:r>
        <w:rPr>
          <w:rFonts w:hint="eastAsia" w:asciiTheme="minorEastAsia" w:hAnsiTheme="minorEastAsia" w:eastAsiaTheme="minorEastAsia" w:cstheme="minorEastAsia"/>
          <w:color w:val="auto"/>
        </w:rPr>
        <w:t>术资料、价格和其他信息。</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r>
        <w:rPr>
          <w:rFonts w:hint="eastAsia" w:asciiTheme="minorEastAsia" w:hAnsiTheme="minorEastAsia" w:eastAsiaTheme="minorEastAsia" w:cstheme="minorEastAsia"/>
          <w:color w:val="auto"/>
          <w:szCs w:val="21"/>
        </w:rPr>
        <w:t>并提供必要的修正时间。</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26.3供应商应当按照磋商文件的变动情况和磋商小组的要求重新提交响应文件，</w:t>
      </w:r>
      <w:r>
        <w:rPr>
          <w:rFonts w:hint="eastAsia" w:asciiTheme="minorEastAsia" w:hAnsiTheme="minorEastAsia" w:eastAsiaTheme="minorEastAsia" w:cstheme="minorEastAsia"/>
          <w:color w:val="auto"/>
          <w:szCs w:val="21"/>
        </w:rPr>
        <w:t>对原响应文件进行技术、商务、价格修正，重新提交的响应文件应实质性响应本磋商文件及</w:t>
      </w:r>
      <w:r>
        <w:rPr>
          <w:rFonts w:hint="eastAsia" w:asciiTheme="minorEastAsia" w:hAnsiTheme="minorEastAsia" w:eastAsiaTheme="minorEastAsia" w:cstheme="minorEastAsia"/>
          <w:color w:val="auto"/>
        </w:rPr>
        <w:t>对磋商文件作出的实质性变动，</w:t>
      </w:r>
      <w:r>
        <w:rPr>
          <w:rFonts w:hint="eastAsia" w:asciiTheme="minorEastAsia" w:hAnsiTheme="minorEastAsia" w:eastAsiaTheme="minorEastAsia" w:cstheme="minorEastAsia"/>
          <w:color w:val="auto"/>
          <w:szCs w:val="21"/>
        </w:rPr>
        <w:t>并按本采购文件的规定进行签署。重新提交的响应文件与原响应文件不一致的，以重新提交的响应文件为准。不按要求签署或逾时不提交响应文件的，视同放弃磋商，放弃磋商的</w:t>
      </w:r>
      <w:r>
        <w:rPr>
          <w:rFonts w:hint="eastAsia" w:asciiTheme="minorEastAsia" w:hAnsiTheme="minorEastAsia" w:eastAsiaTheme="minorEastAsia" w:cstheme="minorEastAsia"/>
          <w:color w:val="auto"/>
        </w:rPr>
        <w:t>供应商的磋商保证金将在成交通知书发放后的五个工作日内退还。</w:t>
      </w:r>
    </w:p>
    <w:p>
      <w:pPr>
        <w:tabs>
          <w:tab w:val="left" w:pos="540"/>
        </w:tabs>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26.4最后报价</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115" w:firstLineChars="55"/>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Cs/>
          <w:color w:val="auto"/>
          <w:kern w:val="44"/>
          <w:szCs w:val="21"/>
        </w:rPr>
        <w:t>采购代理机构将已确定条件的最后报价书发放至所有磋商供应商，要求磋商供应商在指定的时间内提交满足要求的最后报价，密封递交磋商小组。所有磋商供应商递交最后报价后，磋商小组将记录所有磋商供应商的最终价格。</w:t>
      </w:r>
      <w:r>
        <w:rPr>
          <w:rFonts w:hint="eastAsia" w:asciiTheme="minorEastAsia" w:hAnsiTheme="minorEastAsia" w:eastAsiaTheme="minorEastAsia" w:cstheme="minorEastAsia"/>
          <w:color w:val="auto"/>
        </w:rPr>
        <w:t>最后报价为本次竞争性磋商不可变动的最终价格。</w:t>
      </w:r>
    </w:p>
    <w:p>
      <w:pPr>
        <w:keepNext w:val="0"/>
        <w:keepLines w:val="0"/>
        <w:pageBreakBefore w:val="0"/>
        <w:widowControl w:val="0"/>
        <w:kinsoku/>
        <w:wordWrap/>
        <w:overflowPunct/>
        <w:topLinePunct w:val="0"/>
        <w:autoSpaceDE/>
        <w:autoSpaceDN/>
        <w:bidi w:val="0"/>
        <w:adjustRightInd/>
        <w:snapToGrid/>
        <w:spacing w:line="360" w:lineRule="auto"/>
        <w:ind w:left="535" w:leftChars="200" w:hanging="115" w:hangingChars="55"/>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磋商文件能够详细列明采购标的的技术、服务要求的，磋商结束后，磋商小组应当要求所有继续参加磋商的供应商在规定时间内提交最后报价，提交最后报价的供应商不得少于3家。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360" w:lineRule="auto"/>
        <w:ind w:left="535" w:leftChars="200" w:hanging="115" w:hangingChars="55"/>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keepNext w:val="0"/>
        <w:keepLines w:val="0"/>
        <w:pageBreakBefore w:val="0"/>
        <w:widowControl w:val="0"/>
        <w:kinsoku/>
        <w:wordWrap/>
        <w:overflowPunct/>
        <w:topLinePunct w:val="0"/>
        <w:autoSpaceDE/>
        <w:autoSpaceDN/>
        <w:bidi w:val="0"/>
        <w:adjustRightInd/>
        <w:snapToGrid/>
        <w:spacing w:line="360" w:lineRule="auto"/>
        <w:ind w:left="535" w:leftChars="200" w:hanging="115" w:hangingChars="55"/>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本采购项目提交最后报价供应商的确定方式详见《供应商须知前附表》。</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26.5</w:t>
      </w:r>
      <w:r>
        <w:rPr>
          <w:rFonts w:hint="eastAsia" w:asciiTheme="minorEastAsia" w:hAnsiTheme="minorEastAsia" w:eastAsiaTheme="minorEastAsia" w:cstheme="minorEastAsia"/>
          <w:bCs/>
          <w:color w:val="auto"/>
          <w:kern w:val="44"/>
          <w:szCs w:val="21"/>
        </w:rPr>
        <w:t>如有需要，磋商小组可进行多轮磋商，直至最终确定竞争性磋商采购文件采购需求中的技术、服务要求以及合同草案条款。如竞争性磋商采购文件无需修改，可直接要求磋商供应商</w:t>
      </w:r>
      <w:r>
        <w:rPr>
          <w:rFonts w:hint="eastAsia" w:asciiTheme="minorEastAsia" w:hAnsiTheme="minorEastAsia" w:eastAsiaTheme="minorEastAsia" w:cstheme="minorEastAsia"/>
          <w:color w:val="auto"/>
        </w:rPr>
        <w:t>提交最后报价</w:t>
      </w:r>
      <w:r>
        <w:rPr>
          <w:rFonts w:hint="eastAsia" w:asciiTheme="minorEastAsia" w:hAnsiTheme="minorEastAsia" w:eastAsiaTheme="minorEastAsia" w:cstheme="minorEastAsia"/>
          <w:bCs/>
          <w:color w:val="auto"/>
          <w:kern w:val="44"/>
          <w:szCs w:val="21"/>
        </w:rPr>
        <w:t>。</w:t>
      </w:r>
    </w:p>
    <w:p>
      <w:pPr>
        <w:keepNext w:val="0"/>
        <w:keepLines w:val="0"/>
        <w:pageBreakBefore w:val="0"/>
        <w:widowControl w:val="0"/>
        <w:kinsoku/>
        <w:wordWrap/>
        <w:overflowPunct/>
        <w:topLinePunct w:val="0"/>
        <w:autoSpaceDE/>
        <w:autoSpaceDN/>
        <w:bidi w:val="0"/>
        <w:adjustRightInd/>
        <w:snapToGrid/>
        <w:spacing w:line="360" w:lineRule="auto"/>
        <w:ind w:left="539" w:hanging="539"/>
        <w:jc w:val="left"/>
        <w:textAlignment w:val="auto"/>
        <w:rPr>
          <w:rFonts w:hint="eastAsia" w:asciiTheme="minorEastAsia" w:hAnsiTheme="minorEastAsia" w:eastAsiaTheme="minorEastAsia" w:cstheme="minorEastAsia"/>
          <w:bCs/>
          <w:color w:val="auto"/>
          <w:kern w:val="44"/>
          <w:szCs w:val="21"/>
        </w:rPr>
      </w:pPr>
      <w:r>
        <w:rPr>
          <w:rFonts w:hint="eastAsia" w:asciiTheme="minorEastAsia" w:hAnsiTheme="minorEastAsia" w:eastAsiaTheme="minorEastAsia" w:cstheme="minorEastAsia"/>
          <w:color w:val="auto"/>
        </w:rPr>
        <w:t>26.6</w:t>
      </w:r>
      <w:r>
        <w:rPr>
          <w:rFonts w:hint="eastAsia" w:asciiTheme="minorEastAsia" w:hAnsiTheme="minorEastAsia" w:eastAsiaTheme="minorEastAsia" w:cstheme="minorEastAsia"/>
          <w:bCs/>
          <w:color w:val="auto"/>
          <w:kern w:val="44"/>
          <w:szCs w:val="21"/>
        </w:rPr>
        <w:t xml:space="preserve"> 磋商小组审核完最终报价后，根据竞争性磋商采购文件规定的评定办法推荐成交候选人或根据采购人的书面授权直接确定成交供应商。</w:t>
      </w:r>
    </w:p>
    <w:p>
      <w:pPr>
        <w:spacing w:line="360" w:lineRule="auto"/>
        <w:rPr>
          <w:rFonts w:hint="eastAsia" w:asciiTheme="minorEastAsia" w:hAnsiTheme="minorEastAsia" w:eastAsiaTheme="minorEastAsia" w:cstheme="minorEastAsia"/>
          <w:bCs/>
          <w:color w:val="auto"/>
          <w:kern w:val="44"/>
          <w:szCs w:val="21"/>
        </w:rPr>
      </w:pPr>
      <w:r>
        <w:rPr>
          <w:rFonts w:hint="eastAsia" w:asciiTheme="minorEastAsia" w:hAnsiTheme="minorEastAsia" w:eastAsiaTheme="minorEastAsia" w:cstheme="minorEastAsia"/>
          <w:bCs/>
          <w:color w:val="auto"/>
          <w:kern w:val="44"/>
          <w:szCs w:val="21"/>
        </w:rPr>
        <w:t>26.7采购代理机构对磋商过程和重要磋商内容进行记录，磋商双方在记录上签字确认。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85" w:name="_Toc30772"/>
      <w:r>
        <w:rPr>
          <w:rFonts w:hint="eastAsia" w:asciiTheme="minorEastAsia" w:hAnsiTheme="minorEastAsia" w:eastAsiaTheme="minorEastAsia" w:cstheme="minorEastAsia"/>
          <w:b/>
          <w:color w:val="auto"/>
          <w:lang w:val="zh-CN"/>
        </w:rPr>
        <w:t>保密</w:t>
      </w:r>
      <w:bookmarkEnd w:id="85"/>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凡是属于审查、澄清、评价和比较的有关资料以及授标意向等，采购人、采购代理机构、监管人员、</w:t>
      </w:r>
      <w:r>
        <w:rPr>
          <w:rFonts w:hint="eastAsia" w:asciiTheme="minorEastAsia" w:hAnsiTheme="minorEastAsia" w:eastAsiaTheme="minorEastAsia" w:cstheme="minorEastAsia"/>
          <w:bCs/>
          <w:color w:val="auto"/>
          <w:kern w:val="44"/>
          <w:szCs w:val="21"/>
        </w:rPr>
        <w:t>磋商小组</w:t>
      </w:r>
      <w:r>
        <w:rPr>
          <w:rFonts w:hint="eastAsia" w:asciiTheme="minorEastAsia" w:hAnsiTheme="minorEastAsia" w:eastAsiaTheme="minorEastAsia" w:cstheme="minorEastAsia"/>
          <w:snapToGrid w:val="0"/>
          <w:color w:val="auto"/>
          <w:kern w:val="0"/>
          <w:szCs w:val="21"/>
          <w:lang w:val="zh-CN"/>
        </w:rPr>
        <w:t>及有关工作人员均不得向供应商或其它无关的人员透露。</w:t>
      </w:r>
    </w:p>
    <w:p>
      <w:pPr>
        <w:numPr>
          <w:ilvl w:val="1"/>
          <w:numId w:val="35"/>
        </w:numPr>
        <w:autoSpaceDE w:val="0"/>
        <w:autoSpaceDN w:val="0"/>
        <w:adjustRightInd w:val="0"/>
        <w:spacing w:line="360" w:lineRule="auto"/>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w:t>
      </w:r>
      <w:r>
        <w:rPr>
          <w:rFonts w:hint="eastAsia" w:asciiTheme="minorEastAsia" w:hAnsiTheme="minorEastAsia" w:eastAsiaTheme="minorEastAsia" w:cstheme="minorEastAsia"/>
          <w:snapToGrid w:val="0"/>
          <w:color w:val="auto"/>
          <w:kern w:val="0"/>
          <w:szCs w:val="21"/>
          <w:lang w:val="en-US" w:eastAsia="zh-CN"/>
        </w:rPr>
        <w:t>四</w:t>
      </w:r>
      <w:r>
        <w:rPr>
          <w:rFonts w:hint="eastAsia" w:asciiTheme="minorEastAsia" w:hAnsiTheme="minorEastAsia" w:eastAsiaTheme="minorEastAsia" w:cstheme="minorEastAsia"/>
          <w:snapToGrid w:val="0"/>
          <w:color w:val="auto"/>
          <w:kern w:val="0"/>
          <w:szCs w:val="21"/>
          <w:lang w:val="zh-CN"/>
        </w:rPr>
        <w:t>章“</w:t>
      </w:r>
      <w:r>
        <w:rPr>
          <w:rFonts w:hint="eastAsia" w:asciiTheme="minorEastAsia" w:hAnsiTheme="minorEastAsia" w:eastAsiaTheme="minorEastAsia" w:cstheme="minorEastAsia"/>
          <w:snapToGrid w:val="0"/>
          <w:color w:val="auto"/>
          <w:kern w:val="0"/>
          <w:szCs w:val="21"/>
          <w:lang w:val="en-US" w:eastAsia="zh-CN"/>
        </w:rPr>
        <w:t>评定办法</w:t>
      </w:r>
      <w:r>
        <w:rPr>
          <w:rFonts w:hint="eastAsia" w:asciiTheme="minorEastAsia" w:hAnsiTheme="minorEastAsia" w:eastAsiaTheme="minorEastAsia" w:cstheme="minorEastAsia"/>
          <w:snapToGrid w:val="0"/>
          <w:color w:val="auto"/>
          <w:kern w:val="0"/>
          <w:szCs w:val="21"/>
          <w:lang w:val="zh-CN"/>
        </w:rPr>
        <w:t>”。</w:t>
      </w:r>
    </w:p>
    <w:p>
      <w:pPr>
        <w:numPr>
          <w:ilvl w:val="1"/>
          <w:numId w:val="35"/>
        </w:numPr>
        <w:autoSpaceDE w:val="0"/>
        <w:autoSpaceDN w:val="0"/>
        <w:adjustRightInd w:val="0"/>
        <w:spacing w:line="360" w:lineRule="auto"/>
        <w:jc w:val="left"/>
        <w:rPr>
          <w:rFonts w:hint="eastAsia"/>
          <w:color w:val="auto"/>
          <w:lang w:val="zh-CN"/>
        </w:rPr>
      </w:pPr>
      <w:r>
        <w:rPr>
          <w:rFonts w:hint="eastAsia" w:asciiTheme="minorEastAsia" w:hAnsiTheme="minorEastAsia" w:eastAsiaTheme="minorEastAsia" w:cstheme="minorEastAsia"/>
          <w:snapToGrid w:val="0"/>
          <w:color w:val="auto"/>
          <w:kern w:val="0"/>
          <w:szCs w:val="21"/>
          <w:lang w:val="zh-CN"/>
        </w:rPr>
        <w:t>磋商小组根据综合评分情况，按照评审得分由高到低的顺序及《供应商须知前附表》规定的数量推荐成交候选供应商，并编写评审报告。评审报告应当有磋商小组全体成员签字认可。</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rPr>
      </w:pPr>
      <w:bookmarkStart w:id="86" w:name="_Toc30407"/>
      <w:r>
        <w:rPr>
          <w:rFonts w:hint="eastAsia" w:asciiTheme="minorEastAsia" w:hAnsiTheme="minorEastAsia" w:eastAsiaTheme="minorEastAsia" w:cstheme="minorEastAsia"/>
          <w:b/>
          <w:color w:val="auto"/>
          <w:szCs w:val="21"/>
        </w:rPr>
        <w:t>成交与签订合同</w:t>
      </w:r>
      <w:bookmarkEnd w:id="86"/>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87" w:name="_Toc7258"/>
      <w:r>
        <w:rPr>
          <w:rFonts w:hint="eastAsia" w:asciiTheme="minorEastAsia" w:hAnsiTheme="minorEastAsia" w:eastAsiaTheme="minorEastAsia" w:cstheme="minorEastAsia"/>
          <w:b/>
          <w:color w:val="auto"/>
          <w:lang w:val="zh-CN"/>
        </w:rPr>
        <w:t>合同授予标准</w:t>
      </w:r>
      <w:bookmarkEnd w:id="87"/>
    </w:p>
    <w:p>
      <w:pPr>
        <w:autoSpaceDE w:val="0"/>
        <w:autoSpaceDN w:val="0"/>
        <w:adjustRightInd w:val="0"/>
        <w:spacing w:line="360" w:lineRule="auto"/>
        <w:jc w:val="left"/>
        <w:rPr>
          <w:rFonts w:hint="eastAsia" w:asciiTheme="minorEastAsia" w:hAnsiTheme="minorEastAsia" w:eastAsiaTheme="minorEastAsia" w:cstheme="minorEastAsia"/>
          <w:iCs/>
          <w:snapToGrid w:val="0"/>
          <w:color w:val="auto"/>
          <w:kern w:val="0"/>
          <w:szCs w:val="21"/>
          <w:lang w:val="zh-CN"/>
        </w:rPr>
      </w:pPr>
      <w:r>
        <w:rPr>
          <w:rFonts w:hint="eastAsia" w:asciiTheme="minorEastAsia" w:hAnsiTheme="minorEastAsia" w:eastAsiaTheme="minorEastAsia" w:cstheme="minorEastAsia"/>
          <w:iCs/>
          <w:snapToGrid w:val="0"/>
          <w:color w:val="auto"/>
          <w:kern w:val="0"/>
          <w:szCs w:val="21"/>
          <w:lang w:val="zh-CN"/>
        </w:rPr>
        <w:t>28.1</w:t>
      </w:r>
      <w:r>
        <w:rPr>
          <w:rFonts w:hint="eastAsia" w:asciiTheme="minorEastAsia" w:hAnsiTheme="minorEastAsia" w:eastAsiaTheme="minorEastAsia" w:cstheme="minorEastAsia"/>
          <w:iCs/>
          <w:snapToGrid w:val="0"/>
          <w:color w:val="auto"/>
          <w:kern w:val="0"/>
          <w:szCs w:val="21"/>
          <w:lang w:val="en-US" w:eastAsia="zh-CN"/>
        </w:rPr>
        <w:t xml:space="preserve"> </w:t>
      </w:r>
      <w:r>
        <w:rPr>
          <w:rFonts w:hint="eastAsia" w:asciiTheme="minorEastAsia" w:hAnsiTheme="minorEastAsia" w:eastAsiaTheme="minorEastAsia" w:cstheme="minorEastAsia"/>
          <w:iCs/>
          <w:snapToGrid w:val="0"/>
          <w:color w:val="auto"/>
          <w:kern w:val="0"/>
          <w:szCs w:val="21"/>
          <w:lang w:val="zh-CN"/>
        </w:rPr>
        <w:t>采购人将把合同授予排名第一的供应商，特殊情况按本须知29.3的规定执行。</w:t>
      </w:r>
    </w:p>
    <w:p>
      <w:pPr>
        <w:outlineLvl w:val="9"/>
        <w:rPr>
          <w:rFonts w:ascii="宋体" w:hAnsi="宋体" w:eastAsia="宋体" w:cs="宋体"/>
          <w:color w:val="auto"/>
          <w:sz w:val="24"/>
          <w:szCs w:val="24"/>
        </w:rPr>
      </w:pPr>
      <w:r>
        <w:rPr>
          <w:rFonts w:hint="eastAsia" w:asciiTheme="minorEastAsia" w:hAnsiTheme="minorEastAsia" w:eastAsiaTheme="minorEastAsia" w:cstheme="minorEastAsia"/>
          <w:iCs/>
          <w:snapToGrid w:val="0"/>
          <w:color w:val="auto"/>
          <w:kern w:val="0"/>
          <w:szCs w:val="21"/>
          <w:lang w:val="zh-CN"/>
        </w:rPr>
        <w:t>28.</w:t>
      </w:r>
      <w:r>
        <w:rPr>
          <w:rFonts w:hint="eastAsia" w:asciiTheme="minorEastAsia" w:hAnsiTheme="minorEastAsia" w:eastAsiaTheme="minorEastAsia" w:cstheme="minorEastAsia"/>
          <w:iCs/>
          <w:snapToGrid w:val="0"/>
          <w:color w:val="auto"/>
          <w:kern w:val="0"/>
          <w:szCs w:val="21"/>
          <w:lang w:val="en-US" w:eastAsia="zh-CN"/>
        </w:rPr>
        <w:t xml:space="preserve">2 </w:t>
      </w:r>
      <w:r>
        <w:rPr>
          <w:rFonts w:hint="eastAsia" w:asciiTheme="minorEastAsia" w:hAnsiTheme="minorEastAsia" w:eastAsiaTheme="minorEastAsia" w:cstheme="minorEastAsia"/>
          <w:iCs/>
          <w:snapToGrid w:val="0"/>
          <w:color w:val="auto"/>
          <w:kern w:val="0"/>
          <w:szCs w:val="21"/>
          <w:lang w:val="zh-CN"/>
        </w:rPr>
        <w:t>采购代理机构应当在评审结束后2个工作日内将评审报告送采购人确认。</w:t>
      </w:r>
      <w:r>
        <w:rPr>
          <w:rFonts w:ascii="宋体" w:hAnsi="宋体" w:eastAsia="宋体" w:cs="宋体"/>
          <w:color w:val="auto"/>
          <w:sz w:val="24"/>
          <w:szCs w:val="24"/>
        </w:rPr>
        <w:t xml:space="preserve"> </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28.</w:t>
      </w:r>
      <w:r>
        <w:rPr>
          <w:rFonts w:hint="eastAsia" w:asciiTheme="minorEastAsia" w:hAnsiTheme="minorEastAsia" w:eastAsiaTheme="minorEastAsia" w:cstheme="minorEastAsia"/>
          <w:snapToGrid w:val="0"/>
          <w:color w:val="auto"/>
          <w:kern w:val="0"/>
          <w:szCs w:val="21"/>
          <w:lang w:val="en-US" w:eastAsia="zh-CN"/>
        </w:rPr>
        <w:t xml:space="preserve">3 </w:t>
      </w:r>
      <w:r>
        <w:rPr>
          <w:rFonts w:hint="eastAsia" w:asciiTheme="minorEastAsia" w:hAnsiTheme="minorEastAsia" w:eastAsiaTheme="minorEastAsia" w:cstheme="minorEastAsia"/>
          <w:snapToGrid w:val="0"/>
          <w:color w:val="auto"/>
          <w:kern w:val="0"/>
          <w:szCs w:val="21"/>
          <w:lang w:val="zh-CN"/>
        </w:rPr>
        <w:t xml:space="preserve">采购人应当在收到评审报告后5个工作日内，从评审报告提出的成交候选供应商中，按照推荐排序确定成交供应商，也可以书面授权磋商小组直接确定成交供应商。采购人逾期未确定成交供应商且不提出异议的，视为确定评审报告提出的排序第一的供应商为成交供应商。 </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jc w:val="left"/>
        <w:textAlignment w:val="auto"/>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28.</w:t>
      </w:r>
      <w:r>
        <w:rPr>
          <w:rFonts w:hint="eastAsia" w:asciiTheme="minorEastAsia" w:hAnsiTheme="minorEastAsia" w:eastAsiaTheme="minorEastAsia" w:cstheme="minorEastAsia"/>
          <w:snapToGrid w:val="0"/>
          <w:color w:val="auto"/>
          <w:kern w:val="0"/>
          <w:szCs w:val="21"/>
          <w:lang w:val="en-US" w:eastAsia="zh-CN"/>
        </w:rPr>
        <w:t xml:space="preserve">4 </w:t>
      </w:r>
      <w:r>
        <w:rPr>
          <w:rFonts w:hint="eastAsia" w:asciiTheme="minorEastAsia" w:hAnsiTheme="minorEastAsia" w:eastAsiaTheme="minorEastAsia" w:cstheme="minorEastAsia"/>
          <w:snapToGrid w:val="0"/>
          <w:color w:val="auto"/>
          <w:kern w:val="0"/>
          <w:szCs w:val="21"/>
          <w:lang w:val="zh-CN"/>
        </w:rPr>
        <w:t xml:space="preserve">采购人或者采购代理机构应当在成交供应商确定后2个工作日内，在省级以上财政部门指定的政府采购信息发布媒体上公告成交结果，同时向成交供应商发出成交通知书，并将磋商文件随成交结果同时公告。 </w:t>
      </w:r>
    </w:p>
    <w:p>
      <w:pPr>
        <w:autoSpaceDE w:val="0"/>
        <w:autoSpaceDN w:val="0"/>
        <w:adjustRightInd w:val="0"/>
        <w:spacing w:line="360" w:lineRule="auto"/>
        <w:jc w:val="left"/>
        <w:rPr>
          <w:rFonts w:hint="eastAsia" w:asciiTheme="minorEastAsia" w:hAnsiTheme="minorEastAsia" w:eastAsiaTheme="minorEastAsia" w:cstheme="minorEastAsia"/>
          <w:iCs/>
          <w:snapToGrid w:val="0"/>
          <w:color w:val="auto"/>
          <w:kern w:val="0"/>
          <w:szCs w:val="21"/>
          <w:lang w:val="zh-CN"/>
        </w:rPr>
      </w:pPr>
      <w:r>
        <w:rPr>
          <w:rFonts w:hint="eastAsia" w:asciiTheme="minorEastAsia" w:hAnsiTheme="minorEastAsia" w:eastAsiaTheme="minorEastAsia" w:cstheme="minorEastAsia"/>
          <w:iCs/>
          <w:snapToGrid w:val="0"/>
          <w:color w:val="auto"/>
          <w:kern w:val="0"/>
          <w:szCs w:val="21"/>
          <w:lang w:val="zh-CN"/>
        </w:rPr>
        <w:t>28.</w:t>
      </w:r>
      <w:r>
        <w:rPr>
          <w:rFonts w:hint="eastAsia" w:asciiTheme="minorEastAsia" w:hAnsiTheme="minorEastAsia" w:eastAsiaTheme="minorEastAsia" w:cstheme="minorEastAsia"/>
          <w:iCs/>
          <w:snapToGrid w:val="0"/>
          <w:color w:val="auto"/>
          <w:kern w:val="0"/>
          <w:szCs w:val="21"/>
          <w:lang w:val="en-US" w:eastAsia="zh-CN"/>
        </w:rPr>
        <w:t xml:space="preserve">5 </w:t>
      </w:r>
      <w:r>
        <w:rPr>
          <w:rFonts w:hint="eastAsia" w:asciiTheme="minorEastAsia" w:hAnsiTheme="minorEastAsia" w:eastAsiaTheme="minorEastAsia" w:cstheme="minorEastAsia"/>
          <w:iCs/>
          <w:snapToGrid w:val="0"/>
          <w:color w:val="auto"/>
          <w:kern w:val="0"/>
          <w:szCs w:val="21"/>
          <w:lang w:val="zh-CN"/>
        </w:rPr>
        <w:t>成交通知书的领取时间详见《供应商须知前附表》。</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88" w:name="_Toc29351"/>
      <w:r>
        <w:rPr>
          <w:rFonts w:hint="eastAsia" w:asciiTheme="minorEastAsia" w:hAnsiTheme="minorEastAsia" w:eastAsiaTheme="minorEastAsia" w:cstheme="minorEastAsia"/>
          <w:b/>
          <w:color w:val="auto"/>
          <w:lang w:val="zh-CN"/>
        </w:rPr>
        <w:t>签订合同</w:t>
      </w:r>
      <w:bookmarkEnd w:id="88"/>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29.1 竞争性磋商采购文件对履约保证金有规定的，成交供应商应按规定在签订合同前缴纳履约保证金。</w:t>
      </w:r>
    </w:p>
    <w:p>
      <w:pPr>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snapToGrid w:val="0"/>
          <w:color w:val="auto"/>
          <w:szCs w:val="21"/>
          <w:lang w:val="zh-CN"/>
        </w:rPr>
        <w:t>29.2 采购人与成交供应商应当在成交通知书发出之日起30日内，按照采购文件确定的合同文本以及采购标的、规格型号、采购金额、采购数量、技术和服务要求等事项签订政府采购合同。</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采购人应当自政府采购合同签订之日起2个工作日内，将政府采购合同在省级以上人民政府指定的媒体上公告，但政府采购合同中涉及国家秘密、商业秘密的内容除外。</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29.3 </w:t>
      </w:r>
      <w:r>
        <w:rPr>
          <w:rFonts w:hint="eastAsia" w:asciiTheme="minorEastAsia" w:hAnsiTheme="minorEastAsia" w:eastAsiaTheme="minorEastAsia" w:cstheme="minorEastAsia"/>
          <w:color w:val="auto"/>
          <w:lang w:val="zh-CN"/>
        </w:rPr>
        <w:t>成交供应商拒绝与采购人签订合同的，采购人可以按照评审报告推荐的成交候选人名单排序，确定下一候选人为成交供应商，也可以重新开展政府采购活动。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29.4 </w:t>
      </w:r>
      <w:r>
        <w:rPr>
          <w:rFonts w:hint="eastAsia" w:asciiTheme="minorEastAsia" w:hAnsiTheme="minorEastAsia" w:eastAsiaTheme="minorEastAsia" w:cstheme="minorEastAsia"/>
          <w:snapToGrid w:val="0"/>
          <w:color w:val="auto"/>
          <w:kern w:val="0"/>
          <w:szCs w:val="21"/>
          <w:lang w:val="zh-CN"/>
        </w:rPr>
        <w:t>签订政府采购合同后7个工作日内，采购人应将政府采购合同副本报同级政府采购监管部门备案。</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29.5 采购代理机构将配合采购人与成交供应商签订政府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keepNext w:val="0"/>
        <w:keepLines w:val="0"/>
        <w:pageBreakBefore w:val="0"/>
        <w:widowControl w:val="0"/>
        <w:tabs>
          <w:tab w:val="left" w:pos="540"/>
        </w:tabs>
        <w:kinsoku/>
        <w:wordWrap/>
        <w:overflowPunct/>
        <w:topLinePunct w:val="0"/>
        <w:autoSpaceDE w:val="0"/>
        <w:autoSpaceDN w:val="0"/>
        <w:bidi w:val="0"/>
        <w:adjustRightInd w:val="0"/>
        <w:snapToGrid/>
        <w:spacing w:line="360" w:lineRule="auto"/>
        <w:ind w:left="539" w:hanging="539" w:firstLineChars="0"/>
        <w:jc w:val="left"/>
        <w:textAlignment w:val="auto"/>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szCs w:val="21"/>
          <w:lang w:val="zh-CN"/>
        </w:rPr>
        <w:t>29.6 除不可抗力等因素外，成交通知书发出后，采购人改变成交结果，或者成交供应商拒绝签订政府采购合同的，应当承担相应的法律责任。</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交供应商拒绝签订政府采购合同的，采购人可以按照《政府采购竞争性磋商采购方式管理暂行办法》第三十三条规定的原则确定其他供应商作为成交供应商并签订政府采购合同，也可以重新开展采购活动。拒绝签订政府采购合同的成交供应商不得参加对该项目重新开展的采购活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89" w:name="_Toc4883"/>
      <w:bookmarkStart w:id="90" w:name="_Toc13988"/>
      <w:bookmarkStart w:id="91" w:name="_Toc14510"/>
      <w:bookmarkStart w:id="92" w:name="_Toc23007"/>
      <w:r>
        <w:rPr>
          <w:rFonts w:hint="eastAsia" w:asciiTheme="minorEastAsia" w:hAnsiTheme="minorEastAsia" w:eastAsiaTheme="minorEastAsia" w:cstheme="minorEastAsia"/>
          <w:b/>
          <w:color w:val="auto"/>
          <w:szCs w:val="21"/>
          <w:lang w:val="zh-CN"/>
        </w:rPr>
        <w:t>质疑和投诉</w:t>
      </w:r>
      <w:bookmarkEnd w:id="89"/>
      <w:bookmarkEnd w:id="90"/>
      <w:bookmarkEnd w:id="91"/>
      <w:bookmarkEnd w:id="92"/>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93" w:name="_Toc26703"/>
      <w:r>
        <w:rPr>
          <w:rFonts w:hint="eastAsia" w:asciiTheme="minorEastAsia" w:hAnsiTheme="minorEastAsia" w:eastAsiaTheme="minorEastAsia" w:cstheme="minorEastAsia"/>
          <w:b/>
          <w:color w:val="auto"/>
          <w:lang w:val="zh-CN"/>
        </w:rPr>
        <w:t>质疑</w:t>
      </w:r>
      <w:bookmarkEnd w:id="93"/>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0</w:t>
      </w:r>
      <w:r>
        <w:rPr>
          <w:rFonts w:hint="eastAsia" w:ascii="宋体" w:hAnsi="宋体" w:cs="宋体"/>
          <w:snapToGrid w:val="0"/>
          <w:color w:val="auto"/>
          <w:kern w:val="0"/>
          <w:szCs w:val="21"/>
          <w:lang w:val="zh-CN"/>
        </w:rPr>
        <w:t>.1</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lang w:val="zh-CN"/>
        </w:rPr>
        <w:t>供应商认为磋商文件、磋商过程和成交结果使自己的权益受到损害的，可以在知道或者应知其权益受到损害之日起7个工作日内，以书面形式向采购人或采购代理机构提出质疑。我公司受理项目质疑部门为技术部,联系人：张梦；联系电话：027-87820788。</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0</w:t>
      </w:r>
      <w:r>
        <w:rPr>
          <w:rFonts w:hint="eastAsia" w:ascii="宋体" w:hAnsi="宋体" w:cs="宋体"/>
          <w:snapToGrid w:val="0"/>
          <w:color w:val="auto"/>
          <w:kern w:val="0"/>
          <w:szCs w:val="21"/>
          <w:lang w:val="zh-CN"/>
        </w:rPr>
        <w:t>.2</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lang w:val="zh-CN"/>
        </w:rPr>
        <w:t>质疑书应当包括下列主要内容：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（1）质疑人的名称、地址、联系人及联系电话等；</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（2）被质疑人的名称、地址、联系人及联系电话等；</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（3）质疑项目名称及编号、质疑事项和明确的请求；</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（4）质疑事项的事实根据、法律依据及其他必要的证明材料；质疑人提供的证明材料属于其他供应商投标（响应）文件未公开内容的，应当提供书面材料证明其合法来源；</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（5）提出质疑的日期；</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（6）质疑人的署名及签章（质疑人为自然人的，应当由本人签字；质疑人为法人或者其他组织的，应当由法定代表人或者主要负责人签字盖章并加盖公章）；</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（7）法人授权委托书（质疑人或法人委托代理人办理质疑事务的，应当提供授权委托书，授权委托书应当载明委托代理的具体权限和事项）。</w:t>
      </w:r>
    </w:p>
    <w:p>
      <w:pPr>
        <w:keepNext w:val="0"/>
        <w:keepLines w:val="0"/>
        <w:pageBreakBefore w:val="0"/>
        <w:widowControl w:val="0"/>
        <w:kinsoku/>
        <w:wordWrap/>
        <w:overflowPunct/>
        <w:topLinePunct w:val="0"/>
        <w:autoSpaceDE w:val="0"/>
        <w:autoSpaceDN w:val="0"/>
        <w:bidi w:val="0"/>
        <w:adjustRightInd w:val="0"/>
        <w:snapToGrid/>
        <w:spacing w:line="360" w:lineRule="auto"/>
        <w:ind w:left="630" w:leftChars="300" w:firstLine="92" w:firstLineChars="44"/>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质疑书不符合上述要求的，采购人或代理机构应书面告知具体事项，质疑人应当按要求进行修改或补充，并在质疑有效期限内提交。</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94" w:name="_Toc10603"/>
      <w:r>
        <w:rPr>
          <w:rFonts w:hint="eastAsia" w:asciiTheme="minorEastAsia" w:hAnsiTheme="minorEastAsia" w:eastAsiaTheme="minorEastAsia" w:cstheme="minorEastAsia"/>
          <w:b/>
          <w:color w:val="auto"/>
          <w:lang w:val="zh-CN"/>
        </w:rPr>
        <w:t>质疑回复</w:t>
      </w:r>
      <w:bookmarkEnd w:id="94"/>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lang w:val="zh-CN"/>
        </w:rPr>
        <w:t>.1</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lang w:val="zh-CN"/>
        </w:rPr>
        <w:t>采购人或采购代理机构应当在收到供应商的书面质疑后7个工作日内作出答复，并以书面形式通知质疑供应商和其他有关供应商，但答复的内容不得涉及商业秘密。</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1</w:t>
      </w:r>
      <w:r>
        <w:rPr>
          <w:rFonts w:hint="eastAsia" w:ascii="宋体" w:hAnsi="宋体" w:cs="宋体"/>
          <w:snapToGrid w:val="0"/>
          <w:color w:val="auto"/>
          <w:kern w:val="0"/>
          <w:szCs w:val="21"/>
          <w:lang w:val="zh-CN"/>
        </w:rPr>
        <w:t>.2</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lang w:val="zh-CN"/>
        </w:rPr>
        <w:t>质疑答复应当包括下列内容：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（1）质疑人的名称、地址、联系人及联系电话；</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（2）采购人或采购代理机构（委托项目一并列出）的名称、地址、联系人及联系电话；</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（3）受理质疑的日期、质疑项目名称及编号、质疑事项；</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（4）质疑事项答复的具体情况及事实根据、法律依据；</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（5）告知质疑人依法投诉的权利和投诉方式；</w:t>
      </w:r>
    </w:p>
    <w:p>
      <w:pPr>
        <w:autoSpaceDE w:val="0"/>
        <w:autoSpaceDN w:val="0"/>
        <w:adjustRightInd w:val="0"/>
        <w:spacing w:line="360" w:lineRule="auto"/>
        <w:jc w:val="left"/>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（6）质疑答复日期。</w:t>
      </w:r>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zh-CN"/>
        </w:rPr>
      </w:pPr>
      <w:bookmarkStart w:id="95" w:name="_Toc14017"/>
      <w:r>
        <w:rPr>
          <w:rFonts w:hint="eastAsia" w:asciiTheme="minorEastAsia" w:hAnsiTheme="minorEastAsia" w:eastAsiaTheme="minorEastAsia" w:cstheme="minorEastAsia"/>
          <w:b/>
          <w:color w:val="auto"/>
          <w:lang w:val="zh-CN"/>
        </w:rPr>
        <w:t>投诉</w:t>
      </w:r>
      <w:bookmarkEnd w:id="95"/>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lang w:val="zh-CN"/>
        </w:rPr>
        <w:t>.1</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lang w:val="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2</w:t>
      </w:r>
      <w:r>
        <w:rPr>
          <w:rFonts w:hint="eastAsia" w:ascii="宋体" w:hAnsi="宋体" w:cs="宋体"/>
          <w:snapToGrid w:val="0"/>
          <w:color w:val="auto"/>
          <w:kern w:val="0"/>
          <w:szCs w:val="21"/>
          <w:lang w:val="zh-CN"/>
        </w:rPr>
        <w:t>.2</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lang w:val="zh-CN"/>
        </w:rPr>
        <w:t>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96" w:name="_Toc28705"/>
      <w:bookmarkStart w:id="97" w:name="_Toc6896"/>
      <w:bookmarkStart w:id="98" w:name="_Toc5571"/>
      <w:bookmarkStart w:id="99" w:name="_Toc14767"/>
      <w:r>
        <w:rPr>
          <w:rFonts w:hint="eastAsia" w:asciiTheme="minorEastAsia" w:hAnsiTheme="minorEastAsia" w:eastAsiaTheme="minorEastAsia" w:cstheme="minorEastAsia"/>
          <w:b/>
          <w:color w:val="auto"/>
          <w:szCs w:val="21"/>
          <w:lang w:val="zh-CN"/>
        </w:rPr>
        <w:t>政策</w:t>
      </w:r>
      <w:bookmarkEnd w:id="96"/>
      <w:bookmarkEnd w:id="97"/>
      <w:bookmarkEnd w:id="98"/>
      <w:bookmarkEnd w:id="99"/>
    </w:p>
    <w:p>
      <w:pPr>
        <w:numPr>
          <w:ilvl w:val="0"/>
          <w:numId w:val="11"/>
        </w:numPr>
        <w:tabs>
          <w:tab w:val="left" w:pos="864"/>
          <w:tab w:val="left" w:pos="1080"/>
        </w:tabs>
        <w:spacing w:line="360" w:lineRule="auto"/>
        <w:ind w:hanging="540"/>
        <w:outlineLvl w:val="1"/>
        <w:rPr>
          <w:rFonts w:hint="eastAsia" w:asciiTheme="minorEastAsia" w:hAnsiTheme="minorEastAsia" w:eastAsiaTheme="minorEastAsia" w:cstheme="minorEastAsia"/>
          <w:b/>
          <w:color w:val="auto"/>
          <w:lang w:val="en-US" w:eastAsia="zh-CN"/>
        </w:rPr>
      </w:pPr>
      <w:bookmarkStart w:id="100" w:name="_Toc3901"/>
      <w:r>
        <w:rPr>
          <w:rFonts w:hint="eastAsia" w:asciiTheme="minorEastAsia" w:hAnsiTheme="minorEastAsia" w:eastAsiaTheme="minorEastAsia" w:cstheme="minorEastAsia"/>
          <w:b/>
          <w:color w:val="auto"/>
          <w:lang w:val="en-US" w:eastAsia="zh-CN"/>
        </w:rPr>
        <w:t>政府采购政策</w:t>
      </w:r>
      <w:bookmarkEnd w:id="100"/>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rPr>
        <w:t>.1</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spacing w:val="-2"/>
          <w:kern w:val="0"/>
          <w:szCs w:val="21"/>
          <w:lang w:val="zh-CN"/>
        </w:rPr>
        <w:t>除非“供应商须知前附表”中有特殊规定，本项目所采购的货物应当为中华人民共和国境内提供。</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rPr>
        <w:t>.2</w:t>
      </w:r>
      <w:r>
        <w:rPr>
          <w:rFonts w:hint="eastAsia" w:ascii="宋体" w:hAnsi="宋体" w:cs="宋体"/>
          <w:snapToGrid w:val="0"/>
          <w:color w:val="auto"/>
          <w:kern w:val="0"/>
          <w:szCs w:val="21"/>
          <w:lang w:val="en-US" w:eastAsia="zh-CN"/>
        </w:rPr>
        <w:t xml:space="preserve"> </w:t>
      </w:r>
      <w:r>
        <w:rPr>
          <w:rFonts w:hint="eastAsia" w:ascii="宋体" w:hAnsi="宋体" w:cs="宋体"/>
          <w:snapToGrid w:val="0"/>
          <w:color w:val="auto"/>
          <w:kern w:val="0"/>
          <w:szCs w:val="21"/>
          <w:lang w:val="zh-CN"/>
        </w:rPr>
        <w:t>为促进中小企业发展，本项目供应商如符合工信部联企业【</w:t>
      </w:r>
      <w:r>
        <w:rPr>
          <w:rFonts w:hint="eastAsia" w:ascii="宋体" w:hAnsi="宋体" w:cs="宋体"/>
          <w:snapToGrid w:val="0"/>
          <w:color w:val="auto"/>
          <w:kern w:val="0"/>
          <w:szCs w:val="21"/>
          <w:lang w:val="en-US" w:eastAsia="zh-CN"/>
        </w:rPr>
        <w:t>2011</w:t>
      </w:r>
      <w:r>
        <w:rPr>
          <w:rFonts w:hint="eastAsia" w:ascii="宋体" w:hAnsi="宋体" w:cs="宋体"/>
          <w:snapToGrid w:val="0"/>
          <w:color w:val="auto"/>
          <w:kern w:val="0"/>
          <w:szCs w:val="21"/>
          <w:lang w:val="zh-CN"/>
        </w:rPr>
        <w:t>】300号文中对中小企业划型标准的，可按照“评定办法前附表”中相关规定，对产品的价格给予一定比例的扣除，用扣除后的价格参与评审。具体扣除比例详见“评定办法前附表”。</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33.3 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磋商小组审核确认供应商属于监狱企业的，在评定时视同中小企业，价格给予6%的扣除后的价格参与评审。</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en-US" w:eastAsia="zh-CN"/>
        </w:rPr>
      </w:pPr>
      <w:r>
        <w:rPr>
          <w:rFonts w:hint="eastAsia" w:ascii="宋体" w:hAnsi="宋体" w:cs="宋体"/>
          <w:snapToGrid w:val="0"/>
          <w:color w:val="auto"/>
          <w:kern w:val="0"/>
          <w:szCs w:val="21"/>
          <w:lang w:val="en-US" w:eastAsia="zh-CN"/>
        </w:rPr>
        <w:t>33.4 按照《三部门联合发布关于促进残疾人就业政府采购政策的通知》（财库【2017】141 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格式见第六章），并对声明的真实性负责，未提供声明函的不予折扣。经磋商小组审核确认供应商符合残疾人福利性单位条件的，在评定时视同中小企业。残疾人福利性单位属于小型、微型企业的，不重复享受政策。</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en-US"/>
        </w:rPr>
      </w:pPr>
      <w:r>
        <w:rPr>
          <w:rFonts w:hint="eastAsia" w:ascii="宋体" w:hAnsi="宋体" w:cs="宋体"/>
          <w:snapToGrid w:val="0"/>
          <w:color w:val="auto"/>
          <w:kern w:val="0"/>
          <w:szCs w:val="21"/>
          <w:lang w:val="zh-CN" w:eastAsia="zh-CN"/>
        </w:rPr>
        <w:t>3</w:t>
      </w:r>
      <w:r>
        <w:rPr>
          <w:rFonts w:hint="eastAsia" w:ascii="宋体" w:hAnsi="宋体" w:cs="宋体"/>
          <w:snapToGrid w:val="0"/>
          <w:color w:val="auto"/>
          <w:kern w:val="0"/>
          <w:szCs w:val="21"/>
          <w:lang w:val="en-US" w:eastAsia="zh-CN"/>
        </w:rPr>
        <w:t>3</w:t>
      </w:r>
      <w:r>
        <w:rPr>
          <w:rFonts w:hint="eastAsia" w:ascii="宋体" w:hAnsi="宋体" w:cs="宋体"/>
          <w:snapToGrid w:val="0"/>
          <w:color w:val="auto"/>
          <w:kern w:val="0"/>
          <w:szCs w:val="21"/>
          <w:lang w:val="zh-CN" w:eastAsia="zh-CN"/>
        </w:rPr>
        <w:t>.</w:t>
      </w:r>
      <w:r>
        <w:rPr>
          <w:rFonts w:hint="eastAsia" w:ascii="宋体" w:hAnsi="宋体" w:cs="宋体"/>
          <w:snapToGrid w:val="0"/>
          <w:color w:val="auto"/>
          <w:kern w:val="0"/>
          <w:szCs w:val="21"/>
          <w:lang w:val="en-US" w:eastAsia="zh-CN"/>
        </w:rPr>
        <w:t>5 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keepNext w:val="0"/>
        <w:keepLines w:val="0"/>
        <w:pageBreakBefore w:val="0"/>
        <w:widowControl w:val="0"/>
        <w:kinsoku/>
        <w:wordWrap/>
        <w:overflowPunct/>
        <w:topLinePunct w:val="0"/>
        <w:autoSpaceDE w:val="0"/>
        <w:autoSpaceDN w:val="0"/>
        <w:bidi w:val="0"/>
        <w:adjustRightInd w:val="0"/>
        <w:snapToGrid/>
        <w:spacing w:line="360" w:lineRule="auto"/>
        <w:ind w:left="539" w:hanging="539"/>
        <w:jc w:val="left"/>
        <w:textAlignment w:val="auto"/>
        <w:rPr>
          <w:rFonts w:hint="eastAsia" w:ascii="宋体" w:hAnsi="宋体" w:cs="宋体"/>
          <w:snapToGrid w:val="0"/>
          <w:color w:val="auto"/>
          <w:kern w:val="0"/>
          <w:szCs w:val="21"/>
          <w:lang w:val="zh-CN"/>
        </w:rPr>
      </w:pPr>
      <w:r>
        <w:rPr>
          <w:rFonts w:hint="eastAsia" w:ascii="宋体" w:hAnsi="宋体" w:cs="宋体"/>
          <w:snapToGrid w:val="0"/>
          <w:color w:val="auto"/>
          <w:kern w:val="0"/>
          <w:szCs w:val="21"/>
          <w:lang w:val="zh-CN"/>
        </w:rPr>
        <w:t>33.</w:t>
      </w:r>
      <w:r>
        <w:rPr>
          <w:rFonts w:hint="eastAsia" w:ascii="宋体" w:hAnsi="宋体" w:cs="宋体"/>
          <w:snapToGrid w:val="0"/>
          <w:color w:val="auto"/>
          <w:kern w:val="0"/>
          <w:szCs w:val="21"/>
          <w:lang w:val="en-US" w:eastAsia="zh-CN"/>
        </w:rPr>
        <w:t xml:space="preserve">6 </w:t>
      </w:r>
      <w:r>
        <w:rPr>
          <w:rFonts w:hint="eastAsia" w:ascii="宋体" w:hAnsi="宋体" w:cs="宋体"/>
          <w:snapToGrid w:val="0"/>
          <w:color w:val="auto"/>
          <w:kern w:val="0"/>
          <w:szCs w:val="21"/>
          <w:lang w:val="zh-CN"/>
        </w:rPr>
        <w:t>上述政府采购政策优惠须经磋商小组评审后执行，未提供单独分项报价或证明资料不全的不给予价格扣除。</w:t>
      </w:r>
    </w:p>
    <w:p>
      <w:pPr>
        <w:keepNext w:val="0"/>
        <w:keepLines w:val="0"/>
        <w:pageBreakBefore w:val="0"/>
        <w:widowControl w:val="0"/>
        <w:kinsoku/>
        <w:wordWrap/>
        <w:overflowPunct/>
        <w:topLinePunct w:val="0"/>
        <w:autoSpaceDE w:val="0"/>
        <w:autoSpaceDN w:val="0"/>
        <w:bidi w:val="0"/>
        <w:adjustRightInd w:val="0"/>
        <w:snapToGrid/>
        <w:spacing w:line="360" w:lineRule="auto"/>
        <w:ind w:left="420" w:leftChars="200" w:firstLine="211" w:firstLineChars="100"/>
        <w:jc w:val="left"/>
        <w:textAlignment w:val="auto"/>
        <w:rPr>
          <w:rFonts w:hint="eastAsia"/>
          <w:b/>
          <w:bCs/>
          <w:color w:val="auto"/>
          <w:lang w:val="zh-CN"/>
        </w:rPr>
      </w:pPr>
      <w:r>
        <w:rPr>
          <w:rFonts w:hint="eastAsia" w:ascii="宋体" w:hAnsi="宋体" w:cs="宋体"/>
          <w:b/>
          <w:bCs/>
          <w:snapToGrid w:val="0"/>
          <w:color w:val="auto"/>
          <w:kern w:val="0"/>
          <w:szCs w:val="21"/>
          <w:lang w:val="zh-CN"/>
        </w:rPr>
        <w:t>供应商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101" w:name="_Toc16251"/>
      <w:r>
        <w:rPr>
          <w:rFonts w:hint="eastAsia" w:asciiTheme="minorEastAsia" w:hAnsiTheme="minorEastAsia" w:eastAsiaTheme="minorEastAsia" w:cstheme="minorEastAsia"/>
          <w:b/>
          <w:color w:val="auto"/>
          <w:szCs w:val="21"/>
          <w:lang w:val="zh-CN"/>
        </w:rPr>
        <w:t>其他要求</w:t>
      </w:r>
      <w:bookmarkEnd w:id="101"/>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见《供应商须知前附表》。</w:t>
      </w:r>
    </w:p>
    <w:p>
      <w:pPr>
        <w:numPr>
          <w:ilvl w:val="1"/>
          <w:numId w:val="10"/>
        </w:numPr>
        <w:tabs>
          <w:tab w:val="left" w:pos="540"/>
          <w:tab w:val="clear" w:pos="840"/>
        </w:tabs>
        <w:spacing w:line="360" w:lineRule="auto"/>
        <w:ind w:left="540" w:hanging="540"/>
        <w:outlineLvl w:val="1"/>
        <w:rPr>
          <w:rFonts w:hint="eastAsia" w:asciiTheme="minorEastAsia" w:hAnsiTheme="minorEastAsia" w:eastAsiaTheme="minorEastAsia" w:cstheme="minorEastAsia"/>
          <w:b/>
          <w:color w:val="auto"/>
          <w:szCs w:val="21"/>
          <w:lang w:val="zh-CN"/>
        </w:rPr>
      </w:pPr>
      <w:bookmarkStart w:id="102" w:name="_Toc30779"/>
      <w:r>
        <w:rPr>
          <w:rFonts w:hint="eastAsia" w:asciiTheme="minorEastAsia" w:hAnsiTheme="minorEastAsia" w:eastAsiaTheme="minorEastAsia" w:cstheme="minorEastAsia"/>
          <w:b/>
          <w:color w:val="auto"/>
          <w:szCs w:val="21"/>
          <w:lang w:val="zh-CN"/>
        </w:rPr>
        <w:t>适用法律</w:t>
      </w:r>
      <w:bookmarkEnd w:id="102"/>
    </w:p>
    <w:p>
      <w:pPr>
        <w:keepNext w:val="0"/>
        <w:keepLines w:val="0"/>
        <w:pageBreakBefore w:val="0"/>
        <w:widowControl w:val="0"/>
        <w:kinsoku/>
        <w:wordWrap/>
        <w:overflowPunct/>
        <w:topLinePunct w:val="0"/>
        <w:autoSpaceDE w:val="0"/>
        <w:autoSpaceDN w:val="0"/>
        <w:bidi w:val="0"/>
        <w:adjustRightInd w:val="0"/>
        <w:snapToGrid/>
        <w:spacing w:line="360" w:lineRule="auto"/>
        <w:ind w:left="535" w:leftChars="200" w:hanging="115" w:hangingChars="55"/>
        <w:jc w:val="left"/>
        <w:textAlignment w:val="auto"/>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采购人或者采购代理机构和供应商的一切采购活动均适用于《中华人民共和国政府采购法》、《中华人民共和国政府采购实施条例》、《政府采购竞争性磋商采购方式管理办法》等相关规定。</w:t>
      </w:r>
      <w:r>
        <w:rPr>
          <w:rFonts w:hint="eastAsia" w:asciiTheme="minorEastAsia" w:hAnsiTheme="minorEastAsia" w:eastAsiaTheme="minorEastAsia" w:cstheme="minorEastAsia"/>
          <w:snapToGrid w:val="0"/>
          <w:color w:val="auto"/>
          <w:kern w:val="0"/>
          <w:szCs w:val="21"/>
          <w:lang w:val="zh-CN"/>
        </w:rPr>
        <w:br w:type="textWrapping"/>
      </w:r>
      <w:r>
        <w:rPr>
          <w:rFonts w:hint="eastAsia" w:asciiTheme="minorEastAsia" w:hAnsiTheme="minorEastAsia" w:eastAsiaTheme="minorEastAsia" w:cstheme="minorEastAsia"/>
          <w:b/>
          <w:bCs/>
          <w:snapToGrid w:val="0"/>
          <w:color w:val="auto"/>
          <w:kern w:val="0"/>
          <w:szCs w:val="21"/>
          <w:lang w:val="zh-CN"/>
        </w:rPr>
        <w:t>补充说明：</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hanging="539" w:firstLineChars="0"/>
        <w:jc w:val="left"/>
        <w:textAlignment w:val="auto"/>
        <w:outlineLvl w:val="9"/>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除本采购文件另有规定外，采购文件中出现的类似于“近三年”或“前三年”、“近五年”或“前五年”均指递交响应文件时间以前 3 年或前 5 年，以此类推。如：递交响应文件时间为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12 月 1 日，则“近三年”是指 201</w:t>
      </w:r>
      <w:r>
        <w:rPr>
          <w:rFonts w:hint="eastAsia" w:asciiTheme="minorEastAsia" w:hAnsiTheme="minorEastAsia" w:eastAsiaTheme="minorEastAsia" w:cstheme="minorEastAsia"/>
          <w:snapToGrid w:val="0"/>
          <w:color w:val="auto"/>
          <w:kern w:val="0"/>
          <w:szCs w:val="21"/>
          <w:lang w:val="en-US" w:eastAsia="zh-CN"/>
        </w:rPr>
        <w:t>6</w:t>
      </w:r>
      <w:r>
        <w:rPr>
          <w:rFonts w:hint="eastAsia" w:asciiTheme="minorEastAsia" w:hAnsiTheme="minorEastAsia" w:eastAsiaTheme="minorEastAsia" w:cstheme="minorEastAsia"/>
          <w:snapToGrid w:val="0"/>
          <w:color w:val="auto"/>
          <w:kern w:val="0"/>
          <w:szCs w:val="21"/>
          <w:lang w:val="zh-CN"/>
        </w:rPr>
        <w:t>年 12 月 1 日至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11 月 30 日。</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关于提交经审计的财务报告的年份要求：递交响应文件时间如在当年 6 月 30 日以前，</w:t>
      </w:r>
      <w:r>
        <w:rPr>
          <w:rFonts w:hint="eastAsia" w:asciiTheme="minorEastAsia" w:hAnsiTheme="minorEastAsia" w:eastAsiaTheme="minorEastAsia" w:cstheme="minorEastAsia"/>
          <w:snapToGrid w:val="0"/>
          <w:color w:val="auto"/>
          <w:kern w:val="0"/>
          <w:szCs w:val="21"/>
          <w:lang w:val="en-US" w:eastAsia="zh-CN"/>
        </w:rPr>
        <w:t>则</w:t>
      </w:r>
      <w:r>
        <w:rPr>
          <w:rFonts w:hint="eastAsia" w:asciiTheme="minorEastAsia" w:hAnsiTheme="minorEastAsia" w:eastAsiaTheme="minorEastAsia" w:cstheme="minorEastAsia"/>
          <w:snapToGrid w:val="0"/>
          <w:color w:val="auto"/>
          <w:kern w:val="0"/>
          <w:szCs w:val="21"/>
          <w:lang w:val="zh-CN"/>
        </w:rPr>
        <w:t>近三年指上上个年度往前推算的三年，如递交响应文件时间为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6 月 9 日，则“近三年”</w:t>
      </w:r>
      <w:r>
        <w:rPr>
          <w:rFonts w:hint="eastAsia" w:asciiTheme="minorEastAsia" w:hAnsiTheme="minorEastAsia" w:eastAsiaTheme="minorEastAsia" w:cstheme="minorEastAsia"/>
          <w:snapToGrid w:val="0"/>
          <w:color w:val="auto"/>
          <w:kern w:val="0"/>
          <w:szCs w:val="21"/>
          <w:lang w:val="en-US" w:eastAsia="zh-CN"/>
        </w:rPr>
        <w:t>是</w:t>
      </w:r>
      <w:r>
        <w:rPr>
          <w:rFonts w:hint="eastAsia" w:asciiTheme="minorEastAsia" w:hAnsiTheme="minorEastAsia" w:eastAsiaTheme="minorEastAsia" w:cstheme="minorEastAsia"/>
          <w:snapToGrid w:val="0"/>
          <w:color w:val="auto"/>
          <w:kern w:val="0"/>
          <w:szCs w:val="21"/>
          <w:lang w:val="zh-CN"/>
        </w:rPr>
        <w:t>指 201</w:t>
      </w:r>
      <w:r>
        <w:rPr>
          <w:rFonts w:hint="eastAsia" w:asciiTheme="minorEastAsia" w:hAnsiTheme="minorEastAsia" w:eastAsiaTheme="minorEastAsia" w:cstheme="minorEastAsia"/>
          <w:snapToGrid w:val="0"/>
          <w:color w:val="auto"/>
          <w:kern w:val="0"/>
          <w:szCs w:val="21"/>
          <w:lang w:val="en-US" w:eastAsia="zh-CN"/>
        </w:rPr>
        <w:t>5</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6</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7</w:t>
      </w:r>
      <w:r>
        <w:rPr>
          <w:rFonts w:hint="eastAsia" w:asciiTheme="minorEastAsia" w:hAnsiTheme="minorEastAsia" w:eastAsiaTheme="minorEastAsia" w:cstheme="minorEastAsia"/>
          <w:snapToGrid w:val="0"/>
          <w:color w:val="auto"/>
          <w:kern w:val="0"/>
          <w:szCs w:val="21"/>
          <w:lang w:val="zh-CN"/>
        </w:rPr>
        <w:t>年度。递交响应文件时间如在当年 6 月 30 日以后，则近三年是指上个年度往前推算的 3 年，如递交响应文件时间为 201</w:t>
      </w:r>
      <w:r>
        <w:rPr>
          <w:rFonts w:hint="eastAsia" w:asciiTheme="minorEastAsia" w:hAnsiTheme="minorEastAsia" w:eastAsiaTheme="minorEastAsia" w:cstheme="minorEastAsia"/>
          <w:snapToGrid w:val="0"/>
          <w:color w:val="auto"/>
          <w:kern w:val="0"/>
          <w:szCs w:val="21"/>
          <w:lang w:val="en-US" w:eastAsia="zh-CN"/>
        </w:rPr>
        <w:t>9</w:t>
      </w:r>
      <w:r>
        <w:rPr>
          <w:rFonts w:hint="eastAsia" w:asciiTheme="minorEastAsia" w:hAnsiTheme="minorEastAsia" w:eastAsiaTheme="minorEastAsia" w:cstheme="minorEastAsia"/>
          <w:snapToGrid w:val="0"/>
          <w:color w:val="auto"/>
          <w:kern w:val="0"/>
          <w:szCs w:val="21"/>
          <w:lang w:val="zh-CN"/>
        </w:rPr>
        <w:t>年 12 月 1 日，则“近三年”是指 201</w:t>
      </w:r>
      <w:r>
        <w:rPr>
          <w:rFonts w:hint="eastAsia" w:asciiTheme="minorEastAsia" w:hAnsiTheme="minorEastAsia" w:eastAsiaTheme="minorEastAsia" w:cstheme="minorEastAsia"/>
          <w:snapToGrid w:val="0"/>
          <w:color w:val="auto"/>
          <w:kern w:val="0"/>
          <w:szCs w:val="21"/>
          <w:lang w:val="en-US" w:eastAsia="zh-CN"/>
        </w:rPr>
        <w:t>6</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7</w:t>
      </w:r>
      <w:r>
        <w:rPr>
          <w:rFonts w:hint="eastAsia" w:asciiTheme="minorEastAsia" w:hAnsiTheme="minorEastAsia" w:eastAsiaTheme="minorEastAsia" w:cstheme="minorEastAsia"/>
          <w:snapToGrid w:val="0"/>
          <w:color w:val="auto"/>
          <w:kern w:val="0"/>
          <w:szCs w:val="21"/>
          <w:lang w:val="zh-CN"/>
        </w:rPr>
        <w:t>年度、201</w:t>
      </w:r>
      <w:r>
        <w:rPr>
          <w:rFonts w:hint="eastAsia" w:asciiTheme="minorEastAsia" w:hAnsiTheme="minorEastAsia" w:eastAsiaTheme="minorEastAsia" w:cstheme="minorEastAsia"/>
          <w:snapToGrid w:val="0"/>
          <w:color w:val="auto"/>
          <w:kern w:val="0"/>
          <w:szCs w:val="21"/>
          <w:lang w:val="en-US" w:eastAsia="zh-CN"/>
        </w:rPr>
        <w:t>8</w:t>
      </w:r>
      <w:r>
        <w:rPr>
          <w:rFonts w:hint="eastAsia" w:asciiTheme="minorEastAsia" w:hAnsiTheme="minorEastAsia" w:eastAsiaTheme="minorEastAsia" w:cstheme="minorEastAsia"/>
          <w:snapToGrid w:val="0"/>
          <w:color w:val="auto"/>
          <w:kern w:val="0"/>
          <w:szCs w:val="21"/>
          <w:lang w:val="zh-CN"/>
        </w:rPr>
        <w:t>年度。</w:t>
      </w:r>
    </w:p>
    <w:p>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left="539" w:leftChars="0" w:hanging="539" w:firstLineChars="0"/>
        <w:jc w:val="left"/>
        <w:textAlignment w:val="auto"/>
        <w:outlineLvl w:val="9"/>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snapToGrid w:val="0"/>
          <w:color w:val="auto"/>
          <w:kern w:val="0"/>
          <w:szCs w:val="21"/>
          <w:lang w:val="zh-CN"/>
        </w:rPr>
        <w:t>本采购文件所称的“以上”、“以下”、“内”、“以内”，均包括本数；所称的“不足”，不包括本数。</w:t>
      </w:r>
      <w:r>
        <w:rPr>
          <w:rFonts w:hint="eastAsia" w:asciiTheme="minorEastAsia" w:hAnsiTheme="minorEastAsia" w:eastAsiaTheme="minorEastAsia" w:cstheme="minorEastAsia"/>
          <w:snapToGrid w:val="0"/>
          <w:color w:val="auto"/>
          <w:kern w:val="0"/>
          <w:szCs w:val="21"/>
          <w:lang w:val="zh-CN"/>
        </w:rPr>
        <w:br w:type="textWrapping"/>
      </w:r>
      <w:r>
        <w:rPr>
          <w:rFonts w:hint="eastAsia" w:asciiTheme="minorEastAsia" w:hAnsiTheme="minorEastAsia" w:eastAsiaTheme="minorEastAsia" w:cstheme="minorEastAsia"/>
          <w:snapToGrid w:val="0"/>
          <w:color w:val="auto"/>
          <w:kern w:val="0"/>
          <w:szCs w:val="21"/>
          <w:lang w:val="zh-CN"/>
        </w:rPr>
        <w:br w:type="textWrapping"/>
      </w:r>
      <w:r>
        <w:rPr>
          <w:rFonts w:hint="eastAsia" w:asciiTheme="minorEastAsia" w:hAnsiTheme="minorEastAsia" w:eastAsiaTheme="minorEastAsia" w:cstheme="minorEastAsia"/>
          <w:snapToGrid w:val="0"/>
          <w:color w:val="auto"/>
          <w:kern w:val="0"/>
          <w:szCs w:val="21"/>
          <w:lang w:val="zh-CN"/>
        </w:rPr>
        <w:br w:type="textWrapping"/>
      </w:r>
    </w:p>
    <w:p>
      <w:pPr>
        <w:numPr>
          <w:ilvl w:val="0"/>
          <w:numId w:val="4"/>
        </w:numPr>
        <w:spacing w:line="240" w:lineRule="auto"/>
        <w:jc w:val="center"/>
        <w:outlineLvl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bookmarkStart w:id="103" w:name="_Toc24256"/>
      <w:r>
        <w:rPr>
          <w:rFonts w:hint="eastAsia" w:asciiTheme="minorEastAsia" w:hAnsiTheme="minorEastAsia" w:eastAsiaTheme="minorEastAsia" w:cstheme="minorEastAsia"/>
          <w:b/>
          <w:bCs/>
          <w:color w:val="auto"/>
          <w:sz w:val="36"/>
          <w:szCs w:val="36"/>
        </w:rPr>
        <w:t>采购需求</w:t>
      </w:r>
      <w:bookmarkEnd w:id="103"/>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bookmarkStart w:id="104" w:name="_Toc29013"/>
      <w:r>
        <w:rPr>
          <w:rFonts w:hint="eastAsia" w:asciiTheme="minorEastAsia" w:hAnsiTheme="minorEastAsia" w:eastAsiaTheme="minorEastAsia" w:cstheme="minorEastAsia"/>
          <w:b/>
          <w:bCs/>
          <w:color w:val="auto"/>
          <w:sz w:val="24"/>
          <w:szCs w:val="24"/>
          <w:lang w:val="en-US" w:eastAsia="zh-CN"/>
        </w:rPr>
        <w:t>一、技术需求</w:t>
      </w:r>
      <w:bookmarkEnd w:id="104"/>
    </w:p>
    <w:p>
      <w:pPr>
        <w:spacing w:line="560" w:lineRule="exact"/>
        <w:rPr>
          <w:color w:val="auto"/>
        </w:rPr>
      </w:pPr>
      <w:r>
        <w:rPr>
          <w:rFonts w:hint="eastAsia"/>
          <w:color w:val="auto"/>
        </w:rPr>
        <w:t>一、服装面料、数量及规格具体要求</w:t>
      </w:r>
    </w:p>
    <w:tbl>
      <w:tblPr>
        <w:tblStyle w:val="26"/>
        <w:tblW w:w="0" w:type="auto"/>
        <w:tblInd w:w="0" w:type="dxa"/>
        <w:tblLayout w:type="fixed"/>
        <w:tblCellMar>
          <w:top w:w="0" w:type="dxa"/>
          <w:left w:w="108" w:type="dxa"/>
          <w:bottom w:w="0" w:type="dxa"/>
          <w:right w:w="108" w:type="dxa"/>
        </w:tblCellMar>
      </w:tblPr>
      <w:tblGrid>
        <w:gridCol w:w="739"/>
        <w:gridCol w:w="1924"/>
        <w:gridCol w:w="1357"/>
        <w:gridCol w:w="1631"/>
        <w:gridCol w:w="3576"/>
      </w:tblGrid>
      <w:tr>
        <w:tblPrEx>
          <w:tblCellMar>
            <w:top w:w="0" w:type="dxa"/>
            <w:left w:w="108" w:type="dxa"/>
            <w:bottom w:w="0" w:type="dxa"/>
            <w:right w:w="108" w:type="dxa"/>
          </w:tblCellMar>
        </w:tblPrEx>
        <w:trPr>
          <w:trHeight w:val="764"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b/>
                <w:bCs/>
                <w:color w:val="auto"/>
              </w:rPr>
            </w:pPr>
            <w:r>
              <w:rPr>
                <w:rFonts w:hint="eastAsia"/>
                <w:b/>
                <w:bCs/>
                <w:color w:val="auto"/>
              </w:rPr>
              <w:t>序号</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b/>
                <w:bCs/>
                <w:color w:val="auto"/>
              </w:rPr>
            </w:pPr>
            <w:r>
              <w:rPr>
                <w:rFonts w:hint="eastAsia"/>
                <w:b/>
                <w:bCs/>
                <w:color w:val="auto"/>
              </w:rPr>
              <w:t>用品名称</w:t>
            </w:r>
          </w:p>
        </w:tc>
        <w:tc>
          <w:tcPr>
            <w:tcW w:w="1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b/>
                <w:bCs/>
                <w:color w:val="auto"/>
              </w:rPr>
            </w:pPr>
            <w:r>
              <w:rPr>
                <w:rFonts w:hint="eastAsia"/>
                <w:b/>
                <w:bCs/>
                <w:color w:val="auto"/>
              </w:rPr>
              <w:t>数量（估算，具体以实际学生数量为准）</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b/>
                <w:bCs/>
                <w:color w:val="auto"/>
              </w:rPr>
            </w:pPr>
            <w:r>
              <w:rPr>
                <w:rFonts w:hint="eastAsia"/>
                <w:b/>
                <w:bCs/>
                <w:color w:val="auto"/>
              </w:rPr>
              <w:t>质量要求</w:t>
            </w:r>
          </w:p>
        </w:tc>
        <w:tc>
          <w:tcPr>
            <w:tcW w:w="3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b/>
                <w:bCs/>
                <w:color w:val="auto"/>
              </w:rPr>
            </w:pPr>
            <w:r>
              <w:rPr>
                <w:rFonts w:hint="eastAsia"/>
                <w:b/>
                <w:bCs/>
                <w:color w:val="auto"/>
              </w:rPr>
              <w:t>具体材质及型号要求</w:t>
            </w:r>
          </w:p>
        </w:tc>
      </w:tr>
      <w:tr>
        <w:tblPrEx>
          <w:tblCellMar>
            <w:top w:w="0" w:type="dxa"/>
            <w:left w:w="108" w:type="dxa"/>
            <w:bottom w:w="0" w:type="dxa"/>
            <w:right w:w="108" w:type="dxa"/>
          </w:tblCellMar>
        </w:tblPrEx>
        <w:trPr>
          <w:trHeight w:val="1148"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1</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类似陆军迷彩服1套（上装和下装）</w:t>
            </w:r>
          </w:p>
        </w:tc>
        <w:tc>
          <w:tcPr>
            <w:tcW w:w="1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3200</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520" w:lineRule="exact"/>
              <w:jc w:val="center"/>
              <w:rPr>
                <w:color w:val="auto"/>
              </w:rPr>
            </w:pPr>
            <w:r>
              <w:rPr>
                <w:rFonts w:hint="eastAsia"/>
                <w:color w:val="auto"/>
              </w:rPr>
              <w:t>涤棉、透气、美观耐用</w:t>
            </w:r>
          </w:p>
        </w:tc>
        <w:tc>
          <w:tcPr>
            <w:tcW w:w="3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含棉量30%以上的涤棉、21*21 108*58迷彩斜纱卡面料或更高级别优质面料</w:t>
            </w:r>
          </w:p>
        </w:tc>
      </w:tr>
      <w:tr>
        <w:tblPrEx>
          <w:tblCellMar>
            <w:top w:w="0" w:type="dxa"/>
            <w:left w:w="108" w:type="dxa"/>
            <w:bottom w:w="0" w:type="dxa"/>
            <w:right w:w="108" w:type="dxa"/>
          </w:tblCellMar>
        </w:tblPrEx>
        <w:trPr>
          <w:trHeight w:val="953"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2</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类似陆军迷彩T恤2件</w:t>
            </w:r>
          </w:p>
        </w:tc>
        <w:tc>
          <w:tcPr>
            <w:tcW w:w="1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3200X2</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舒适、透气、快干、美观耐用</w:t>
            </w:r>
          </w:p>
        </w:tc>
        <w:tc>
          <w:tcPr>
            <w:tcW w:w="3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150（g/m2）加厚数码鸟眼面料或更高级别优质面料</w:t>
            </w:r>
          </w:p>
        </w:tc>
      </w:tr>
      <w:tr>
        <w:tblPrEx>
          <w:tblCellMar>
            <w:top w:w="0" w:type="dxa"/>
            <w:left w:w="108" w:type="dxa"/>
            <w:bottom w:w="0" w:type="dxa"/>
            <w:right w:w="108" w:type="dxa"/>
          </w:tblCellMar>
        </w:tblPrEx>
        <w:trPr>
          <w:trHeight w:val="783"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3</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迷彩胶鞋1双</w:t>
            </w:r>
          </w:p>
        </w:tc>
        <w:tc>
          <w:tcPr>
            <w:tcW w:w="1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3200</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结实、耐磨、舒适、无毒</w:t>
            </w:r>
          </w:p>
        </w:tc>
        <w:tc>
          <w:tcPr>
            <w:tcW w:w="3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迷彩防滑底胶鞋（天然胶）</w:t>
            </w:r>
          </w:p>
        </w:tc>
      </w:tr>
      <w:tr>
        <w:tblPrEx>
          <w:tblCellMar>
            <w:top w:w="0" w:type="dxa"/>
            <w:left w:w="108" w:type="dxa"/>
            <w:bottom w:w="0" w:type="dxa"/>
            <w:right w:w="108" w:type="dxa"/>
          </w:tblCellMar>
        </w:tblPrEx>
        <w:trPr>
          <w:trHeight w:val="858"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4</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迷彩帽1顶</w:t>
            </w:r>
          </w:p>
        </w:tc>
        <w:tc>
          <w:tcPr>
            <w:tcW w:w="1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3200</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结实、美观、透气</w:t>
            </w:r>
          </w:p>
        </w:tc>
        <w:tc>
          <w:tcPr>
            <w:tcW w:w="3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含棉量30%以上的涤棉、21*21 108*58迷彩斜纱卡面料或更高级别优质面料</w:t>
            </w:r>
          </w:p>
        </w:tc>
      </w:tr>
      <w:tr>
        <w:tblPrEx>
          <w:tblCellMar>
            <w:top w:w="0" w:type="dxa"/>
            <w:left w:w="108" w:type="dxa"/>
            <w:bottom w:w="0" w:type="dxa"/>
            <w:right w:w="108" w:type="dxa"/>
          </w:tblCellMar>
        </w:tblPrEx>
        <w:trPr>
          <w:trHeight w:val="739"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5</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帆布外腰带1条</w:t>
            </w:r>
          </w:p>
        </w:tc>
        <w:tc>
          <w:tcPr>
            <w:tcW w:w="1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3200</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结实、耐用、做工精细</w:t>
            </w:r>
          </w:p>
        </w:tc>
        <w:tc>
          <w:tcPr>
            <w:tcW w:w="3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外腰带</w:t>
            </w:r>
          </w:p>
        </w:tc>
      </w:tr>
      <w:tr>
        <w:tblPrEx>
          <w:tblCellMar>
            <w:top w:w="0" w:type="dxa"/>
            <w:left w:w="108" w:type="dxa"/>
            <w:bottom w:w="0" w:type="dxa"/>
            <w:right w:w="108" w:type="dxa"/>
          </w:tblCellMar>
        </w:tblPrEx>
        <w:trPr>
          <w:trHeight w:val="2524" w:hRule="atLeast"/>
        </w:trPr>
        <w:tc>
          <w:tcPr>
            <w:tcW w:w="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6</w:t>
            </w:r>
          </w:p>
        </w:tc>
        <w:tc>
          <w:tcPr>
            <w:tcW w:w="19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马扎</w:t>
            </w:r>
          </w:p>
        </w:tc>
        <w:tc>
          <w:tcPr>
            <w:tcW w:w="13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3200</w:t>
            </w:r>
          </w:p>
        </w:tc>
        <w:tc>
          <w:tcPr>
            <w:tcW w:w="16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520" w:lineRule="exact"/>
              <w:jc w:val="center"/>
              <w:textAlignment w:val="center"/>
              <w:rPr>
                <w:color w:val="auto"/>
              </w:rPr>
            </w:pPr>
            <w:r>
              <w:rPr>
                <w:rFonts w:hint="eastAsia"/>
                <w:color w:val="auto"/>
              </w:rPr>
              <w:t>结实、美观、耐用</w:t>
            </w:r>
          </w:p>
        </w:tc>
        <w:tc>
          <w:tcPr>
            <w:tcW w:w="35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color w:val="auto"/>
              </w:rPr>
            </w:pPr>
            <w:r>
              <w:rPr>
                <w:rFonts w:hint="eastAsia"/>
                <w:color w:val="auto"/>
              </w:rPr>
              <w:drawing>
                <wp:inline distT="0" distB="0" distL="114300" distR="114300">
                  <wp:extent cx="1699260" cy="1600835"/>
                  <wp:effectExtent l="0" t="0" r="15240" b="18415"/>
                  <wp:docPr id="1" name="图片 1" descr="TIM图片2018061212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图片20180612124625"/>
                          <pic:cNvPicPr>
                            <a:picLocks noChangeAspect="1"/>
                          </pic:cNvPicPr>
                        </pic:nvPicPr>
                        <pic:blipFill>
                          <a:blip r:embed="rId10"/>
                          <a:stretch>
                            <a:fillRect/>
                          </a:stretch>
                        </pic:blipFill>
                        <pic:spPr>
                          <a:xfrm>
                            <a:off x="0" y="0"/>
                            <a:ext cx="1699260" cy="1600835"/>
                          </a:xfrm>
                          <a:prstGeom prst="rect">
                            <a:avLst/>
                          </a:prstGeom>
                          <a:noFill/>
                          <a:ln>
                            <a:noFill/>
                          </a:ln>
                        </pic:spPr>
                      </pic:pic>
                    </a:graphicData>
                  </a:graphic>
                </wp:inline>
              </w:drawing>
            </w:r>
            <w:r>
              <w:rPr>
                <w:rFonts w:hint="eastAsia"/>
                <w:color w:val="auto"/>
              </w:rPr>
              <w:t>参考图片</w:t>
            </w:r>
          </w:p>
        </w:tc>
      </w:tr>
    </w:tbl>
    <w:p>
      <w:pPr>
        <w:rPr>
          <w:rFonts w:hint="eastAsia" w:asciiTheme="minorEastAsia" w:hAnsiTheme="minorEastAsia" w:eastAsiaTheme="minorEastAsia" w:cstheme="minorEastAsia"/>
          <w:b w:val="0"/>
          <w:bCs w:val="0"/>
          <w:color w:val="auto"/>
          <w:szCs w:val="21"/>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1、服装类产品安全技术指标必须达到 GB18401-2010 B 类产品标准，需提供纤检机构的检测报告，该报告至少包括成分含棉量、甲醛量、PH 值、色牢度、异味、偶氮 6项指标。</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2、供应商提供的服装和配件必须有标牌，标牌内容包含服装的尺码、面料成分等内容。</w:t>
      </w:r>
      <w:r>
        <w:rPr>
          <w:rFonts w:hint="eastAsia" w:asciiTheme="minorEastAsia" w:hAnsiTheme="minorEastAsia" w:eastAsiaTheme="minorEastAsia" w:cstheme="minorEastAsia"/>
          <w:b w:val="0"/>
          <w:bCs w:val="0"/>
          <w:color w:val="auto"/>
          <w:szCs w:val="21"/>
          <w:lang w:val="en-US" w:eastAsia="zh-CN"/>
        </w:rPr>
        <w:br w:type="page"/>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以上清单需求表中如出现涉及固定规格型号、尺寸及重量的均为参考，允许略有误差，但供应商报价的产品必须符合采购人使用功能及质量要求，并提供相应技术参数证明其符合采购需求或优于采购需求，否则视其为不满足采购需求。如涉及固定厂家品牌也均为参考或推荐，并要求其唯一性，供应商可提供同等质量标准或更高标准产品，并提供相应技术参数证明其符合采购需求或优于采购需求，否则视其为不满足采购需求。</w:t>
      </w:r>
    </w:p>
    <w:p>
      <w:pPr>
        <w:autoSpaceDE w:val="0"/>
        <w:autoSpaceDN w:val="0"/>
        <w:adjustRightInd w:val="0"/>
        <w:spacing w:line="360" w:lineRule="auto"/>
        <w:outlineLvl w:val="9"/>
        <w:rPr>
          <w:rFonts w:hint="eastAsia"/>
          <w:color w:val="auto"/>
          <w:lang w:val="en-US" w:eastAsia="zh-CN"/>
        </w:rPr>
      </w:pPr>
      <w:r>
        <w:rPr>
          <w:rFonts w:ascii="宋体" w:hAnsi="宋体" w:eastAsia="宋体" w:cs="宋体"/>
          <w:color w:val="auto"/>
          <w:sz w:val="24"/>
          <w:szCs w:val="24"/>
        </w:rPr>
        <w:t xml:space="preserve"> </w:t>
      </w:r>
      <w:r>
        <w:rPr>
          <w:rFonts w:hint="eastAsia" w:asciiTheme="minorEastAsia" w:hAnsiTheme="minorEastAsia" w:eastAsiaTheme="minorEastAsia" w:cstheme="minorEastAsia"/>
          <w:b w:val="0"/>
          <w:bCs w:val="0"/>
          <w:color w:val="auto"/>
          <w:szCs w:val="21"/>
          <w:lang w:val="en-US" w:eastAsia="zh-CN"/>
        </w:rPr>
        <w:br w:type="textWrapping"/>
      </w:r>
      <w:r>
        <w:rPr>
          <w:rFonts w:hint="eastAsia" w:asciiTheme="minorEastAsia" w:hAnsiTheme="minorEastAsia" w:eastAsiaTheme="minorEastAsia" w:cstheme="minorEastAsia"/>
          <w:b w:val="0"/>
          <w:bCs w:val="0"/>
          <w:color w:val="auto"/>
          <w:szCs w:val="21"/>
          <w:lang w:val="en-US" w:eastAsia="zh-CN"/>
        </w:rPr>
        <w:br w:type="textWrapping"/>
      </w:r>
    </w:p>
    <w:p>
      <w:pPr>
        <w:rPr>
          <w:rFonts w:hint="eastAsia" w:asciiTheme="minorEastAsia" w:hAnsiTheme="minorEastAsia" w:eastAsiaTheme="minorEastAsia" w:cstheme="minorEastAsia"/>
          <w:b/>
          <w:bCs/>
          <w:color w:val="auto"/>
          <w:sz w:val="24"/>
          <w:szCs w:val="24"/>
          <w:lang w:val="en-US" w:eastAsia="zh-CN"/>
        </w:rPr>
      </w:pPr>
      <w:bookmarkStart w:id="105" w:name="_Toc15828"/>
      <w:r>
        <w:rPr>
          <w:rFonts w:hint="eastAsia" w:asciiTheme="minorEastAsia" w:hAnsiTheme="minorEastAsia" w:eastAsiaTheme="minorEastAsia" w:cstheme="minorEastAsia"/>
          <w:b/>
          <w:bCs/>
          <w:color w:val="auto"/>
          <w:sz w:val="24"/>
          <w:szCs w:val="24"/>
          <w:lang w:val="en-US" w:eastAsia="zh-CN"/>
        </w:rPr>
        <w:br w:type="page"/>
      </w:r>
    </w:p>
    <w:p>
      <w:pPr>
        <w:autoSpaceDE w:val="0"/>
        <w:autoSpaceDN w:val="0"/>
        <w:adjustRightInd w:val="0"/>
        <w:spacing w:line="360" w:lineRule="auto"/>
        <w:outlineLvl w:val="1"/>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二、商务需求</w:t>
      </w:r>
      <w:bookmarkEnd w:id="105"/>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1、违约责任：</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1.1成交供应商违约承担违约责任。所有成交产品均需按照磋商文件指标要求进行检查核对后方可进行报验，不满足磋商文件指标要求的产品，采购人有权不对其进行验收；同时采购人有权对成交供应商不满足要求的产品进行双倍罚款或取消合同。</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1.2若非采购人原因，成交供应商逾期交付安装的，成交供应商向采购人支付逾期交付安装违约金，逾期交付安装违约金为每天1000.00元人民币，但其最终累计金额不超过合同价款的10%。</w:t>
      </w:r>
    </w:p>
    <w:p>
      <w:pPr>
        <w:pStyle w:val="99"/>
        <w:spacing w:line="360" w:lineRule="auto"/>
        <w:ind w:firstLine="420" w:firstLineChars="200"/>
        <w:rPr>
          <w:rFonts w:hint="eastAsia" w:eastAsia="宋体"/>
          <w:color w:val="auto"/>
          <w:kern w:val="2"/>
          <w:sz w:val="21"/>
          <w:lang w:eastAsia="zh-CN"/>
        </w:rPr>
      </w:pPr>
      <w:r>
        <w:rPr>
          <w:rFonts w:hint="eastAsia" w:asciiTheme="minorEastAsia" w:hAnsiTheme="minorEastAsia" w:eastAsiaTheme="minorEastAsia" w:cstheme="minorEastAsia"/>
          <w:b w:val="0"/>
          <w:bCs w:val="0"/>
          <w:color w:val="auto"/>
          <w:kern w:val="2"/>
          <w:sz w:val="21"/>
          <w:szCs w:val="21"/>
          <w:lang w:val="en-US" w:eastAsia="zh-CN" w:bidi="ar-SA"/>
        </w:rPr>
        <w:t>1.3因成交供应商原因产品质量达不到约定的质量标准，成交供应商应负责退换，使其达到合同约定的质量标准，并由成交供应商向采购人支付合同价款10%的违约金。</w:t>
      </w:r>
      <w:r>
        <w:rPr>
          <w:rFonts w:hint="eastAsia" w:asciiTheme="minorEastAsia" w:hAnsiTheme="minorEastAsia" w:eastAsiaTheme="minorEastAsia" w:cstheme="minorEastAsia"/>
          <w:b/>
          <w:bCs/>
          <w:color w:val="auto"/>
          <w:szCs w:val="21"/>
          <w:lang w:val="en-US" w:eastAsia="zh-CN"/>
        </w:rPr>
        <w:br w:type="textWrapping"/>
      </w:r>
      <w:r>
        <w:rPr>
          <w:rFonts w:hint="eastAsia" w:eastAsiaTheme="minorEastAsia"/>
          <w:color w:val="auto"/>
          <w:kern w:val="2"/>
          <w:sz w:val="21"/>
          <w:lang w:val="en-US" w:eastAsia="zh-CN"/>
        </w:rPr>
        <w:t>2、</w:t>
      </w:r>
      <w:r>
        <w:rPr>
          <w:rFonts w:hint="eastAsia"/>
          <w:color w:val="auto"/>
          <w:kern w:val="2"/>
          <w:sz w:val="21"/>
        </w:rPr>
        <w:t>交货时间：所有军训服装必须在2020年9月</w:t>
      </w:r>
      <w:r>
        <w:rPr>
          <w:rFonts w:hint="eastAsia"/>
          <w:color w:val="auto"/>
          <w:kern w:val="2"/>
          <w:sz w:val="21"/>
          <w:lang w:val="en-US" w:eastAsia="zh-CN"/>
        </w:rPr>
        <w:t>30</w:t>
      </w:r>
      <w:r>
        <w:rPr>
          <w:rFonts w:hint="eastAsia"/>
          <w:color w:val="auto"/>
          <w:kern w:val="2"/>
          <w:sz w:val="21"/>
        </w:rPr>
        <w:t>日前全部到位（具体时间根据学校安排），新生报名日由成交供应商自行组织 15 人以上负责发放。如本次军训因疫情延缓，则服装供应顺延至下一年度军训前交货</w:t>
      </w:r>
      <w:r>
        <w:rPr>
          <w:rFonts w:hint="eastAsia"/>
          <w:color w:val="auto"/>
          <w:kern w:val="2"/>
          <w:sz w:val="21"/>
          <w:lang w:eastAsia="zh-CN"/>
        </w:rPr>
        <w:t>（具体时间由采购人另行通知），</w:t>
      </w:r>
      <w:r>
        <w:rPr>
          <w:rFonts w:hint="eastAsia"/>
          <w:b/>
          <w:bCs/>
          <w:color w:val="auto"/>
          <w:kern w:val="2"/>
          <w:sz w:val="21"/>
          <w:lang w:eastAsia="zh-CN"/>
        </w:rPr>
        <w:t>供应商须出具响应交货时间的承诺书。</w:t>
      </w:r>
    </w:p>
    <w:p>
      <w:pPr>
        <w:pStyle w:val="99"/>
        <w:spacing w:line="360" w:lineRule="auto"/>
        <w:rPr>
          <w:color w:val="auto"/>
          <w:kern w:val="2"/>
          <w:sz w:val="21"/>
        </w:rPr>
      </w:pPr>
      <w:r>
        <w:rPr>
          <w:rFonts w:hint="eastAsia"/>
          <w:color w:val="auto"/>
          <w:kern w:val="2"/>
          <w:sz w:val="21"/>
          <w:lang w:val="en-US" w:eastAsia="zh-CN"/>
        </w:rPr>
        <w:t>3、</w:t>
      </w:r>
      <w:r>
        <w:rPr>
          <w:rFonts w:hint="eastAsia"/>
          <w:color w:val="auto"/>
          <w:kern w:val="2"/>
          <w:sz w:val="21"/>
        </w:rPr>
        <w:t>交货地点：湖北水利水电职业技术学院内指定地点。</w:t>
      </w:r>
    </w:p>
    <w:p>
      <w:pPr>
        <w:pStyle w:val="98"/>
        <w:spacing w:after="0" w:line="360" w:lineRule="auto"/>
        <w:jc w:val="both"/>
        <w:outlineLvl w:val="9"/>
        <w:rPr>
          <w:color w:val="auto"/>
          <w:kern w:val="2"/>
          <w:sz w:val="21"/>
        </w:rPr>
      </w:pPr>
      <w:r>
        <w:rPr>
          <w:rFonts w:hint="eastAsia"/>
          <w:color w:val="auto"/>
          <w:kern w:val="2"/>
          <w:sz w:val="21"/>
          <w:lang w:val="en-US" w:eastAsia="zh-CN"/>
        </w:rPr>
        <w:t>4、</w:t>
      </w:r>
      <w:r>
        <w:rPr>
          <w:rFonts w:hint="eastAsia"/>
          <w:color w:val="auto"/>
          <w:kern w:val="2"/>
          <w:sz w:val="21"/>
        </w:rPr>
        <w:t>产品发放、调换及验收</w:t>
      </w:r>
    </w:p>
    <w:p>
      <w:pPr>
        <w:pStyle w:val="99"/>
        <w:spacing w:line="360" w:lineRule="auto"/>
        <w:ind w:firstLine="420" w:firstLineChars="200"/>
        <w:outlineLvl w:val="9"/>
        <w:rPr>
          <w:color w:val="auto"/>
          <w:kern w:val="2"/>
          <w:sz w:val="21"/>
        </w:rPr>
      </w:pPr>
      <w:r>
        <w:rPr>
          <w:rFonts w:hint="eastAsia"/>
          <w:color w:val="auto"/>
          <w:kern w:val="2"/>
          <w:sz w:val="21"/>
          <w:lang w:val="en-US" w:eastAsia="zh-CN"/>
        </w:rPr>
        <w:t>4</w:t>
      </w:r>
      <w:r>
        <w:rPr>
          <w:rFonts w:hint="eastAsia"/>
          <w:color w:val="auto"/>
          <w:kern w:val="2"/>
          <w:sz w:val="21"/>
        </w:rPr>
        <w:t>.1 成交供应商须提供全新的产品，并由成交供应商负责送货到采购人指定地点并组织发放，采购人不再支付任何费用。</w:t>
      </w:r>
    </w:p>
    <w:p>
      <w:pPr>
        <w:pStyle w:val="99"/>
        <w:spacing w:line="360" w:lineRule="auto"/>
        <w:ind w:firstLine="420" w:firstLineChars="200"/>
        <w:outlineLvl w:val="9"/>
        <w:rPr>
          <w:color w:val="auto"/>
          <w:kern w:val="2"/>
          <w:sz w:val="21"/>
        </w:rPr>
      </w:pPr>
      <w:r>
        <w:rPr>
          <w:rFonts w:hint="eastAsia"/>
          <w:color w:val="auto"/>
          <w:kern w:val="2"/>
          <w:sz w:val="21"/>
          <w:lang w:val="en-US" w:eastAsia="zh-CN"/>
        </w:rPr>
        <w:t>4</w:t>
      </w:r>
      <w:r>
        <w:rPr>
          <w:rFonts w:hint="eastAsia"/>
          <w:color w:val="auto"/>
          <w:kern w:val="2"/>
          <w:sz w:val="21"/>
        </w:rPr>
        <w:t>.2 质保期：壹年。军训期间，所购军训服装如在使用过程中出现质量、款式、尺码等问题，成交供应商需按照学校要求提供三次集中调换。</w:t>
      </w:r>
    </w:p>
    <w:p>
      <w:pPr>
        <w:pStyle w:val="99"/>
        <w:spacing w:line="360" w:lineRule="auto"/>
        <w:ind w:firstLine="420" w:firstLineChars="200"/>
        <w:outlineLvl w:val="9"/>
        <w:rPr>
          <w:color w:val="auto"/>
          <w:kern w:val="2"/>
          <w:sz w:val="21"/>
        </w:rPr>
      </w:pPr>
      <w:r>
        <w:rPr>
          <w:rFonts w:hint="eastAsia"/>
          <w:color w:val="auto"/>
          <w:kern w:val="2"/>
          <w:sz w:val="21"/>
          <w:lang w:val="en-US" w:eastAsia="zh-CN"/>
        </w:rPr>
        <w:t>4</w:t>
      </w:r>
      <w:r>
        <w:rPr>
          <w:rFonts w:hint="eastAsia"/>
          <w:color w:val="auto"/>
          <w:kern w:val="2"/>
          <w:sz w:val="21"/>
        </w:rPr>
        <w:t>.3 验收标准：所有军训服装质量符合国家及武汉地区质检标准，数量、款式、尺码符合成交供应商实际需求。</w:t>
      </w:r>
    </w:p>
    <w:p>
      <w:pPr>
        <w:pStyle w:val="98"/>
        <w:spacing w:after="0" w:line="360" w:lineRule="auto"/>
        <w:jc w:val="both"/>
        <w:outlineLvl w:val="9"/>
        <w:rPr>
          <w:color w:val="auto"/>
          <w:kern w:val="2"/>
          <w:sz w:val="21"/>
        </w:rPr>
      </w:pPr>
      <w:r>
        <w:rPr>
          <w:rFonts w:hint="eastAsia"/>
          <w:color w:val="auto"/>
          <w:kern w:val="2"/>
          <w:sz w:val="21"/>
          <w:lang w:val="en-US" w:eastAsia="zh-CN"/>
        </w:rPr>
        <w:t>5</w:t>
      </w:r>
      <w:r>
        <w:rPr>
          <w:rFonts w:hint="eastAsia"/>
          <w:color w:val="auto"/>
          <w:kern w:val="2"/>
          <w:sz w:val="21"/>
        </w:rPr>
        <w:t>. 服务要求</w:t>
      </w:r>
    </w:p>
    <w:p>
      <w:pPr>
        <w:pStyle w:val="99"/>
        <w:spacing w:line="360" w:lineRule="auto"/>
        <w:ind w:firstLine="420" w:firstLineChars="200"/>
        <w:outlineLvl w:val="9"/>
        <w:rPr>
          <w:color w:val="auto"/>
          <w:kern w:val="2"/>
          <w:sz w:val="21"/>
        </w:rPr>
      </w:pPr>
      <w:r>
        <w:rPr>
          <w:rFonts w:hint="eastAsia"/>
          <w:color w:val="auto"/>
          <w:kern w:val="2"/>
          <w:sz w:val="21"/>
          <w:lang w:val="en-US" w:eastAsia="zh-CN"/>
        </w:rPr>
        <w:t>5</w:t>
      </w:r>
      <w:r>
        <w:rPr>
          <w:rFonts w:hint="eastAsia"/>
          <w:color w:val="auto"/>
          <w:kern w:val="2"/>
          <w:sz w:val="21"/>
        </w:rPr>
        <w:t>.1 订购3</w:t>
      </w:r>
      <w:r>
        <w:rPr>
          <w:rFonts w:hint="eastAsia"/>
          <w:color w:val="auto"/>
          <w:kern w:val="2"/>
          <w:sz w:val="21"/>
          <w:lang w:val="en-US" w:eastAsia="zh-CN"/>
        </w:rPr>
        <w:t>2</w:t>
      </w:r>
      <w:r>
        <w:rPr>
          <w:rFonts w:hint="eastAsia"/>
          <w:color w:val="auto"/>
          <w:kern w:val="2"/>
          <w:sz w:val="21"/>
        </w:rPr>
        <w:t>00套是大约数（具体应根据实际招生人数确定），供应商必须保证及时按学校大一学生实际报名人数供货。</w:t>
      </w:r>
    </w:p>
    <w:p>
      <w:pPr>
        <w:pStyle w:val="99"/>
        <w:spacing w:line="360" w:lineRule="auto"/>
        <w:ind w:firstLine="420" w:firstLineChars="200"/>
        <w:outlineLvl w:val="9"/>
        <w:rPr>
          <w:color w:val="auto"/>
          <w:kern w:val="2"/>
          <w:sz w:val="21"/>
        </w:rPr>
      </w:pPr>
      <w:r>
        <w:rPr>
          <w:rFonts w:hint="eastAsia"/>
          <w:color w:val="auto"/>
          <w:kern w:val="2"/>
          <w:sz w:val="21"/>
          <w:lang w:val="en-US" w:eastAsia="zh-CN"/>
        </w:rPr>
        <w:t>5</w:t>
      </w:r>
      <w:r>
        <w:rPr>
          <w:rFonts w:hint="eastAsia"/>
          <w:color w:val="auto"/>
          <w:kern w:val="2"/>
          <w:sz w:val="21"/>
        </w:rPr>
        <w:t>.2 投标方负责运输、按时供货、品种型号齐全，能满足不同体型学生的穿着要求并负责组织 15 人以上人员发放军训服装到每个参训学生。</w:t>
      </w:r>
    </w:p>
    <w:p>
      <w:pPr>
        <w:pStyle w:val="99"/>
        <w:spacing w:line="360" w:lineRule="auto"/>
        <w:ind w:firstLine="420" w:firstLineChars="200"/>
        <w:outlineLvl w:val="9"/>
        <w:rPr>
          <w:color w:val="auto"/>
          <w:kern w:val="2"/>
          <w:sz w:val="21"/>
        </w:rPr>
      </w:pPr>
      <w:r>
        <w:rPr>
          <w:rFonts w:hint="eastAsia"/>
          <w:color w:val="auto"/>
          <w:kern w:val="2"/>
          <w:sz w:val="21"/>
          <w:lang w:val="en-US" w:eastAsia="zh-CN"/>
        </w:rPr>
        <w:t>5</w:t>
      </w:r>
      <w:r>
        <w:rPr>
          <w:rFonts w:hint="eastAsia"/>
          <w:color w:val="auto"/>
          <w:kern w:val="2"/>
          <w:sz w:val="21"/>
        </w:rPr>
        <w:t>.3 军训服装发放完毕后，提供所供数量的10%的军训服装留在军训点，以备调换。</w:t>
      </w:r>
    </w:p>
    <w:p>
      <w:pPr>
        <w:pStyle w:val="99"/>
        <w:spacing w:line="360" w:lineRule="auto"/>
        <w:ind w:firstLine="420" w:firstLineChars="200"/>
        <w:outlineLvl w:val="9"/>
        <w:rPr>
          <w:rFonts w:hint="eastAsia"/>
          <w:color w:val="auto"/>
          <w:kern w:val="2"/>
          <w:sz w:val="21"/>
        </w:rPr>
      </w:pPr>
      <w:r>
        <w:rPr>
          <w:rFonts w:hint="eastAsia"/>
          <w:color w:val="auto"/>
          <w:kern w:val="2"/>
          <w:sz w:val="21"/>
          <w:lang w:val="en-US" w:eastAsia="zh-CN"/>
        </w:rPr>
        <w:t>5</w:t>
      </w:r>
      <w:r>
        <w:rPr>
          <w:rFonts w:hint="eastAsia"/>
          <w:color w:val="auto"/>
          <w:kern w:val="2"/>
          <w:sz w:val="21"/>
        </w:rPr>
        <w:t xml:space="preserve">.4 </w:t>
      </w:r>
      <w:r>
        <w:rPr>
          <w:rFonts w:hint="eastAsia"/>
          <w:color w:val="auto"/>
          <w:kern w:val="2"/>
          <w:sz w:val="21"/>
          <w:lang w:eastAsia="zh-CN"/>
        </w:rPr>
        <w:t>成交供应商</w:t>
      </w:r>
      <w:r>
        <w:rPr>
          <w:rFonts w:hint="eastAsia"/>
          <w:color w:val="auto"/>
          <w:kern w:val="2"/>
          <w:sz w:val="21"/>
        </w:rPr>
        <w:t>应遵守响应承诺，保证货物的质量和售后服务。</w:t>
      </w:r>
    </w:p>
    <w:p>
      <w:pPr>
        <w:pStyle w:val="99"/>
        <w:spacing w:line="360" w:lineRule="auto"/>
        <w:ind w:firstLine="420" w:firstLineChars="200"/>
        <w:outlineLvl w:val="9"/>
        <w:rPr>
          <w:rFonts w:hint="default" w:eastAsia="宋体"/>
          <w:color w:val="auto"/>
          <w:kern w:val="2"/>
          <w:sz w:val="21"/>
          <w:lang w:val="en-US" w:eastAsia="zh-CN"/>
        </w:rPr>
      </w:pPr>
      <w:r>
        <w:rPr>
          <w:rFonts w:hint="eastAsia"/>
          <w:color w:val="auto"/>
          <w:kern w:val="2"/>
          <w:sz w:val="21"/>
          <w:lang w:val="en-US" w:eastAsia="zh-CN"/>
        </w:rPr>
        <w:t>5.5 成交供应商需免费赠送贫困生军训服50套，训练表演用手套100双。 </w:t>
      </w:r>
    </w:p>
    <w:p>
      <w:pPr>
        <w:pStyle w:val="99"/>
        <w:spacing w:line="36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6、结算方式：</w:t>
      </w:r>
      <w:r>
        <w:rPr>
          <w:rFonts w:hint="eastAsia"/>
          <w:color w:val="auto"/>
          <w:kern w:val="2"/>
          <w:sz w:val="21"/>
        </w:rPr>
        <w:t>所有军训服装由</w:t>
      </w:r>
      <w:r>
        <w:rPr>
          <w:rFonts w:hint="eastAsia"/>
          <w:color w:val="auto"/>
          <w:kern w:val="2"/>
          <w:sz w:val="21"/>
          <w:lang w:eastAsia="zh-CN"/>
        </w:rPr>
        <w:t>成交</w:t>
      </w:r>
      <w:r>
        <w:rPr>
          <w:rFonts w:hint="eastAsia"/>
          <w:color w:val="auto"/>
          <w:kern w:val="2"/>
          <w:sz w:val="21"/>
        </w:rPr>
        <w:t>供应商向学生直接销售。军训服装明码标价，所有军训服装由学生自行自愿购买，不得强制销售。</w:t>
      </w:r>
    </w:p>
    <w:p>
      <w:pPr>
        <w:pStyle w:val="98"/>
        <w:spacing w:after="0" w:line="360" w:lineRule="auto"/>
        <w:jc w:val="both"/>
        <w:outlineLvl w:val="9"/>
        <w:rPr>
          <w:strike w:val="0"/>
          <w:dstrike w:val="0"/>
          <w:color w:val="auto"/>
          <w:kern w:val="2"/>
          <w:sz w:val="21"/>
        </w:rPr>
      </w:pPr>
      <w:r>
        <w:rPr>
          <w:rFonts w:hint="eastAsia"/>
          <w:strike w:val="0"/>
          <w:dstrike w:val="0"/>
          <w:color w:val="auto"/>
          <w:kern w:val="2"/>
          <w:sz w:val="21"/>
          <w:lang w:val="en-US" w:eastAsia="zh-CN"/>
        </w:rPr>
        <w:t>7</w:t>
      </w:r>
      <w:r>
        <w:rPr>
          <w:rFonts w:hint="eastAsia"/>
          <w:strike w:val="0"/>
          <w:dstrike w:val="0"/>
          <w:color w:val="auto"/>
          <w:kern w:val="2"/>
          <w:sz w:val="21"/>
        </w:rPr>
        <w:t>.</w:t>
      </w:r>
      <w:r>
        <w:rPr>
          <w:rFonts w:hint="eastAsia"/>
          <w:strike w:val="0"/>
          <w:dstrike w:val="0"/>
          <w:color w:val="auto"/>
          <w:kern w:val="2"/>
          <w:sz w:val="21"/>
          <w:lang w:eastAsia="zh-CN"/>
        </w:rPr>
        <w:t>其他：</w:t>
      </w:r>
      <w:r>
        <w:rPr>
          <w:rFonts w:hint="eastAsia"/>
          <w:strike w:val="0"/>
          <w:dstrike w:val="0"/>
          <w:color w:val="auto"/>
          <w:kern w:val="2"/>
          <w:sz w:val="21"/>
        </w:rPr>
        <w:t>供应商所售服装制式应符合《军服管理条例》及国家关于服装销售等的相关管理规定，因违反相关规定而产生的一切后果由供应商承担。</w:t>
      </w:r>
    </w:p>
    <w:p>
      <w:pPr>
        <w:autoSpaceDE w:val="0"/>
        <w:autoSpaceDN w:val="0"/>
        <w:adjustRightInd w:val="0"/>
        <w:spacing w:line="360" w:lineRule="auto"/>
        <w:outlineLvl w:val="9"/>
        <w:rPr>
          <w:rFonts w:hint="eastAsia" w:asciiTheme="minorEastAsia" w:hAnsiTheme="minorEastAsia" w:eastAsiaTheme="minorEastAsia" w:cstheme="minorEastAsia"/>
          <w:b w:val="0"/>
          <w:bCs w:val="0"/>
          <w:strike w:val="0"/>
          <w:color w:val="auto"/>
          <w:szCs w:val="21"/>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注：</w:t>
      </w:r>
    </w:p>
    <w:p>
      <w:pPr>
        <w:autoSpaceDE w:val="0"/>
        <w:autoSpaceDN w:val="0"/>
        <w:adjustRightInd w:val="0"/>
        <w:spacing w:line="360" w:lineRule="auto"/>
        <w:outlineLvl w:val="9"/>
        <w:rPr>
          <w:rFonts w:hint="eastAsia" w:asciiTheme="minorEastAsia" w:hAnsiTheme="minorEastAsia" w:eastAsiaTheme="minorEastAsia" w:cstheme="minorEastAsia"/>
          <w:b w:val="0"/>
          <w:bCs w:val="0"/>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1、资格审查因素等证明材料须提供网上图片或查询方式以供磋商小组核查，响应文件内附相关证书真彩扫描件。</w:t>
      </w:r>
    </w:p>
    <w:p>
      <w:pPr>
        <w:autoSpaceDE w:val="0"/>
        <w:autoSpaceDN w:val="0"/>
        <w:adjustRightInd w:val="0"/>
        <w:spacing w:line="360" w:lineRule="auto"/>
        <w:outlineLvl w:val="9"/>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val="0"/>
          <w:bCs w:val="0"/>
          <w:color w:val="auto"/>
          <w:szCs w:val="21"/>
          <w:lang w:val="en-US" w:eastAsia="zh-CN"/>
        </w:rPr>
        <w:t>2、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r>
        <w:rPr>
          <w:rFonts w:hint="eastAsia" w:asciiTheme="minorEastAsia" w:hAnsiTheme="minorEastAsia" w:eastAsiaTheme="minorEastAsia" w:cstheme="minorEastAsia"/>
          <w:b/>
          <w:bCs/>
          <w:color w:val="auto"/>
          <w:szCs w:val="21"/>
          <w:lang w:val="en-US" w:eastAsia="zh-CN"/>
        </w:rPr>
        <w:br w:type="textWrapping"/>
      </w:r>
    </w:p>
    <w:p>
      <w:pPr>
        <w:outlineLvl w:val="9"/>
        <w:rPr>
          <w:rFonts w:hint="eastAsia"/>
          <w:color w:val="auto"/>
          <w:lang w:val="en-US" w:eastAsia="zh-CN"/>
        </w:rPr>
      </w:pPr>
    </w:p>
    <w:p>
      <w:pPr>
        <w:autoSpaceDE w:val="0"/>
        <w:autoSpaceDN w:val="0"/>
        <w:adjustRightInd w:val="0"/>
        <w:spacing w:line="360" w:lineRule="auto"/>
        <w:ind w:firstLine="422" w:firstLineChars="200"/>
        <w:outlineLvl w:val="9"/>
        <w:rPr>
          <w:rFonts w:hint="eastAsia" w:asciiTheme="minorEastAsia" w:hAnsiTheme="minorEastAsia" w:eastAsiaTheme="minorEastAsia" w:cstheme="minorEastAsia"/>
          <w:b/>
          <w:bCs/>
          <w:color w:val="auto"/>
          <w:szCs w:val="21"/>
          <w:lang w:val="en-US" w:eastAsia="zh-CN"/>
        </w:rPr>
      </w:pPr>
    </w:p>
    <w:p>
      <w:pPr>
        <w:rPr>
          <w:rFonts w:hint="eastAsia" w:asciiTheme="minorEastAsia" w:hAnsiTheme="minorEastAsia" w:eastAsiaTheme="minorEastAsia" w:cstheme="minorEastAsia"/>
          <w:color w:val="auto"/>
          <w:szCs w:val="21"/>
        </w:rPr>
      </w:pPr>
      <w:bookmarkStart w:id="106" w:name="_Toc1933"/>
      <w:r>
        <w:rPr>
          <w:rFonts w:hint="eastAsia" w:asciiTheme="minorEastAsia" w:hAnsiTheme="minorEastAsia" w:eastAsiaTheme="minorEastAsia" w:cstheme="minorEastAsia"/>
          <w:color w:val="auto"/>
          <w:sz w:val="36"/>
          <w:szCs w:val="36"/>
          <w:lang w:val="en-US" w:eastAsia="zh-CN"/>
        </w:rPr>
        <w:br w:type="page"/>
      </w:r>
    </w:p>
    <w:p>
      <w:pPr>
        <w:pStyle w:val="3"/>
        <w:numPr>
          <w:ilvl w:val="0"/>
          <w:numId w:val="4"/>
        </w:num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6"/>
          <w:szCs w:val="36"/>
          <w:lang w:val="en-US" w:eastAsia="zh-CN"/>
        </w:rPr>
        <w:t>竞争性磋商采购</w:t>
      </w:r>
      <w:r>
        <w:rPr>
          <w:rFonts w:hint="eastAsia" w:asciiTheme="minorEastAsia" w:hAnsiTheme="minorEastAsia" w:eastAsiaTheme="minorEastAsia" w:cstheme="minorEastAsia"/>
          <w:color w:val="auto"/>
          <w:sz w:val="36"/>
          <w:szCs w:val="36"/>
        </w:rPr>
        <w:t>评定办法</w:t>
      </w:r>
      <w:bookmarkEnd w:id="106"/>
    </w:p>
    <w:p>
      <w:pPr>
        <w:spacing w:line="360" w:lineRule="auto"/>
        <w:outlineLvl w:val="1"/>
        <w:rPr>
          <w:rFonts w:hint="eastAsia" w:asciiTheme="minorEastAsia" w:hAnsiTheme="minorEastAsia" w:eastAsiaTheme="minorEastAsia" w:cstheme="minorEastAsia"/>
          <w:b/>
          <w:color w:val="auto"/>
          <w:szCs w:val="21"/>
        </w:rPr>
      </w:pPr>
      <w:bookmarkStart w:id="107" w:name="_Toc10483"/>
      <w:r>
        <w:rPr>
          <w:rFonts w:hint="eastAsia" w:asciiTheme="minorEastAsia" w:hAnsiTheme="minorEastAsia" w:eastAsiaTheme="minorEastAsia" w:cstheme="minorEastAsia"/>
          <w:b/>
          <w:color w:val="auto"/>
          <w:szCs w:val="21"/>
          <w:lang w:val="en-US" w:eastAsia="zh-CN"/>
        </w:rPr>
        <w:t>一、</w:t>
      </w:r>
      <w:r>
        <w:rPr>
          <w:rFonts w:hint="eastAsia" w:asciiTheme="minorEastAsia" w:hAnsiTheme="minorEastAsia" w:eastAsiaTheme="minorEastAsia" w:cstheme="minorEastAsia"/>
          <w:b/>
          <w:color w:val="auto"/>
          <w:szCs w:val="21"/>
        </w:rPr>
        <w:t>评定办法前附表</w:t>
      </w:r>
      <w:bookmarkEnd w:id="107"/>
    </w:p>
    <w:tbl>
      <w:tblPr>
        <w:tblStyle w:val="2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3101"/>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531" w:type="dxa"/>
            <w:gridSpan w:val="2"/>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条款号</w:t>
            </w:r>
          </w:p>
        </w:tc>
        <w:tc>
          <w:tcPr>
            <w:tcW w:w="3101"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评审因素</w:t>
            </w:r>
          </w:p>
        </w:tc>
        <w:tc>
          <w:tcPr>
            <w:tcW w:w="473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8" w:hRule="atLeast"/>
          <w:jc w:val="center"/>
        </w:trPr>
        <w:tc>
          <w:tcPr>
            <w:tcW w:w="680" w:type="dxa"/>
            <w:vMerge w:val="restart"/>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1.1</w:t>
            </w:r>
          </w:p>
        </w:tc>
        <w:tc>
          <w:tcPr>
            <w:tcW w:w="851" w:type="dxa"/>
            <w:vMerge w:val="restart"/>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szCs w:val="21"/>
              </w:rPr>
              <w:t>资格性审查标准</w:t>
            </w: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资格要求</w:t>
            </w:r>
          </w:p>
        </w:tc>
        <w:tc>
          <w:tcPr>
            <w:tcW w:w="4730"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符合本采购文件第一章第二款要求，并提供合格有效的证明材料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color w:val="auto"/>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没有重大违法记录的书面声明</w:t>
            </w:r>
          </w:p>
        </w:tc>
        <w:tc>
          <w:tcPr>
            <w:tcW w:w="4730" w:type="dxa"/>
            <w:vAlign w:val="center"/>
          </w:tcPr>
          <w:p>
            <w:pPr>
              <w:widowControl/>
              <w:spacing w:line="280" w:lineRule="exact"/>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lang w:val="zh-CN"/>
              </w:rPr>
              <w:t>是否提交参加政府采购活动前三年内在经营活动中没有重大违法记录的书面承诺或声明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color w:val="auto"/>
                <w:szCs w:val="21"/>
              </w:rPr>
            </w:pPr>
          </w:p>
        </w:tc>
        <w:tc>
          <w:tcPr>
            <w:tcW w:w="3101" w:type="dxa"/>
            <w:vAlign w:val="center"/>
          </w:tcPr>
          <w:p>
            <w:pPr>
              <w:widowControl/>
              <w:spacing w:line="280" w:lineRule="exact"/>
              <w:jc w:val="center"/>
              <w:rPr>
                <w:rFonts w:hint="eastAsia"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供应商不得存在的其他情形</w:t>
            </w:r>
          </w:p>
        </w:tc>
        <w:tc>
          <w:tcPr>
            <w:tcW w:w="4730" w:type="dxa"/>
            <w:vAlign w:val="center"/>
          </w:tcPr>
          <w:p>
            <w:pPr>
              <w:widowControl/>
              <w:spacing w:line="280" w:lineRule="exact"/>
              <w:jc w:val="left"/>
              <w:rPr>
                <w:rFonts w:hint="eastAsia" w:ascii="Times New Roman" w:hAnsi="Times New Roman" w:cs="Times New Roman"/>
                <w:color w:val="auto"/>
                <w:lang w:val="zh-CN"/>
              </w:rPr>
            </w:pPr>
            <w:r>
              <w:rPr>
                <w:rFonts w:hint="eastAsia"/>
                <w:color w:val="auto"/>
                <w:lang w:val="zh-CN"/>
              </w:rPr>
              <w:t>1、与采购人存在利害关系可能影响采购公正性的法人、其他组织或者个人，不得参与本项目；单位负责人为同一人或存在控股、管理关系的不同单位只能有一家单位报名(按在采购代理机构处获取文件登记的先后顺序)。</w:t>
            </w:r>
          </w:p>
          <w:p>
            <w:pPr>
              <w:widowControl/>
              <w:spacing w:line="280" w:lineRule="exact"/>
              <w:jc w:val="left"/>
              <w:rPr>
                <w:rFonts w:hint="eastAsia" w:ascii="Times New Roman" w:hAnsi="Times New Roman" w:cs="Times New Roman"/>
                <w:color w:val="auto"/>
                <w:lang w:val="zh-CN"/>
              </w:rPr>
            </w:pPr>
            <w:r>
              <w:rPr>
                <w:rFonts w:hint="eastAsia" w:ascii="Times New Roman" w:hAnsi="Times New Roman" w:cs="Times New Roman"/>
                <w:color w:val="auto"/>
                <w:lang w:val="zh-CN"/>
              </w:rPr>
              <w:t>2、参与本项目采购活动前，已为本项目提供过整体设计、规范编制或者项目管理、监理、检测等服务的供应商。</w:t>
            </w:r>
          </w:p>
          <w:p>
            <w:pPr>
              <w:widowControl/>
              <w:spacing w:line="280" w:lineRule="exact"/>
              <w:jc w:val="left"/>
              <w:rPr>
                <w:rFonts w:hint="eastAsia"/>
                <w:color w:val="auto"/>
                <w:lang w:val="zh-CN"/>
              </w:rPr>
            </w:pPr>
            <w:r>
              <w:rPr>
                <w:rFonts w:hint="eastAsia" w:ascii="Times New Roman" w:hAnsi="Times New Roman" w:cs="Times New Roman"/>
                <w:b w:val="0"/>
                <w:bCs w:val="0"/>
                <w:color w:val="auto"/>
                <w:lang w:val="zh-CN"/>
              </w:rPr>
              <w:t>由供应商在《磋商书》中声明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1.2</w:t>
            </w:r>
          </w:p>
        </w:tc>
        <w:tc>
          <w:tcPr>
            <w:tcW w:w="851" w:type="dxa"/>
            <w:vMerge w:val="restart"/>
            <w:vAlign w:val="center"/>
          </w:tcPr>
          <w:p>
            <w:pPr>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符合性审查标准</w:t>
            </w:r>
          </w:p>
          <w:p>
            <w:pPr>
              <w:jc w:val="center"/>
              <w:rPr>
                <w:rFonts w:hint="eastAsia" w:asciiTheme="minorEastAsia" w:hAnsiTheme="minorEastAsia" w:eastAsiaTheme="minorEastAsia" w:cstheme="minorEastAsia"/>
                <w:color w:val="auto"/>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lang w:eastAsia="zh-CN"/>
              </w:rPr>
            </w:pPr>
            <w:r>
              <w:rPr>
                <w:rFonts w:hint="eastAsia" w:asciiTheme="minorEastAsia" w:hAnsiTheme="minorEastAsia" w:eastAsiaTheme="minorEastAsia" w:cstheme="minorEastAsia"/>
                <w:color w:val="auto"/>
                <w:kern w:val="0"/>
                <w:szCs w:val="21"/>
              </w:rPr>
              <w:t>磋商保证金</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如有</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bCs/>
                <w:color w:val="auto"/>
                <w:kern w:val="0"/>
                <w:szCs w:val="21"/>
                <w:lang w:val="en-US" w:eastAsia="zh-CN"/>
              </w:rPr>
            </w:pPr>
            <w:r>
              <w:rPr>
                <w:rFonts w:hint="eastAsia" w:asciiTheme="minorEastAsia" w:hAnsiTheme="minorEastAsia" w:eastAsiaTheme="minorEastAsia" w:cstheme="minorEastAsia"/>
                <w:bCs/>
                <w:color w:val="auto"/>
                <w:kern w:val="0"/>
                <w:szCs w:val="21"/>
                <w:lang w:val="en-US" w:eastAsia="zh-CN"/>
              </w:rPr>
              <w:t>供应商是否按照磋商文件提交投标保证金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r>
              <w:rPr>
                <w:rFonts w:hint="eastAsia" w:asciiTheme="minorEastAsia" w:hAnsiTheme="minorEastAsia" w:eastAsiaTheme="minorEastAsia" w:cstheme="minorEastAsia"/>
                <w:color w:val="auto"/>
                <w:kern w:val="0"/>
                <w:szCs w:val="21"/>
                <w:lang w:val="en-US" w:eastAsia="zh-CN"/>
              </w:rPr>
              <w:t>是否符合磋商文件要求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经营范围</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rPr>
              <w:t>是否</w:t>
            </w:r>
            <w:r>
              <w:rPr>
                <w:rFonts w:hint="eastAsia" w:asciiTheme="minorEastAsia" w:hAnsiTheme="minorEastAsia" w:eastAsiaTheme="minorEastAsia" w:cstheme="minorEastAsia"/>
                <w:color w:val="auto"/>
                <w:kern w:val="0"/>
                <w:szCs w:val="21"/>
                <w:lang w:val="en-US" w:eastAsia="zh-CN"/>
              </w:rPr>
              <w:t>未</w:t>
            </w:r>
            <w:r>
              <w:rPr>
                <w:rFonts w:hint="eastAsia" w:asciiTheme="minorEastAsia" w:hAnsiTheme="minorEastAsia" w:eastAsiaTheme="minorEastAsia" w:cstheme="minorEastAsia"/>
                <w:color w:val="auto"/>
                <w:kern w:val="0"/>
                <w:szCs w:val="21"/>
              </w:rPr>
              <w:t>超出经营范围</w:t>
            </w:r>
            <w:r>
              <w:rPr>
                <w:rFonts w:hint="eastAsia" w:asciiTheme="minorEastAsia" w:hAnsiTheme="minorEastAsia" w:eastAsiaTheme="minorEastAsia" w:cstheme="minorEastAsia"/>
                <w:color w:val="auto"/>
                <w:kern w:val="0"/>
                <w:szCs w:val="21"/>
                <w:lang w:val="en-US"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color w:val="auto"/>
                <w:kern w:val="0"/>
                <w:szCs w:val="21"/>
              </w:rPr>
              <w:t>磋商书签字盖章</w:t>
            </w:r>
          </w:p>
        </w:tc>
        <w:tc>
          <w:tcPr>
            <w:tcW w:w="4730" w:type="dxa"/>
            <w:vAlign w:val="center"/>
          </w:tcPr>
          <w:p>
            <w:pPr>
              <w:widowControl/>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是否有法定代表人或其委托代理人签字并加盖单位公章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磋商有效期</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磋商</w:t>
            </w:r>
            <w:r>
              <w:rPr>
                <w:rFonts w:hint="eastAsia" w:asciiTheme="minorEastAsia" w:hAnsiTheme="minorEastAsia" w:eastAsiaTheme="minorEastAsia" w:cstheme="minorEastAsia"/>
                <w:color w:val="auto"/>
                <w:kern w:val="0"/>
                <w:szCs w:val="21"/>
              </w:rPr>
              <w:t>有效期是否满足竞争性磋商采购文件要求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信誉情况</w:t>
            </w:r>
          </w:p>
        </w:tc>
        <w:tc>
          <w:tcPr>
            <w:tcW w:w="4730" w:type="dxa"/>
            <w:vAlign w:val="center"/>
          </w:tcPr>
          <w:p>
            <w:pPr>
              <w:widowControl/>
              <w:rPr>
                <w:rFonts w:hint="eastAsia" w:asciiTheme="minorEastAsia" w:hAnsiTheme="minorEastAsia" w:eastAsiaTheme="minorEastAsia" w:cstheme="minorEastAsia"/>
                <w:color w:val="auto"/>
                <w:kern w:val="0"/>
                <w:szCs w:val="21"/>
                <w:lang w:val="en-US" w:eastAsia="zh-CN"/>
              </w:rPr>
            </w:pPr>
            <w:r>
              <w:rPr>
                <w:rFonts w:hint="eastAsia" w:ascii="宋体" w:hAnsi="宋体" w:cs="宋体"/>
                <w:color w:val="auto"/>
                <w:kern w:val="0"/>
                <w:szCs w:val="21"/>
              </w:rPr>
              <w:t>参加本</w:t>
            </w:r>
            <w:r>
              <w:rPr>
                <w:rFonts w:hint="eastAsia" w:ascii="宋体" w:hAnsi="宋体" w:cs="宋体"/>
                <w:color w:val="auto"/>
                <w:kern w:val="0"/>
                <w:szCs w:val="21"/>
                <w:shd w:val="clear" w:color="auto" w:fill="FFFFFF"/>
              </w:rPr>
              <w:t>次政府采购活动前三年内，是否有不良经济纠纷记录和违法行为</w:t>
            </w:r>
            <w:r>
              <w:rPr>
                <w:rFonts w:hint="eastAsia" w:ascii="宋体" w:hAnsi="宋体" w:cs="宋体"/>
                <w:color w:val="auto"/>
                <w:kern w:val="0"/>
                <w:szCs w:val="21"/>
                <w:shd w:val="clear" w:color="auto" w:fill="FFFFFF"/>
                <w:lang w:eastAsia="zh-CN"/>
              </w:rPr>
              <w:t>（</w:t>
            </w:r>
            <w:r>
              <w:rPr>
                <w:rFonts w:hint="eastAsia" w:ascii="宋体" w:hAnsi="宋体" w:cs="宋体"/>
                <w:color w:val="auto"/>
                <w:kern w:val="0"/>
                <w:szCs w:val="21"/>
                <w:shd w:val="clear" w:color="auto" w:fill="FFFFFF"/>
                <w:lang w:val="en-US" w:eastAsia="zh-CN"/>
              </w:rPr>
              <w:t>供应商提供声明或承诺书，格式自拟</w:t>
            </w:r>
            <w:r>
              <w:rPr>
                <w:rFonts w:hint="eastAsia" w:ascii="宋体" w:hAnsi="宋体" w:cs="宋体"/>
                <w:color w:val="auto"/>
                <w:kern w:val="0"/>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Merge w:val="restart"/>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采购需求响应</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技术参数及商务需求</w:t>
            </w:r>
            <w:r>
              <w:rPr>
                <w:rFonts w:hint="eastAsia" w:asciiTheme="minorEastAsia" w:hAnsiTheme="minorEastAsia" w:eastAsiaTheme="minorEastAsia" w:cstheme="minorEastAsia"/>
                <w:color w:val="auto"/>
                <w:kern w:val="0"/>
                <w:szCs w:val="21"/>
              </w:rPr>
              <w:t>是否实质性响应磋商文件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是否有提出采购人不能接受的合同条件的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autoSpaceDE w:val="0"/>
              <w:autoSpaceDN w:val="0"/>
              <w:adjustRightInd w:val="0"/>
              <w:snapToGrid w:val="0"/>
              <w:jc w:val="center"/>
              <w:rPr>
                <w:rFonts w:hint="eastAsia" w:ascii="宋体" w:hAnsi="宋体" w:eastAsia="宋体"/>
                <w:color w:val="auto"/>
                <w:szCs w:val="21"/>
                <w:lang w:eastAsia="zh-CN"/>
              </w:rPr>
            </w:pPr>
            <w:r>
              <w:rPr>
                <w:rFonts w:hint="eastAsia" w:ascii="宋体" w:hAnsi="宋体"/>
                <w:color w:val="auto"/>
                <w:szCs w:val="21"/>
              </w:rPr>
              <w:t>其他要求</w:t>
            </w:r>
            <w:r>
              <w:rPr>
                <w:rFonts w:hint="eastAsia" w:ascii="宋体" w:hAnsi="宋体"/>
                <w:color w:val="auto"/>
                <w:szCs w:val="21"/>
                <w:lang w:eastAsia="zh-CN"/>
              </w:rPr>
              <w:t>（</w:t>
            </w:r>
            <w:r>
              <w:rPr>
                <w:rFonts w:hint="eastAsia" w:ascii="宋体" w:hAnsi="宋体"/>
                <w:color w:val="auto"/>
                <w:szCs w:val="21"/>
                <w:lang w:val="en-US" w:eastAsia="zh-CN"/>
              </w:rPr>
              <w:t>一</w:t>
            </w:r>
            <w:r>
              <w:rPr>
                <w:rFonts w:hint="eastAsia" w:ascii="宋体" w:hAnsi="宋体"/>
                <w:color w:val="auto"/>
                <w:szCs w:val="21"/>
                <w:lang w:eastAsia="zh-CN"/>
              </w:rPr>
              <w:t>）</w:t>
            </w:r>
          </w:p>
        </w:tc>
        <w:tc>
          <w:tcPr>
            <w:tcW w:w="4730" w:type="dxa"/>
            <w:vAlign w:val="center"/>
          </w:tcPr>
          <w:p>
            <w:pPr>
              <w:autoSpaceDE w:val="0"/>
              <w:autoSpaceDN w:val="0"/>
              <w:adjustRightInd w:val="0"/>
              <w:snapToGrid w:val="0"/>
              <w:rPr>
                <w:rFonts w:hint="eastAsia" w:ascii="宋体" w:hAnsi="宋体"/>
                <w:color w:val="auto"/>
                <w:szCs w:val="21"/>
              </w:rPr>
            </w:pPr>
            <w:r>
              <w:rPr>
                <w:rFonts w:hint="eastAsia" w:ascii="宋体" w:hAnsi="宋体"/>
                <w:color w:val="auto"/>
                <w:szCs w:val="21"/>
              </w:rPr>
              <w:t>供应商未有下列任一情形：</w:t>
            </w:r>
          </w:p>
          <w:p>
            <w:pPr>
              <w:autoSpaceDE w:val="0"/>
              <w:autoSpaceDN w:val="0"/>
              <w:adjustRightInd w:val="0"/>
              <w:snapToGrid w:val="0"/>
              <w:rPr>
                <w:rFonts w:hint="eastAsia" w:ascii="宋体" w:hAnsi="宋体"/>
                <w:color w:val="auto"/>
                <w:szCs w:val="21"/>
              </w:rPr>
            </w:pPr>
            <w:r>
              <w:rPr>
                <w:rFonts w:hint="eastAsia" w:ascii="宋体" w:hAnsi="宋体"/>
                <w:color w:val="auto"/>
                <w:szCs w:val="21"/>
              </w:rPr>
              <w:t>（1）不同供应商的响应文件由同一单位或者个人编制；</w:t>
            </w:r>
          </w:p>
          <w:p>
            <w:pPr>
              <w:autoSpaceDE w:val="0"/>
              <w:autoSpaceDN w:val="0"/>
              <w:adjustRightInd w:val="0"/>
              <w:snapToGrid w:val="0"/>
              <w:rPr>
                <w:rFonts w:hint="eastAsia" w:ascii="宋体" w:hAnsi="宋体"/>
                <w:color w:val="auto"/>
                <w:szCs w:val="21"/>
              </w:rPr>
            </w:pPr>
            <w:r>
              <w:rPr>
                <w:rFonts w:hint="eastAsia" w:ascii="宋体" w:hAnsi="宋体"/>
                <w:color w:val="auto"/>
                <w:szCs w:val="21"/>
              </w:rPr>
              <w:t>（2）不同供应商委托同一单位或者个人办理投标事宜；</w:t>
            </w:r>
          </w:p>
          <w:p>
            <w:pPr>
              <w:autoSpaceDE w:val="0"/>
              <w:autoSpaceDN w:val="0"/>
              <w:adjustRightInd w:val="0"/>
              <w:snapToGrid w:val="0"/>
              <w:rPr>
                <w:rFonts w:hint="eastAsia" w:ascii="宋体" w:hAnsi="宋体"/>
                <w:color w:val="auto"/>
                <w:szCs w:val="21"/>
              </w:rPr>
            </w:pPr>
            <w:r>
              <w:rPr>
                <w:rFonts w:hint="eastAsia" w:ascii="宋体" w:hAnsi="宋体"/>
                <w:color w:val="auto"/>
                <w:szCs w:val="21"/>
              </w:rPr>
              <w:t>（3）不同供应商的响应文件载明的项目管理成员或者联系人员为同一人；</w:t>
            </w:r>
          </w:p>
          <w:p>
            <w:pPr>
              <w:autoSpaceDE w:val="0"/>
              <w:autoSpaceDN w:val="0"/>
              <w:adjustRightInd w:val="0"/>
              <w:snapToGrid w:val="0"/>
              <w:rPr>
                <w:rFonts w:hint="eastAsia" w:ascii="宋体" w:hAnsi="宋体"/>
                <w:color w:val="auto"/>
                <w:szCs w:val="21"/>
              </w:rPr>
            </w:pPr>
            <w:r>
              <w:rPr>
                <w:rFonts w:hint="eastAsia" w:ascii="宋体" w:hAnsi="宋体"/>
                <w:color w:val="auto"/>
                <w:szCs w:val="21"/>
              </w:rPr>
              <w:t>（4）不同供应商的响应文件异常一致或者投标报价呈规律性差异；</w:t>
            </w:r>
          </w:p>
          <w:p>
            <w:pPr>
              <w:autoSpaceDE w:val="0"/>
              <w:autoSpaceDN w:val="0"/>
              <w:adjustRightInd w:val="0"/>
              <w:snapToGrid w:val="0"/>
              <w:rPr>
                <w:rFonts w:hint="eastAsia" w:ascii="宋体" w:hAnsi="宋体"/>
                <w:color w:val="auto"/>
                <w:szCs w:val="21"/>
              </w:rPr>
            </w:pPr>
            <w:r>
              <w:rPr>
                <w:rFonts w:hint="eastAsia" w:ascii="宋体" w:hAnsi="宋体"/>
                <w:color w:val="auto"/>
                <w:szCs w:val="21"/>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3" w:hRule="atLeast"/>
          <w:jc w:val="center"/>
        </w:trPr>
        <w:tc>
          <w:tcPr>
            <w:tcW w:w="680"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bCs/>
                <w:color w:val="auto"/>
                <w:kern w:val="0"/>
                <w:szCs w:val="21"/>
              </w:rPr>
            </w:pPr>
          </w:p>
        </w:tc>
        <w:tc>
          <w:tcPr>
            <w:tcW w:w="3101" w:type="dxa"/>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其他要求</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二</w:t>
            </w:r>
            <w:r>
              <w:rPr>
                <w:rFonts w:hint="eastAsia" w:asciiTheme="minorEastAsia" w:hAnsiTheme="minorEastAsia" w:eastAsiaTheme="minorEastAsia" w:cstheme="minorEastAsia"/>
                <w:color w:val="auto"/>
                <w:kern w:val="0"/>
                <w:szCs w:val="21"/>
                <w:lang w:eastAsia="zh-CN"/>
              </w:rPr>
              <w:t>）</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宋体" w:hAnsi="宋体" w:cs="宋体"/>
                <w:color w:val="auto"/>
                <w:kern w:val="0"/>
                <w:sz w:val="21"/>
                <w:szCs w:val="21"/>
                <w:lang w:val="en-US" w:eastAsia="zh-CN"/>
              </w:rPr>
              <w:t>磋商</w:t>
            </w:r>
            <w:r>
              <w:rPr>
                <w:rFonts w:hint="eastAsia" w:ascii="宋体" w:hAnsi="宋体" w:cs="宋体"/>
                <w:color w:val="auto"/>
                <w:kern w:val="0"/>
                <w:sz w:val="21"/>
                <w:szCs w:val="21"/>
              </w:rPr>
              <w:t>文件中规定被视为无效投标其它条款的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0" w:type="dxa"/>
            <w:vMerge w:val="restart"/>
            <w:vAlign w:val="center"/>
          </w:tcPr>
          <w:p>
            <w:pPr>
              <w:widowControl/>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val="en-US" w:eastAsia="zh-CN"/>
              </w:rPr>
              <w:t>4</w:t>
            </w:r>
          </w:p>
        </w:tc>
        <w:tc>
          <w:tcPr>
            <w:tcW w:w="851" w:type="dxa"/>
            <w:vMerge w:val="restart"/>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确定磋商供应商进行最后报价</w:t>
            </w: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磋商文件能完整、明确列明采购需求，无需要供应商提供最终设计方案或者解决方案的</w:t>
            </w:r>
          </w:p>
        </w:tc>
        <w:tc>
          <w:tcPr>
            <w:tcW w:w="4730" w:type="dxa"/>
            <w:vAlign w:val="center"/>
          </w:tcPr>
          <w:p>
            <w:pPr>
              <w:widowControl/>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在磋商结束后，磋商小组向所有通过</w:t>
            </w:r>
            <w:r>
              <w:rPr>
                <w:rFonts w:hint="eastAsia" w:asciiTheme="minorEastAsia" w:hAnsiTheme="minorEastAsia" w:eastAsiaTheme="minorEastAsia" w:cstheme="minorEastAsia"/>
                <w:color w:val="auto"/>
                <w:kern w:val="0"/>
                <w:szCs w:val="21"/>
                <w:lang w:val="en-US" w:eastAsia="zh-CN"/>
              </w:rPr>
              <w:t>资格性和符合性审查</w:t>
            </w:r>
            <w:r>
              <w:rPr>
                <w:rFonts w:hint="eastAsia" w:asciiTheme="minorEastAsia" w:hAnsiTheme="minorEastAsia" w:eastAsiaTheme="minorEastAsia" w:cstheme="minorEastAsia"/>
                <w:color w:val="auto"/>
                <w:kern w:val="0"/>
                <w:szCs w:val="21"/>
              </w:rPr>
              <w:t>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85" w:hRule="atLeast"/>
          <w:jc w:val="center"/>
        </w:trPr>
        <w:tc>
          <w:tcPr>
            <w:tcW w:w="680"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851" w:type="dxa"/>
            <w:vMerge w:val="continue"/>
            <w:vAlign w:val="center"/>
          </w:tcPr>
          <w:p>
            <w:pPr>
              <w:widowControl/>
              <w:jc w:val="center"/>
              <w:rPr>
                <w:rFonts w:hint="eastAsia" w:asciiTheme="minorEastAsia" w:hAnsiTheme="minorEastAsia" w:eastAsiaTheme="minorEastAsia" w:cstheme="minorEastAsia"/>
                <w:color w:val="auto"/>
                <w:kern w:val="0"/>
                <w:szCs w:val="21"/>
              </w:rPr>
            </w:pPr>
          </w:p>
        </w:tc>
        <w:tc>
          <w:tcPr>
            <w:tcW w:w="3101"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磋商文件不能完整、明确列明采购需求，需要由供应商提供最终设计方案或者解决方案的</w:t>
            </w:r>
          </w:p>
        </w:tc>
        <w:tc>
          <w:tcPr>
            <w:tcW w:w="4730" w:type="dxa"/>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w:t>
            </w:r>
          </w:p>
        </w:tc>
        <w:tc>
          <w:tcPr>
            <w:tcW w:w="851" w:type="dxa"/>
            <w:vAlign w:val="center"/>
          </w:tcPr>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评定</w:t>
            </w:r>
          </w:p>
          <w:p>
            <w:pPr>
              <w:widowControl/>
              <w:jc w:val="center"/>
              <w:rPr>
                <w:rFonts w:hint="eastAsia"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办法</w:t>
            </w:r>
          </w:p>
        </w:tc>
        <w:tc>
          <w:tcPr>
            <w:tcW w:w="3101"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kern w:val="0"/>
                <w:szCs w:val="21"/>
              </w:rPr>
              <w:t>综合评分法</w:t>
            </w:r>
          </w:p>
        </w:tc>
        <w:tc>
          <w:tcPr>
            <w:tcW w:w="4730" w:type="dxa"/>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各供应商的最终得分为各评委所评定分数的算术平均值。磋商小组将根据供应商最终得分由高到低的照顺序推荐3名成交候选人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4" w:hRule="atLeast"/>
          <w:jc w:val="center"/>
        </w:trPr>
        <w:tc>
          <w:tcPr>
            <w:tcW w:w="680" w:type="dxa"/>
            <w:vAlign w:val="center"/>
          </w:tcPr>
          <w:p>
            <w:pPr>
              <w:widowControl/>
              <w:jc w:val="center"/>
              <w:rPr>
                <w:rFonts w:hint="eastAsia" w:asciiTheme="minorEastAsia" w:hAnsiTheme="minorEastAsia" w:eastAsiaTheme="minorEastAsia" w:cstheme="minorEastAsia"/>
                <w:bCs/>
                <w:color w:val="auto"/>
                <w:kern w:val="0"/>
                <w:szCs w:val="21"/>
                <w:highlight w:val="none"/>
                <w:lang w:val="en-US" w:eastAsia="zh-CN"/>
              </w:rPr>
            </w:pPr>
            <w:r>
              <w:rPr>
                <w:rFonts w:hint="eastAsia" w:asciiTheme="minorEastAsia" w:hAnsiTheme="minorEastAsia" w:eastAsiaTheme="minorEastAsia" w:cstheme="minorEastAsia"/>
                <w:bCs/>
                <w:color w:val="auto"/>
                <w:kern w:val="0"/>
                <w:szCs w:val="21"/>
                <w:highlight w:val="none"/>
                <w:lang w:val="en-US" w:eastAsia="zh-CN"/>
              </w:rPr>
              <w:t>3.</w:t>
            </w:r>
          </w:p>
        </w:tc>
        <w:tc>
          <w:tcPr>
            <w:tcW w:w="851" w:type="dxa"/>
            <w:vAlign w:val="center"/>
          </w:tcPr>
          <w:p>
            <w:pPr>
              <w:widowControl/>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相同</w:t>
            </w:r>
          </w:p>
          <w:p>
            <w:pPr>
              <w:widowControl/>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品牌</w:t>
            </w:r>
          </w:p>
        </w:tc>
        <w:tc>
          <w:tcPr>
            <w:tcW w:w="3101" w:type="dxa"/>
            <w:vAlign w:val="center"/>
          </w:tcPr>
          <w:p>
            <w:pPr>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相同品牌处理原则</w:t>
            </w:r>
          </w:p>
          <w:p>
            <w:pPr>
              <w:jc w:val="center"/>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 w:val="21"/>
                <w:szCs w:val="21"/>
                <w:highlight w:val="none"/>
                <w:lang w:eastAsia="zh-CN"/>
              </w:rPr>
              <w:t>（本项目不适用）</w:t>
            </w:r>
          </w:p>
        </w:tc>
        <w:tc>
          <w:tcPr>
            <w:tcW w:w="4730" w:type="dxa"/>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提供相同品牌产品且通过资格审查、符合性审查的不同供应商参加同一合同项下竞标的，按一家供应商计算，评审后得分最高的同品牌供应商获得成交候选供应商推荐资格；评审得分相同的，由采购人确定或者采购人委托磋商小组以投票方式确定一个供应商获得成交候选供应商推荐资格，其他同品牌供应商不作为成交候选供应商。 </w:t>
            </w:r>
          </w:p>
          <w:p>
            <w:pPr>
              <w:numPr>
                <w:ilvl w:val="0"/>
                <w:numId w:val="0"/>
              </w:numPr>
              <w:autoSpaceDE w:val="0"/>
              <w:autoSpaceDN w:val="0"/>
              <w:adjustRightInd w:val="0"/>
              <w:snapToGrid w:val="0"/>
              <w:spacing w:before="31" w:beforeLines="10" w:after="31" w:afterLines="10"/>
              <w:ind w:leftChars="0" w:right="21" w:rightChars="1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非单一产品采购项目，采购人应当根据采购项目技术构成、产品价格比重等合理确定一个核心产品，并以“核心产品”在磋商文件</w:t>
            </w:r>
            <w:r>
              <w:rPr>
                <w:rFonts w:hint="eastAsia" w:asciiTheme="minorEastAsia" w:hAnsiTheme="minorEastAsia" w:eastAsiaTheme="minorEastAsia" w:cstheme="minorEastAsia"/>
                <w:color w:val="auto"/>
                <w:szCs w:val="21"/>
                <w:highlight w:val="none"/>
                <w:lang w:eastAsia="zh-CN"/>
              </w:rPr>
              <w:t>成交</w:t>
            </w:r>
            <w:r>
              <w:rPr>
                <w:rFonts w:hint="eastAsia" w:asciiTheme="minorEastAsia" w:hAnsiTheme="minorEastAsia" w:eastAsiaTheme="minorEastAsia" w:cstheme="minorEastAsia"/>
                <w:color w:val="auto"/>
                <w:szCs w:val="21"/>
                <w:highlight w:val="none"/>
              </w:rPr>
              <w:t>注。若核心产品不止</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个，各供应商所投任一核心产品的品牌相同，则按一家供应商计算。</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多家供应商提供的核心产品品牌相同的，按</w:t>
            </w:r>
            <w:r>
              <w:rPr>
                <w:rFonts w:hint="eastAsia" w:asciiTheme="minorEastAsia" w:hAnsiTheme="minorEastAsia" w:eastAsiaTheme="minorEastAsia" w:cstheme="minorEastAsia"/>
                <w:color w:val="auto"/>
                <w:szCs w:val="21"/>
                <w:highlight w:val="none"/>
                <w:lang w:val="en-US" w:eastAsia="zh-CN"/>
              </w:rPr>
              <w:t>上述</w:t>
            </w:r>
            <w:r>
              <w:rPr>
                <w:rFonts w:hint="eastAsia" w:asciiTheme="minorEastAsia" w:hAnsiTheme="minorEastAsia" w:eastAsiaTheme="minorEastAsia" w:cstheme="minorEastAsia"/>
                <w:color w:val="auto"/>
                <w:szCs w:val="21"/>
                <w:highlight w:val="none"/>
              </w:rPr>
              <w:t>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 w:hRule="atLeast"/>
          <w:jc w:val="center"/>
        </w:trPr>
        <w:tc>
          <w:tcPr>
            <w:tcW w:w="9362" w:type="dxa"/>
            <w:gridSpan w:val="4"/>
            <w:vAlign w:val="center"/>
          </w:tcPr>
          <w:p>
            <w:pPr>
              <w:widowControl/>
              <w:pBdr>
                <w:between w:val="single" w:color="auto" w:sz="4" w:space="0"/>
              </w:pBd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所属行业及</w:t>
            </w:r>
          </w:p>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划型标准</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类型：工业 制造业……（查询划型标准）</w:t>
            </w:r>
          </w:p>
          <w:p>
            <w:pPr>
              <w:widowControl/>
              <w:rPr>
                <w:rFonts w:hint="eastAsia" w:asciiTheme="minorEastAsia" w:hAnsiTheme="minorEastAsia" w:eastAsiaTheme="minorEastAsia" w:cstheme="minorEastAsia"/>
                <w:color w:val="auto"/>
                <w:kern w:val="0"/>
                <w:szCs w:val="21"/>
                <w:u w:val="single"/>
              </w:rPr>
            </w:pPr>
            <w:r>
              <w:rPr>
                <w:rFonts w:hint="eastAsia" w:asciiTheme="minorEastAsia" w:hAnsiTheme="minorEastAsia" w:eastAsiaTheme="minorEastAsia" w:cstheme="minorEastAsia"/>
                <w:color w:val="auto"/>
                <w:kern w:val="0"/>
                <w:szCs w:val="21"/>
              </w:rPr>
              <w:t>小型：营业收入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微型：营业收入</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从业人员</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资产总额</w:t>
            </w:r>
            <w:r>
              <w:rPr>
                <w:rFonts w:hint="eastAsia" w:asciiTheme="minorEastAsia" w:hAnsiTheme="minorEastAsia" w:eastAsiaTheme="minorEastAsia" w:cstheme="minorEastAsia"/>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中小企业</w:t>
            </w:r>
          </w:p>
        </w:tc>
        <w:tc>
          <w:tcPr>
            <w:tcW w:w="7831" w:type="dxa"/>
            <w:gridSpan w:val="2"/>
            <w:vAlign w:val="center"/>
          </w:tcPr>
          <w:p>
            <w:pPr>
              <w:widowControl/>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如符合工信部联企业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300号文中对中小企业划型标准的， 需提供本单位的 《中小企业声明函》（格式见第六章）及企业相关数据资料。代理商</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标需同时提供制造商及代理商双方的数据资料（制造商直接</w:t>
            </w:r>
            <w:r>
              <w:rPr>
                <w:rFonts w:hint="eastAsia" w:asciiTheme="minorEastAsia" w:hAnsiTheme="minorEastAsia" w:eastAsiaTheme="minorEastAsia" w:cstheme="minorEastAsia"/>
                <w:color w:val="auto"/>
                <w:kern w:val="0"/>
                <w:szCs w:val="21"/>
                <w:lang w:val="en-US" w:eastAsia="zh-CN"/>
              </w:rPr>
              <w:t>竞</w:t>
            </w:r>
            <w:r>
              <w:rPr>
                <w:rFonts w:hint="eastAsia" w:asciiTheme="minorEastAsia" w:hAnsiTheme="minorEastAsia" w:eastAsiaTheme="minorEastAsia" w:cstheme="minorEastAsia"/>
                <w:color w:val="auto"/>
                <w:kern w:val="0"/>
                <w:szCs w:val="21"/>
              </w:rPr>
              <w:t>标的仅需提供制造商数据资料），如果数据资料与声明函不一致的，由</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判定。经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符合工信部联企业</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300 号文中对中小企业划型标准的，将根据财库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2011</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181</w:t>
            </w:r>
            <w:r>
              <w:rPr>
                <w:rFonts w:hint="eastAsia" w:asciiTheme="minorEastAsia" w:hAnsiTheme="minorEastAsia" w:eastAsiaTheme="minorEastAsia" w:cstheme="minorEastAsia"/>
                <w:color w:val="auto"/>
                <w:kern w:val="0"/>
                <w:szCs w:val="21"/>
                <w:lang w:val="en-US" w:eastAsia="zh-CN"/>
              </w:rPr>
              <w:t>号</w:t>
            </w:r>
            <w:r>
              <w:rPr>
                <w:rFonts w:hint="eastAsia" w:asciiTheme="minorEastAsia" w:hAnsiTheme="minorEastAsia" w:eastAsiaTheme="minorEastAsia" w:cstheme="minorEastAsia"/>
                <w:color w:val="auto"/>
                <w:kern w:val="0"/>
                <w:szCs w:val="21"/>
              </w:rPr>
              <w:t>文的相关规定在评定时对小型和微型企业产品的价格给予</w:t>
            </w:r>
            <w:r>
              <w:rPr>
                <w:rFonts w:hint="eastAsia" w:asciiTheme="minorEastAsia" w:hAnsiTheme="minorEastAsia" w:eastAsiaTheme="minorEastAsia" w:cstheme="minorEastAsia"/>
                <w:color w:val="auto"/>
                <w:kern w:val="0"/>
                <w:szCs w:val="21"/>
                <w:lang w:val="en-US" w:eastAsia="zh-CN"/>
              </w:rPr>
              <w:t>6</w:t>
            </w:r>
            <w:r>
              <w:rPr>
                <w:rFonts w:hint="eastAsia" w:asciiTheme="minorEastAsia" w:hAnsiTheme="minorEastAsia" w:eastAsiaTheme="minorEastAsia" w:cstheme="minorEastAsia"/>
                <w:color w:val="auto"/>
                <w:kern w:val="0"/>
                <w:szCs w:val="21"/>
              </w:rPr>
              <w:t>%的扣除后的价格参与评审。大中型企业与小型、微型企业组成联合体共同参加非专门面向中小企业的政府采购活动，且联合体协议中约定小型、微型企业的协议合同金额占到联合体协议合同总金额 30%以上的，给予联合体2%的价格扣除。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5"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监狱企业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按照财政部《关于政府采购支持监狱企业发展有关问题的通知》（财库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2014</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材料不全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属于监狱企业的，在评定时视同中小企业</w:t>
            </w:r>
            <w:r>
              <w:rPr>
                <w:rFonts w:hint="eastAsia" w:asciiTheme="minorEastAsia" w:hAnsiTheme="minorEastAsia" w:eastAsiaTheme="minorEastAsia" w:cstheme="minorEastAsia"/>
                <w:color w:val="auto"/>
                <w:kern w:val="0"/>
                <w:szCs w:val="21"/>
                <w:lang w:eastAsia="zh-CN"/>
              </w:rPr>
              <w:t>，价格给予6%的扣除后的价格参与评审。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7" w:hRule="atLeast"/>
          <w:jc w:val="center"/>
        </w:trPr>
        <w:tc>
          <w:tcPr>
            <w:tcW w:w="1531" w:type="dxa"/>
            <w:gridSpan w:val="2"/>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促进残疾人</w:t>
            </w:r>
          </w:p>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就业</w:t>
            </w:r>
          </w:p>
        </w:tc>
        <w:tc>
          <w:tcPr>
            <w:tcW w:w="7831" w:type="dxa"/>
            <w:gridSpan w:val="2"/>
            <w:vAlign w:val="center"/>
          </w:tcPr>
          <w:p>
            <w:pPr>
              <w:widowControl/>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按照《三部门联合发布关于促进残疾人就业政府采购政策的通知》（财库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 号）的规定，在政府采购活动中，残疾人福利性单位视同小型、微型企业，享受预留份额、评审中价格扣除等促进中小企业发展的政府采购政策。符合条件的残疾人福利性单位在参加政府采购活动时，应当提供财库</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2017</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141号文规定的《残疾人福利性单位声明函》（格式见第六章），并对声明的真实性负责，未提供声明函的不予折扣。经</w:t>
            </w:r>
            <w:r>
              <w:rPr>
                <w:rFonts w:hint="eastAsia" w:asciiTheme="minorEastAsia" w:hAnsiTheme="minorEastAsia" w:eastAsiaTheme="minorEastAsia" w:cstheme="minorEastAsia"/>
                <w:color w:val="auto"/>
                <w:kern w:val="0"/>
                <w:szCs w:val="21"/>
                <w:lang w:val="en-US" w:eastAsia="zh-CN"/>
              </w:rPr>
              <w:t>磋商小组</w:t>
            </w:r>
            <w:r>
              <w:rPr>
                <w:rFonts w:hint="eastAsia" w:asciiTheme="minorEastAsia" w:hAnsiTheme="minorEastAsia" w:eastAsiaTheme="minorEastAsia" w:cstheme="minorEastAsia"/>
                <w:color w:val="auto"/>
                <w:kern w:val="0"/>
                <w:szCs w:val="21"/>
              </w:rPr>
              <w:t>审核确认</w:t>
            </w:r>
            <w:r>
              <w:rPr>
                <w:rFonts w:hint="eastAsia" w:asciiTheme="minorEastAsia" w:hAnsiTheme="minorEastAsia" w:eastAsiaTheme="minorEastAsia" w:cstheme="minorEastAsia"/>
                <w:color w:val="auto"/>
                <w:kern w:val="0"/>
                <w:szCs w:val="21"/>
                <w:lang w:val="en-US" w:eastAsia="zh-CN"/>
              </w:rPr>
              <w:t>供应商</w:t>
            </w:r>
            <w:r>
              <w:rPr>
                <w:rFonts w:hint="eastAsia" w:asciiTheme="minorEastAsia" w:hAnsiTheme="minorEastAsia" w:eastAsiaTheme="minorEastAsia" w:cstheme="minorEastAsia"/>
                <w:color w:val="auto"/>
                <w:kern w:val="0"/>
                <w:szCs w:val="21"/>
              </w:rPr>
              <w:t>符合残疾人福利性单位条件的，在评定时视同中小企业。残疾人福利性单位属于小型、微型企业的，不重复享受政策。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1531" w:type="dxa"/>
            <w:gridSpan w:val="2"/>
            <w:vAlign w:val="center"/>
          </w:tcPr>
          <w:p>
            <w:pPr>
              <w:autoSpaceDE w:val="0"/>
              <w:autoSpaceDN w:val="0"/>
              <w:adjustRightInd w:val="0"/>
              <w:jc w:val="center"/>
              <w:rPr>
                <w:rFonts w:hint="eastAsia" w:ascii="宋体" w:hAnsi="宋体" w:cs="宋体"/>
                <w:snapToGrid w:val="0"/>
                <w:color w:val="auto"/>
                <w:kern w:val="0"/>
                <w:szCs w:val="21"/>
                <w:lang w:val="zh-CN"/>
              </w:rPr>
            </w:pPr>
          </w:p>
          <w:p>
            <w:pPr>
              <w:autoSpaceDE w:val="0"/>
              <w:autoSpaceDN w:val="0"/>
              <w:adjustRightInd w:val="0"/>
              <w:jc w:val="center"/>
              <w:rPr>
                <w:rFonts w:hint="eastAsia" w:eastAsia="宋体" w:asciiTheme="minorEastAsia" w:hAnsiTheme="minorEastAsia" w:cstheme="minorEastAsia"/>
                <w:color w:val="auto"/>
                <w:kern w:val="0"/>
                <w:szCs w:val="21"/>
                <w:lang w:eastAsia="zh-CN"/>
              </w:rPr>
            </w:pPr>
            <w:r>
              <w:rPr>
                <w:rFonts w:hint="eastAsia" w:ascii="宋体" w:hAnsi="宋体" w:cs="宋体"/>
                <w:snapToGrid w:val="0"/>
                <w:color w:val="auto"/>
                <w:kern w:val="0"/>
                <w:szCs w:val="21"/>
                <w:lang w:val="zh-CN"/>
              </w:rPr>
              <w:t>节能</w:t>
            </w:r>
            <w:r>
              <w:rPr>
                <w:rFonts w:hint="eastAsia" w:ascii="宋体" w:hAnsi="宋体" w:cs="宋体"/>
                <w:snapToGrid w:val="0"/>
                <w:color w:val="auto"/>
                <w:kern w:val="0"/>
                <w:szCs w:val="21"/>
                <w:lang w:val="en-US" w:eastAsia="zh-CN"/>
              </w:rPr>
              <w:t>环保</w:t>
            </w:r>
          </w:p>
        </w:tc>
        <w:tc>
          <w:tcPr>
            <w:tcW w:w="7831" w:type="dxa"/>
            <w:gridSpan w:val="2"/>
            <w:vAlign w:val="center"/>
          </w:tcPr>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按照《财政部 发展改革委 生态环境部 市场监管总局 关于调整优化节能产品、环境标志产品政府采购执行机制的通知》（财库〔2019〕9 号）/《关于印发环境标志产品政府采购品目清单的通知》（财库〔2019〕18 号）/《关于印发节能产品政府采购品目清单的通知》（财库〔2019〕19 号）/《市场监管总局关于发布参与实施政府采购节能产品、环境标志产品认证机构名录的公告》（2019 年第 16 号）文件执行。</w:t>
            </w:r>
          </w:p>
          <w:p>
            <w:pPr>
              <w:autoSpaceDE w:val="0"/>
              <w:autoSpaceDN w:val="0"/>
              <w:adjustRightInd w:val="0"/>
              <w:jc w:val="both"/>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如供应商投标产品符合以上文件的政策支持，须提供产品认证证书（合格有效时间内的）或节能产品查（http://www、ccgp、gov、cn/search/jnqdchaxun、htm）/环境标志产品查询（http://www、ccgp、gov、cn/search/hbqdchaxun、htm）查询结果截图。经评委会审核确认供应商投标产品符合以上政府采购政策的，给予该项投标产品所占价格的 1%的价格扣除，用扣除后的价格参与评审。上述政府采购政策优惠须经评标委评审后执行，未提供单独分项报价或证明资料不全的不给予价格扣除。同一项目包内的节能产品价格扣除只对属于节能产品政府清单内的非强制类产品进行，强制类产品已作为投标时强制性要求不再给予价格扣除。同时被认证为节能产品和环境标志产品的不重复享受价格扣除。</w:t>
            </w:r>
          </w:p>
        </w:tc>
      </w:tr>
    </w:tbl>
    <w:p>
      <w:pPr>
        <w:spacing w:line="360" w:lineRule="auto"/>
        <w:outlineLvl w:val="1"/>
        <w:rPr>
          <w:rFonts w:hint="eastAsia" w:asciiTheme="minorEastAsia" w:hAnsiTheme="minorEastAsia" w:eastAsiaTheme="minorEastAsia" w:cstheme="minorEastAsia"/>
          <w:b/>
          <w:color w:val="auto"/>
          <w:szCs w:val="21"/>
        </w:rPr>
      </w:pPr>
      <w:bookmarkStart w:id="108" w:name="_Toc25729"/>
      <w:r>
        <w:rPr>
          <w:rFonts w:hint="eastAsia" w:asciiTheme="minorEastAsia" w:hAnsiTheme="minorEastAsia" w:eastAsiaTheme="minorEastAsia" w:cstheme="minorEastAsia"/>
          <w:b/>
          <w:color w:val="auto"/>
          <w:szCs w:val="21"/>
          <w:lang w:val="en-US" w:eastAsia="zh-CN"/>
        </w:rPr>
        <w:t>二、</w:t>
      </w:r>
      <w:r>
        <w:rPr>
          <w:rFonts w:hint="eastAsia" w:asciiTheme="minorEastAsia" w:hAnsiTheme="minorEastAsia" w:eastAsiaTheme="minorEastAsia" w:cstheme="minorEastAsia"/>
          <w:b/>
          <w:color w:val="auto"/>
          <w:szCs w:val="21"/>
        </w:rPr>
        <w:t>计算办法</w:t>
      </w:r>
      <w:bookmarkEnd w:id="108"/>
    </w:p>
    <w:tbl>
      <w:tblPr>
        <w:tblStyle w:val="2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94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分值构成(总分100分)</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评标基准价计算方法</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评分因素</w:t>
            </w:r>
          </w:p>
        </w:tc>
        <w:tc>
          <w:tcPr>
            <w:tcW w:w="6322"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技术部分评分标准</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商务部分评分标准</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6"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竞标报价评分标准</w:t>
            </w:r>
          </w:p>
        </w:tc>
        <w:tc>
          <w:tcPr>
            <w:tcW w:w="6322"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条款内容</w:t>
            </w:r>
          </w:p>
        </w:tc>
        <w:tc>
          <w:tcPr>
            <w:tcW w:w="6322" w:type="dxa"/>
            <w:vAlign w:val="center"/>
          </w:tcPr>
          <w:p>
            <w:pPr>
              <w:widowControl/>
              <w:jc w:val="center"/>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各供应商的最终得分计算办法</w:t>
            </w:r>
          </w:p>
        </w:tc>
        <w:tc>
          <w:tcPr>
            <w:tcW w:w="6322"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940" w:type="dxa"/>
            <w:vAlign w:val="center"/>
          </w:tcPr>
          <w:p>
            <w:pPr>
              <w:widowControl/>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供应商最后得分相同时对供应商进行排序的方法</w:t>
            </w:r>
          </w:p>
        </w:tc>
        <w:tc>
          <w:tcPr>
            <w:tcW w:w="6322" w:type="dxa"/>
            <w:vAlign w:val="center"/>
          </w:tcPr>
          <w:p>
            <w:pPr>
              <w:widowControl/>
              <w:jc w:val="center"/>
              <w:rPr>
                <w:rFonts w:hint="eastAsia" w:asciiTheme="minorEastAsia" w:hAnsiTheme="minorEastAsia" w:eastAsiaTheme="minorEastAsia" w:cstheme="minorEastAsia"/>
                <w:snapToGrid w:val="0"/>
                <w:color w:val="auto"/>
                <w:kern w:val="0"/>
                <w:szCs w:val="21"/>
                <w:lang w:val="zh-CN"/>
              </w:rPr>
            </w:pPr>
            <w:r>
              <w:rPr>
                <w:rFonts w:hint="eastAsia" w:asciiTheme="minorEastAsia" w:hAnsiTheme="minorEastAsia" w:eastAsiaTheme="minorEastAsia" w:cstheme="minorEastAsia"/>
                <w:color w:val="auto"/>
                <w:szCs w:val="21"/>
              </w:rPr>
              <w:t>得分相同的供应商，按竞标报价由低到高顺序排列。得分且报价相同的，按技术指标优劣顺序排列。</w:t>
            </w:r>
          </w:p>
        </w:tc>
      </w:tr>
    </w:tbl>
    <w:p>
      <w:pPr>
        <w:spacing w:line="360" w:lineRule="auto"/>
        <w:outlineLvl w:val="9"/>
        <w:rPr>
          <w:rFonts w:hint="eastAsia" w:asciiTheme="minorEastAsia" w:hAnsiTheme="minorEastAsia" w:eastAsiaTheme="minorEastAsia" w:cstheme="minorEastAsia"/>
          <w:b/>
          <w:color w:val="auto"/>
          <w:szCs w:val="21"/>
        </w:rPr>
      </w:pPr>
    </w:p>
    <w:p>
      <w:pPr>
        <w:pStyle w:val="20"/>
        <w:rPr>
          <w:rFonts w:hint="eastAsia" w:asciiTheme="minorEastAsia" w:hAnsiTheme="minorEastAsia" w:eastAsiaTheme="minorEastAsia" w:cstheme="minorEastAsia"/>
          <w:color w:val="auto"/>
        </w:rPr>
      </w:pPr>
    </w:p>
    <w:p>
      <w:pPr>
        <w:spacing w:line="360" w:lineRule="auto"/>
        <w:outlineLvl w:val="1"/>
        <w:rPr>
          <w:rFonts w:hint="eastAsia" w:asciiTheme="minorEastAsia" w:hAnsiTheme="minorEastAsia" w:eastAsiaTheme="minorEastAsia" w:cstheme="minorEastAsia"/>
          <w:b/>
          <w:color w:val="auto"/>
          <w:szCs w:val="21"/>
        </w:rPr>
      </w:pPr>
      <w:bookmarkStart w:id="109" w:name="_Toc16455"/>
      <w:r>
        <w:rPr>
          <w:rFonts w:hint="eastAsia" w:asciiTheme="minorEastAsia" w:hAnsiTheme="minorEastAsia" w:eastAsiaTheme="minorEastAsia" w:cstheme="minorEastAsia"/>
          <w:b/>
          <w:color w:val="auto"/>
          <w:szCs w:val="21"/>
          <w:lang w:val="en-US" w:eastAsia="zh-CN"/>
        </w:rPr>
        <w:t>三、</w:t>
      </w:r>
      <w:r>
        <w:rPr>
          <w:rFonts w:hint="eastAsia" w:asciiTheme="minorEastAsia" w:hAnsiTheme="minorEastAsia" w:eastAsiaTheme="minorEastAsia" w:cstheme="minorEastAsia"/>
          <w:b/>
          <w:color w:val="auto"/>
          <w:szCs w:val="21"/>
        </w:rPr>
        <w:t>评分细则</w:t>
      </w:r>
      <w:bookmarkEnd w:id="109"/>
    </w:p>
    <w:tbl>
      <w:tblPr>
        <w:tblStyle w:val="26"/>
        <w:tblW w:w="89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77"/>
        <w:gridCol w:w="1263"/>
        <w:gridCol w:w="6615"/>
        <w:gridCol w:w="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shd w:val="clear" w:color="auto" w:fill="D7D7D7"/>
            <w:noWrap w:val="0"/>
            <w:vAlign w:val="center"/>
          </w:tcPr>
          <w:p>
            <w:pPr>
              <w:widowControl/>
              <w:spacing w:line="240" w:lineRule="auto"/>
              <w:jc w:val="center"/>
              <w:textAlignment w:val="center"/>
              <w:rPr>
                <w:rFonts w:hint="eastAsia" w:asciiTheme="minorEastAsia" w:hAnsiTheme="minorEastAsia" w:eastAsiaTheme="minorEastAsia" w:cstheme="minorEastAsia"/>
                <w:b/>
                <w:bCs/>
                <w:color w:val="auto"/>
                <w:sz w:val="21"/>
                <w:szCs w:val="21"/>
              </w:rPr>
            </w:pPr>
            <w:bookmarkStart w:id="110" w:name="_Toc30868"/>
            <w:r>
              <w:rPr>
                <w:rFonts w:hint="eastAsia" w:asciiTheme="minorEastAsia" w:hAnsiTheme="minorEastAsia" w:eastAsiaTheme="minorEastAsia" w:cstheme="minorEastAsia"/>
                <w:b/>
                <w:bCs/>
                <w:color w:val="auto"/>
                <w:kern w:val="0"/>
                <w:sz w:val="21"/>
                <w:szCs w:val="21"/>
                <w:lang w:bidi="ar"/>
              </w:rPr>
              <w:t>项目</w:t>
            </w:r>
          </w:p>
        </w:tc>
        <w:tc>
          <w:tcPr>
            <w:tcW w:w="1263" w:type="dxa"/>
            <w:shd w:val="clear" w:color="auto" w:fill="D7D7D7"/>
            <w:noWrap w:val="0"/>
            <w:vAlign w:val="center"/>
          </w:tcPr>
          <w:p>
            <w:pPr>
              <w:widowControl/>
              <w:spacing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评标分项</w:t>
            </w:r>
          </w:p>
        </w:tc>
        <w:tc>
          <w:tcPr>
            <w:tcW w:w="6615" w:type="dxa"/>
            <w:shd w:val="clear" w:color="auto" w:fill="D7D7D7"/>
            <w:noWrap w:val="0"/>
            <w:vAlign w:val="center"/>
          </w:tcPr>
          <w:p>
            <w:pPr>
              <w:widowControl/>
              <w:spacing w:line="240" w:lineRule="auto"/>
              <w:jc w:val="center"/>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kern w:val="0"/>
                <w:sz w:val="21"/>
                <w:szCs w:val="21"/>
                <w:lang w:bidi="ar"/>
              </w:rPr>
              <w:t>评分标准</w:t>
            </w:r>
          </w:p>
        </w:tc>
        <w:tc>
          <w:tcPr>
            <w:tcW w:w="544" w:type="dxa"/>
            <w:shd w:val="clear" w:color="auto" w:fill="D7D7D7"/>
            <w:noWrap w:val="0"/>
            <w:vAlign w:val="center"/>
          </w:tcPr>
          <w:p>
            <w:pPr>
              <w:widowControl/>
              <w:spacing w:line="240" w:lineRule="auto"/>
              <w:jc w:val="center"/>
              <w:textAlignment w:val="center"/>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0"/>
                <w:sz w:val="21"/>
                <w:szCs w:val="21"/>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价格部分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35分</w:t>
            </w: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报价得分</w:t>
            </w:r>
          </w:p>
        </w:tc>
        <w:tc>
          <w:tcPr>
            <w:tcW w:w="6615" w:type="dxa"/>
            <w:noWrap w:val="0"/>
            <w:vAlign w:val="center"/>
          </w:tcPr>
          <w:p>
            <w:pPr>
              <w:widowControl/>
              <w:spacing w:line="240" w:lineRule="auto"/>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1、报价采用低价优先法计算，即满足</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采购文件要求且报价最低的报价为磋商基准价，其报价分为满分</w:t>
            </w: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p>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2、其他供应商的报价分按照下列公式计算：</w:t>
            </w:r>
          </w:p>
          <w:p>
            <w:pPr>
              <w:widowControl/>
              <w:spacing w:line="240" w:lineRule="auto"/>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报价分=（磋商基准价/磋商报价）×</w:t>
            </w:r>
            <w:r>
              <w:rPr>
                <w:rFonts w:hint="eastAsia" w:asciiTheme="minorEastAsia" w:hAnsiTheme="minorEastAsia" w:eastAsiaTheme="minorEastAsia" w:cstheme="minorEastAsia"/>
                <w:color w:val="auto"/>
                <w:sz w:val="21"/>
                <w:szCs w:val="21"/>
                <w:lang w:val="en-US" w:eastAsia="zh-CN"/>
              </w:rPr>
              <w:t>35</w:t>
            </w:r>
          </w:p>
          <w:p>
            <w:pPr>
              <w:widowControl/>
              <w:spacing w:line="240" w:lineRule="auto"/>
              <w:jc w:val="left"/>
              <w:textAlignment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备注：</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如发现供应商的最后报价明显低于其他通过资格审查及符合性审查的供应商的最后报价，磋商小组认为有可能影响项目实施及服务质量或者不能诚信履约的，可启用澄清程序，有权要求供应商在合理的时间内出具最后报价的合理分析，供应商不能合理说明或者不能提供相关证明材料的，磋商小组可认定该供应商以低于成本报价竞标，有权将其报价作无效处理。</w:t>
            </w:r>
          </w:p>
          <w:p>
            <w:pPr>
              <w:widowControl/>
              <w:spacing w:line="240" w:lineRule="auto"/>
              <w:jc w:val="left"/>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lang w:val="en-US" w:eastAsia="zh-CN"/>
              </w:rPr>
              <w:t>2、</w:t>
            </w:r>
            <w:r>
              <w:rPr>
                <w:rFonts w:hint="eastAsia" w:asciiTheme="minorEastAsia" w:hAnsiTheme="minorEastAsia" w:eastAsiaTheme="minorEastAsia" w:cstheme="minorEastAsia"/>
                <w:b/>
                <w:bCs/>
                <w:color w:val="auto"/>
                <w:sz w:val="21"/>
                <w:szCs w:val="21"/>
              </w:rPr>
              <w:t>符合本磋商文件第</w:t>
            </w:r>
            <w:r>
              <w:rPr>
                <w:rFonts w:hint="eastAsia" w:asciiTheme="minorEastAsia" w:hAnsiTheme="minorEastAsia" w:eastAsiaTheme="minorEastAsia" w:cstheme="minorEastAsia"/>
                <w:b/>
                <w:bCs/>
                <w:color w:val="auto"/>
                <w:sz w:val="21"/>
                <w:szCs w:val="21"/>
                <w:lang w:val="en-US" w:eastAsia="zh-CN"/>
              </w:rPr>
              <w:t>四</w:t>
            </w:r>
            <w:r>
              <w:rPr>
                <w:rFonts w:hint="eastAsia" w:asciiTheme="minorEastAsia" w:hAnsiTheme="minorEastAsia" w:eastAsiaTheme="minorEastAsia" w:cstheme="minorEastAsia"/>
                <w:b/>
                <w:bCs/>
                <w:color w:val="auto"/>
                <w:sz w:val="21"/>
                <w:szCs w:val="21"/>
              </w:rPr>
              <w:t>章“政策支持”</w:t>
            </w:r>
            <w:r>
              <w:rPr>
                <w:rFonts w:hint="eastAsia" w:asciiTheme="minorEastAsia" w:hAnsiTheme="minorEastAsia" w:eastAsiaTheme="minorEastAsia" w:cstheme="minorEastAsia"/>
                <w:b/>
                <w:bCs/>
                <w:color w:val="auto"/>
                <w:sz w:val="21"/>
                <w:szCs w:val="21"/>
                <w:lang w:val="en-US" w:eastAsia="zh-CN"/>
              </w:rPr>
              <w:t>条件</w:t>
            </w:r>
            <w:r>
              <w:rPr>
                <w:rFonts w:hint="eastAsia" w:asciiTheme="minorEastAsia" w:hAnsiTheme="minorEastAsia" w:eastAsiaTheme="minorEastAsia" w:cstheme="minorEastAsia"/>
                <w:b/>
                <w:bCs/>
                <w:color w:val="auto"/>
                <w:sz w:val="21"/>
                <w:szCs w:val="21"/>
              </w:rPr>
              <w:t>的，在评审时予以价格扣除，用扣除后的价格参与评审。</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bidi="ar"/>
              </w:rPr>
              <w:t>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restart"/>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eastAsia="zh-CN" w:bidi="ar"/>
              </w:rPr>
              <w:t>商务</w:t>
            </w:r>
            <w:r>
              <w:rPr>
                <w:rFonts w:hint="eastAsia" w:asciiTheme="minorEastAsia" w:hAnsiTheme="minorEastAsia" w:eastAsiaTheme="minorEastAsia" w:cstheme="minorEastAsia"/>
                <w:color w:val="auto"/>
                <w:kern w:val="0"/>
                <w:sz w:val="21"/>
                <w:szCs w:val="21"/>
                <w:lang w:bidi="ar"/>
              </w:rPr>
              <w:t>部分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val="en-US" w:eastAsia="zh-CN" w:bidi="ar"/>
              </w:rPr>
              <w:t>20</w:t>
            </w:r>
            <w:r>
              <w:rPr>
                <w:rFonts w:hint="eastAsia" w:asciiTheme="minorEastAsia" w:hAnsiTheme="minorEastAsia" w:eastAsiaTheme="minorEastAsia" w:cstheme="minorEastAsia"/>
                <w:color w:val="auto"/>
                <w:kern w:val="0"/>
                <w:sz w:val="21"/>
                <w:szCs w:val="21"/>
                <w:lang w:bidi="ar"/>
              </w:rPr>
              <w:t>分</w:t>
            </w: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财务状况</w:t>
            </w:r>
          </w:p>
        </w:tc>
        <w:tc>
          <w:tcPr>
            <w:tcW w:w="6615" w:type="dxa"/>
            <w:noWrap w:val="0"/>
            <w:vAlign w:val="center"/>
          </w:tcPr>
          <w:p>
            <w:pPr>
              <w:widowControl/>
              <w:spacing w:line="240"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根据供应商提供的近三年（201</w:t>
            </w:r>
            <w:r>
              <w:rPr>
                <w:rFonts w:hint="eastAsia" w:asciiTheme="minorEastAsia" w:hAnsiTheme="minorEastAsia" w:eastAsiaTheme="minorEastAsia" w:cstheme="minorEastAsia"/>
                <w:color w:val="auto"/>
                <w:kern w:val="0"/>
                <w:sz w:val="21"/>
                <w:szCs w:val="21"/>
                <w:lang w:val="en-US" w:eastAsia="zh-CN" w:bidi="ar"/>
              </w:rPr>
              <w:t>7</w:t>
            </w:r>
            <w:r>
              <w:rPr>
                <w:rFonts w:hint="eastAsia" w:asciiTheme="minorEastAsia" w:hAnsiTheme="minorEastAsia" w:eastAsiaTheme="minorEastAsia" w:cstheme="minorEastAsia"/>
                <w:color w:val="auto"/>
                <w:kern w:val="0"/>
                <w:sz w:val="21"/>
                <w:szCs w:val="21"/>
                <w:lang w:bidi="ar"/>
              </w:rPr>
              <w:t>、201</w:t>
            </w:r>
            <w:r>
              <w:rPr>
                <w:rFonts w:hint="eastAsia" w:asciiTheme="minorEastAsia" w:hAnsiTheme="minorEastAsia" w:eastAsiaTheme="minorEastAsia" w:cstheme="minorEastAsia"/>
                <w:color w:val="auto"/>
                <w:kern w:val="0"/>
                <w:sz w:val="21"/>
                <w:szCs w:val="21"/>
                <w:lang w:val="en-US" w:eastAsia="zh-CN" w:bidi="ar"/>
              </w:rPr>
              <w:t>8</w:t>
            </w:r>
            <w:r>
              <w:rPr>
                <w:rFonts w:hint="eastAsia" w:asciiTheme="minorEastAsia" w:hAnsiTheme="minorEastAsia" w:eastAsiaTheme="minorEastAsia" w:cstheme="minorEastAsia"/>
                <w:color w:val="auto"/>
                <w:kern w:val="0"/>
                <w:sz w:val="21"/>
                <w:szCs w:val="21"/>
                <w:lang w:bidi="ar"/>
              </w:rPr>
              <w:t>、201</w:t>
            </w:r>
            <w:r>
              <w:rPr>
                <w:rFonts w:hint="eastAsia" w:asciiTheme="minorEastAsia" w:hAnsiTheme="minorEastAsia" w:eastAsiaTheme="minorEastAsia" w:cstheme="minorEastAsia"/>
                <w:color w:val="auto"/>
                <w:kern w:val="0"/>
                <w:sz w:val="21"/>
                <w:szCs w:val="21"/>
                <w:lang w:val="en-US" w:eastAsia="zh-CN" w:bidi="ar"/>
              </w:rPr>
              <w:t>9</w:t>
            </w:r>
            <w:r>
              <w:rPr>
                <w:rFonts w:hint="eastAsia" w:asciiTheme="minorEastAsia" w:hAnsiTheme="minorEastAsia" w:eastAsiaTheme="minorEastAsia" w:cstheme="minorEastAsia"/>
                <w:color w:val="auto"/>
                <w:kern w:val="0"/>
                <w:sz w:val="21"/>
                <w:szCs w:val="21"/>
                <w:lang w:bidi="ar"/>
              </w:rPr>
              <w:t>）财务报告，对其经营状况、财务状况相互比较：</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连续盈利，偿债能力、盈利能力和抗风险能力强的，得 3分；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盈利情况一般，偿债能力和抗风险能力较弱的，得2分；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 w:val="21"/>
                <w:szCs w:val="21"/>
                <w:lang w:bidi="ar"/>
              </w:rPr>
              <w:t>无盈利，偿债能力和抗风险能力差的，不得分。</w:t>
            </w:r>
          </w:p>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（成立不足三年的按公司成立时的间起算）</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p>
        </w:tc>
        <w:tc>
          <w:tcPr>
            <w:tcW w:w="1263" w:type="dxa"/>
            <w:noWrap w:val="0"/>
            <w:vAlign w:val="center"/>
          </w:tcPr>
          <w:p>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类似业绩</w:t>
            </w:r>
          </w:p>
        </w:tc>
        <w:tc>
          <w:tcPr>
            <w:tcW w:w="6615" w:type="dxa"/>
            <w:noWrap w:val="0"/>
            <w:vAlign w:val="center"/>
          </w:tcPr>
          <w:p>
            <w:pPr>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近三年（投标截止时间往前推算36个月）具有</w:t>
            </w:r>
            <w:r>
              <w:rPr>
                <w:rFonts w:hint="eastAsia" w:asciiTheme="minorEastAsia" w:hAnsiTheme="minorEastAsia" w:eastAsiaTheme="minorEastAsia" w:cstheme="minorEastAsia"/>
                <w:color w:val="auto"/>
                <w:sz w:val="21"/>
                <w:szCs w:val="21"/>
                <w:lang w:eastAsia="zh-CN"/>
              </w:rPr>
              <w:t>中标金额为</w:t>
            </w:r>
            <w:r>
              <w:rPr>
                <w:rFonts w:hint="eastAsia" w:asciiTheme="minorEastAsia" w:hAnsiTheme="minorEastAsia" w:eastAsiaTheme="minorEastAsia" w:cstheme="minorEastAsia"/>
                <w:color w:val="auto"/>
                <w:sz w:val="21"/>
                <w:szCs w:val="21"/>
                <w:lang w:val="en-US" w:eastAsia="zh-CN"/>
              </w:rPr>
              <w:t>28万元及以上的</w:t>
            </w:r>
            <w:r>
              <w:rPr>
                <w:rFonts w:hint="eastAsia" w:asciiTheme="minorEastAsia" w:hAnsiTheme="minorEastAsia" w:eastAsiaTheme="minorEastAsia" w:cstheme="minorEastAsia"/>
                <w:color w:val="auto"/>
                <w:sz w:val="21"/>
                <w:szCs w:val="21"/>
              </w:rPr>
              <w:t>类似采购业绩的，每个得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分，最多得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分；（需提供合同真彩扫描件并加盖公章，未提供不得分）</w:t>
            </w:r>
          </w:p>
        </w:tc>
        <w:tc>
          <w:tcPr>
            <w:tcW w:w="544" w:type="dxa"/>
            <w:noWrap w:val="0"/>
            <w:vAlign w:val="center"/>
          </w:tcPr>
          <w:p>
            <w:pPr>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p>
        </w:tc>
        <w:tc>
          <w:tcPr>
            <w:tcW w:w="1263" w:type="dxa"/>
            <w:noWrap w:val="0"/>
            <w:vAlign w:val="center"/>
          </w:tcPr>
          <w:p>
            <w:pPr>
              <w:spacing w:line="240" w:lineRule="auto"/>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zh-CN"/>
              </w:rPr>
              <w:t>用户反馈</w:t>
            </w:r>
          </w:p>
        </w:tc>
        <w:tc>
          <w:tcPr>
            <w:tcW w:w="6615"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rPr>
                <w:rFonts w:hint="eastAsia" w:asciiTheme="minorEastAsia" w:hAnsiTheme="minorEastAsia" w:eastAsiaTheme="minorEastAsia" w:cstheme="minorEastAsia"/>
                <w:color w:val="auto"/>
                <w:kern w:val="2"/>
                <w:sz w:val="21"/>
                <w:szCs w:val="21"/>
                <w:lang w:val="zh-CN" w:eastAsia="zh-CN" w:bidi="ar-SA"/>
              </w:rPr>
            </w:pPr>
            <w:r>
              <w:rPr>
                <w:rFonts w:hint="eastAsia" w:asciiTheme="minorEastAsia" w:hAnsiTheme="minorEastAsia" w:eastAsiaTheme="minorEastAsia" w:cstheme="minorEastAsia"/>
                <w:color w:val="auto"/>
                <w:sz w:val="21"/>
                <w:szCs w:val="21"/>
                <w:lang w:val="zh-CN" w:eastAsia="zh-CN"/>
              </w:rPr>
              <w:t>根据投标人提供的业主出具的满意评价证明（盖用户单位公章），每提供1个得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zh-CN" w:eastAsia="zh-CN"/>
              </w:rPr>
              <w:t>分，最高得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zh-CN" w:eastAsia="zh-CN"/>
              </w:rPr>
              <w:t>分</w:t>
            </w:r>
          </w:p>
        </w:tc>
        <w:tc>
          <w:tcPr>
            <w:tcW w:w="544" w:type="dxa"/>
            <w:noWrap w:val="0"/>
            <w:vAlign w:val="center"/>
          </w:tcPr>
          <w:p>
            <w:pPr>
              <w:keepNext w:val="0"/>
              <w:keepLines w:val="0"/>
              <w:pageBreakBefore w:val="0"/>
              <w:kinsoku/>
              <w:wordWrap/>
              <w:overflowPunct/>
              <w:topLinePunct w:val="0"/>
              <w:autoSpaceDE w:val="0"/>
              <w:autoSpaceDN w:val="0"/>
              <w:bidi w:val="0"/>
              <w:adjustRightInd w:val="0"/>
              <w:snapToGrid/>
              <w:spacing w:line="240" w:lineRule="auto"/>
              <w:ind w:right="71" w:rightChars="34"/>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企业信誉</w:t>
            </w:r>
          </w:p>
        </w:tc>
        <w:tc>
          <w:tcPr>
            <w:tcW w:w="6615" w:type="dxa"/>
            <w:noWrap w:val="0"/>
            <w:vAlign w:val="center"/>
          </w:tcPr>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供应商获得信用管理服务中心信用等级或银行信用等级，ＡＡＡ的得 3 分；ＡＡ的得 2 分；Ａ的得 1 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bidi="ar"/>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认证资质</w:t>
            </w:r>
          </w:p>
        </w:tc>
        <w:tc>
          <w:tcPr>
            <w:tcW w:w="6615" w:type="dxa"/>
            <w:noWrap w:val="0"/>
            <w:vAlign w:val="center"/>
          </w:tcPr>
          <w:p>
            <w:pPr>
              <w:widowControl/>
              <w:spacing w:line="240" w:lineRule="auto"/>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提供OHSAS1800职业健康体系认证证书、ISO9001质量管理体系认证证书、ISO14001环境管理体系认证。每提供1 个证书得1分，不提供的不得分。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rPr>
                <w:rFonts w:hint="eastAsia" w:asciiTheme="minorEastAsia" w:hAnsiTheme="minorEastAsia" w:eastAsiaTheme="minorEastAsia" w:cstheme="minorEastAsia"/>
                <w:color w:val="auto"/>
                <w:sz w:val="21"/>
                <w:szCs w:val="21"/>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磋商响应文件完整性</w:t>
            </w:r>
          </w:p>
        </w:tc>
        <w:tc>
          <w:tcPr>
            <w:tcW w:w="6615" w:type="dxa"/>
            <w:noWrap w:val="0"/>
            <w:vAlign w:val="center"/>
          </w:tcPr>
          <w:p>
            <w:pPr>
              <w:widowControl/>
              <w:spacing w:line="240" w:lineRule="auto"/>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文件制作规范，字迹及图表清晰得1分；</w:t>
            </w:r>
          </w:p>
          <w:p>
            <w:pPr>
              <w:widowControl/>
              <w:spacing w:line="240" w:lineRule="auto"/>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rPr>
              <w:t>目录与有关材料装订及编排顺序对应清晰得1分。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restart"/>
            <w:noWrap w:val="0"/>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技术部分</w:t>
            </w:r>
            <w:r>
              <w:rPr>
                <w:rFonts w:hint="eastAsia" w:asciiTheme="minorEastAsia" w:hAnsiTheme="minorEastAsia" w:eastAsiaTheme="minorEastAsia" w:cstheme="minorEastAsia"/>
                <w:color w:val="auto"/>
                <w:kern w:val="0"/>
                <w:sz w:val="21"/>
                <w:szCs w:val="21"/>
                <w:lang w:bidi="ar"/>
              </w:rPr>
              <w:br w:type="textWrapping"/>
            </w:r>
            <w:r>
              <w:rPr>
                <w:rFonts w:hint="eastAsia" w:asciiTheme="minorEastAsia" w:hAnsiTheme="minorEastAsia" w:eastAsiaTheme="minorEastAsia" w:cstheme="minorEastAsia"/>
                <w:color w:val="auto"/>
                <w:kern w:val="0"/>
                <w:sz w:val="21"/>
                <w:szCs w:val="21"/>
                <w:lang w:bidi="ar"/>
              </w:rPr>
              <w:t>4</w:t>
            </w:r>
            <w:r>
              <w:rPr>
                <w:rFonts w:hint="eastAsia" w:asciiTheme="minorEastAsia" w:hAnsiTheme="minorEastAsia" w:eastAsiaTheme="minorEastAsia" w:cstheme="minorEastAsia"/>
                <w:color w:val="auto"/>
                <w:kern w:val="0"/>
                <w:sz w:val="21"/>
                <w:szCs w:val="21"/>
                <w:lang w:val="en-US" w:eastAsia="zh-CN" w:bidi="ar"/>
              </w:rPr>
              <w:t>5</w:t>
            </w:r>
            <w:r>
              <w:rPr>
                <w:rFonts w:hint="eastAsia" w:asciiTheme="minorEastAsia" w:hAnsiTheme="minorEastAsia" w:eastAsiaTheme="minorEastAsia" w:cstheme="minorEastAsia"/>
                <w:color w:val="auto"/>
                <w:kern w:val="0"/>
                <w:sz w:val="21"/>
                <w:szCs w:val="21"/>
                <w:lang w:bidi="ar"/>
              </w:rPr>
              <w:t>分</w:t>
            </w: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Cs w:val="21"/>
                <w:highlight w:val="none"/>
                <w:lang w:eastAsia="zh-CN"/>
              </w:rPr>
              <w:t>产品检测报告</w:t>
            </w:r>
          </w:p>
        </w:tc>
        <w:tc>
          <w:tcPr>
            <w:tcW w:w="6615" w:type="dxa"/>
            <w:tcBorders>
              <w:bottom w:val="single" w:color="000000" w:sz="4" w:space="0"/>
            </w:tcBorders>
            <w:noWrap w:val="0"/>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根据供应商提供</w:t>
            </w:r>
            <w:r>
              <w:rPr>
                <w:rFonts w:hint="eastAsia" w:asciiTheme="minorEastAsia" w:hAnsiTheme="minorEastAsia" w:eastAsiaTheme="minorEastAsia" w:cstheme="minorEastAsia"/>
                <w:color w:val="auto"/>
                <w:kern w:val="0"/>
                <w:sz w:val="21"/>
                <w:szCs w:val="21"/>
                <w:lang w:val="en-US" w:eastAsia="zh-CN"/>
              </w:rPr>
              <w:t>整套货物的</w:t>
            </w:r>
            <w:r>
              <w:rPr>
                <w:rFonts w:hint="eastAsia" w:asciiTheme="minorEastAsia" w:hAnsiTheme="minorEastAsia" w:eastAsiaTheme="minorEastAsia" w:cstheme="minorEastAsia"/>
                <w:color w:val="auto"/>
                <w:kern w:val="0"/>
                <w:sz w:val="21"/>
                <w:szCs w:val="21"/>
              </w:rPr>
              <w:t>国家相关部门检测报告</w:t>
            </w:r>
            <w:r>
              <w:rPr>
                <w:rFonts w:hint="eastAsia" w:asciiTheme="minorEastAsia" w:hAnsiTheme="minorEastAsia" w:eastAsiaTheme="minorEastAsia" w:cstheme="minorEastAsia"/>
                <w:color w:val="auto"/>
                <w:kern w:val="2"/>
                <w:sz w:val="21"/>
                <w:szCs w:val="21"/>
                <w:highlight w:val="none"/>
                <w:lang w:val="en-US" w:eastAsia="zh-CN" w:bidi="ar-SA"/>
              </w:rPr>
              <w:t>（检测报告至少包括成分含棉量、甲醛量、PH值、色牢度、异味、偶氮6项指标；成分含量、克重及与GB18401标准响应程度，并提供检测报告可查询信息）</w:t>
            </w:r>
            <w:r>
              <w:rPr>
                <w:rFonts w:hint="eastAsia" w:asciiTheme="minorEastAsia" w:hAnsiTheme="minorEastAsia" w:eastAsiaTheme="minorEastAsia" w:cstheme="minorEastAsia"/>
                <w:color w:val="auto"/>
                <w:sz w:val="21"/>
                <w:szCs w:val="21"/>
              </w:rPr>
              <w:t>等进行综合评分：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 xml:space="preserve"> 分；</w:t>
            </w:r>
          </w:p>
          <w:p>
            <w:pPr>
              <w:widowControl/>
              <w:spacing w:line="240" w:lineRule="auto"/>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不可行，0 分。</w:t>
            </w:r>
          </w:p>
        </w:tc>
        <w:tc>
          <w:tcPr>
            <w:tcW w:w="544" w:type="dxa"/>
            <w:tcBorders>
              <w:bottom w:val="single" w:color="000000" w:sz="4" w:space="0"/>
            </w:tcBorders>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bidi="ar"/>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kern w:val="0"/>
                <w:sz w:val="21"/>
                <w:szCs w:val="21"/>
              </w:rPr>
              <w:t>样品样式</w:t>
            </w:r>
          </w:p>
        </w:tc>
        <w:tc>
          <w:tcPr>
            <w:tcW w:w="6615" w:type="dxa"/>
            <w:noWrap w:val="0"/>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根据</w:t>
            </w:r>
            <w:r>
              <w:rPr>
                <w:rFonts w:hint="eastAsia" w:asciiTheme="minorEastAsia" w:hAnsiTheme="minorEastAsia" w:eastAsiaTheme="minorEastAsia" w:cstheme="minorEastAsia"/>
                <w:color w:val="auto"/>
                <w:kern w:val="0"/>
                <w:sz w:val="21"/>
                <w:szCs w:val="21"/>
                <w:lang w:eastAsia="zh-CN"/>
              </w:rPr>
              <w:t>供应商</w:t>
            </w:r>
            <w:r>
              <w:rPr>
                <w:rFonts w:hint="eastAsia" w:asciiTheme="minorEastAsia" w:hAnsiTheme="minorEastAsia" w:eastAsiaTheme="minorEastAsia" w:cstheme="minorEastAsia"/>
                <w:color w:val="auto"/>
                <w:kern w:val="0"/>
                <w:sz w:val="21"/>
                <w:szCs w:val="21"/>
              </w:rPr>
              <w:t>提供的样品的样式</w:t>
            </w:r>
            <w:r>
              <w:rPr>
                <w:rFonts w:hint="eastAsia" w:asciiTheme="minorEastAsia" w:hAnsiTheme="minorEastAsia" w:eastAsiaTheme="minorEastAsia" w:cstheme="minorEastAsia"/>
                <w:color w:val="auto"/>
                <w:sz w:val="21"/>
                <w:szCs w:val="21"/>
              </w:rPr>
              <w:t>进行综合评分：</w:t>
            </w:r>
          </w:p>
          <w:p>
            <w:pPr>
              <w:widowControl/>
              <w:spacing w:line="240" w:lineRule="auto"/>
              <w:jc w:val="left"/>
              <w:textAlignment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样式新颖、符合军训要求且最能体现大学生风貌的得</w:t>
            </w:r>
            <w:r>
              <w:rPr>
                <w:rFonts w:hint="eastAsia" w:asciiTheme="minorEastAsia" w:hAnsiTheme="minorEastAsia" w:eastAsiaTheme="minorEastAsia" w:cstheme="minorEastAsia"/>
                <w:color w:val="auto"/>
                <w:kern w:val="0"/>
                <w:szCs w:val="21"/>
                <w:lang w:val="en-US" w:eastAsia="zh-CN"/>
              </w:rPr>
              <w:t>5</w:t>
            </w:r>
            <w:r>
              <w:rPr>
                <w:rFonts w:hint="eastAsia" w:asciiTheme="minorEastAsia" w:hAnsiTheme="minorEastAsia" w:eastAsiaTheme="minorEastAsia" w:cstheme="minorEastAsia"/>
                <w:color w:val="auto"/>
                <w:kern w:val="0"/>
                <w:szCs w:val="21"/>
              </w:rPr>
              <w:t>分</w:t>
            </w:r>
            <w:r>
              <w:rPr>
                <w:rFonts w:hint="eastAsia" w:asciiTheme="minorEastAsia" w:hAnsiTheme="minorEastAsia" w:eastAsiaTheme="minorEastAsia" w:cstheme="minorEastAsia"/>
                <w:color w:val="auto"/>
                <w:kern w:val="0"/>
                <w:szCs w:val="21"/>
                <w:lang w:eastAsia="zh-CN"/>
              </w:rPr>
              <w:t>；</w:t>
            </w:r>
          </w:p>
          <w:p>
            <w:pPr>
              <w:widowControl/>
              <w:spacing w:line="240" w:lineRule="auto"/>
              <w:jc w:val="left"/>
              <w:textAlignment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样式较为新颖符合军训要求的得</w:t>
            </w:r>
            <w:r>
              <w:rPr>
                <w:rFonts w:hint="eastAsia" w:asciiTheme="minorEastAsia" w:hAnsiTheme="minorEastAsia" w:eastAsiaTheme="minorEastAsia" w:cstheme="minorEastAsia"/>
                <w:color w:val="auto"/>
                <w:kern w:val="0"/>
                <w:szCs w:val="21"/>
                <w:lang w:val="en-US" w:eastAsia="zh-CN"/>
              </w:rPr>
              <w:t>3</w:t>
            </w:r>
            <w:r>
              <w:rPr>
                <w:rFonts w:hint="eastAsia" w:asciiTheme="minorEastAsia" w:hAnsiTheme="minorEastAsia" w:eastAsiaTheme="minorEastAsia" w:cstheme="minorEastAsia"/>
                <w:color w:val="auto"/>
                <w:kern w:val="0"/>
                <w:szCs w:val="21"/>
              </w:rPr>
              <w:t>分</w:t>
            </w:r>
            <w:r>
              <w:rPr>
                <w:rFonts w:hint="eastAsia" w:asciiTheme="minorEastAsia" w:hAnsiTheme="minorEastAsia" w:eastAsiaTheme="minorEastAsia" w:cstheme="minorEastAsia"/>
                <w:color w:val="auto"/>
                <w:kern w:val="0"/>
                <w:szCs w:val="21"/>
                <w:lang w:eastAsia="zh-CN"/>
              </w:rPr>
              <w:t>；</w:t>
            </w:r>
          </w:p>
          <w:p>
            <w:pPr>
              <w:widowControl/>
              <w:spacing w:line="240" w:lineRule="auto"/>
              <w:jc w:val="left"/>
              <w:textAlignment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式样一般基本符合军训要求的得</w:t>
            </w:r>
            <w:r>
              <w:rPr>
                <w:rFonts w:hint="eastAsia" w:asciiTheme="minorEastAsia" w:hAnsiTheme="minorEastAsia" w:eastAsiaTheme="minorEastAsia" w:cstheme="minorEastAsia"/>
                <w:color w:val="auto"/>
                <w:kern w:val="0"/>
                <w:szCs w:val="21"/>
                <w:lang w:val="en-US" w:eastAsia="zh-CN"/>
              </w:rPr>
              <w:t>1</w:t>
            </w:r>
            <w:r>
              <w:rPr>
                <w:rFonts w:hint="eastAsia" w:asciiTheme="minorEastAsia" w:hAnsiTheme="minorEastAsia" w:eastAsiaTheme="minorEastAsia" w:cstheme="minorEastAsia"/>
                <w:color w:val="auto"/>
                <w:kern w:val="0"/>
                <w:szCs w:val="21"/>
              </w:rPr>
              <w:t>分</w:t>
            </w:r>
            <w:r>
              <w:rPr>
                <w:rFonts w:hint="eastAsia" w:asciiTheme="minorEastAsia" w:hAnsiTheme="minorEastAsia" w:eastAsiaTheme="minorEastAsia" w:cstheme="minorEastAsia"/>
                <w:color w:val="auto"/>
                <w:kern w:val="0"/>
                <w:szCs w:val="21"/>
                <w:lang w:eastAsia="zh-CN"/>
              </w:rPr>
              <w:t>；</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lang w:bidi="ar"/>
              </w:rPr>
            </w:pPr>
            <w:r>
              <w:rPr>
                <w:rFonts w:hint="eastAsia" w:asciiTheme="minorEastAsia" w:hAnsiTheme="minorEastAsia" w:eastAsiaTheme="minorEastAsia" w:cstheme="minorEastAsia"/>
                <w:color w:val="auto"/>
                <w:kern w:val="0"/>
                <w:szCs w:val="21"/>
              </w:rPr>
              <w:t>式样差不符合军训要求的不得分。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55" w:hRule="atLeast"/>
        </w:trPr>
        <w:tc>
          <w:tcPr>
            <w:tcW w:w="577" w:type="dxa"/>
            <w:vMerge w:val="continue"/>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bidi="ar"/>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Cs w:val="21"/>
                <w:lang w:eastAsia="zh-CN"/>
              </w:rPr>
              <w:t>样品品质</w:t>
            </w:r>
          </w:p>
        </w:tc>
        <w:tc>
          <w:tcPr>
            <w:tcW w:w="6615" w:type="dxa"/>
            <w:noWrap w:val="0"/>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Cs w:val="21"/>
              </w:rPr>
              <w:t>根据</w:t>
            </w:r>
            <w:r>
              <w:rPr>
                <w:rFonts w:hint="eastAsia" w:asciiTheme="minorEastAsia" w:hAnsiTheme="minorEastAsia" w:eastAsiaTheme="minorEastAsia" w:cstheme="minorEastAsia"/>
                <w:color w:val="auto"/>
                <w:kern w:val="0"/>
                <w:szCs w:val="21"/>
                <w:lang w:eastAsia="zh-CN"/>
              </w:rPr>
              <w:t>供应商</w:t>
            </w:r>
            <w:r>
              <w:rPr>
                <w:rFonts w:hint="eastAsia" w:asciiTheme="minorEastAsia" w:hAnsiTheme="minorEastAsia" w:eastAsiaTheme="minorEastAsia" w:cstheme="minorEastAsia"/>
                <w:color w:val="auto"/>
                <w:kern w:val="0"/>
                <w:szCs w:val="21"/>
              </w:rPr>
              <w:t>提供的样品的面辅料品质、版型、缝制细节进行</w:t>
            </w:r>
            <w:r>
              <w:rPr>
                <w:rFonts w:hint="eastAsia" w:asciiTheme="minorEastAsia" w:hAnsiTheme="minorEastAsia" w:eastAsiaTheme="minorEastAsia" w:cstheme="minorEastAsia"/>
                <w:color w:val="auto"/>
                <w:kern w:val="0"/>
                <w:szCs w:val="21"/>
                <w:lang w:eastAsia="zh-CN"/>
              </w:rPr>
              <w:t>综合评议</w:t>
            </w:r>
            <w:r>
              <w:rPr>
                <w:rFonts w:hint="eastAsia" w:asciiTheme="minorEastAsia" w:hAnsiTheme="minorEastAsia" w:eastAsiaTheme="minorEastAsia" w:cstheme="minorEastAsia"/>
                <w:color w:val="auto"/>
                <w:kern w:val="0"/>
                <w:szCs w:val="21"/>
              </w:rPr>
              <w:t>：</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 xml:space="preserve"> 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不可行，0 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Cs w:val="21"/>
                <w:lang w:val="en-US" w:eastAsia="zh-CN"/>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bidi="ar"/>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生产能力</w:t>
            </w:r>
          </w:p>
        </w:tc>
        <w:tc>
          <w:tcPr>
            <w:tcW w:w="6615" w:type="dxa"/>
            <w:noWrap w:val="0"/>
            <w:vAlign w:val="center"/>
          </w:tcPr>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对生产企业的生产场地、加工设备、生产能力、技术能力、质量管理措施及综合实力、市场知名度等进行综合评分：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 xml:space="preserve"> 分；</w:t>
            </w:r>
          </w:p>
          <w:p>
            <w:pPr>
              <w:widowControl/>
              <w:spacing w:line="240" w:lineRule="auto"/>
              <w:jc w:val="left"/>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不可行，0 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bidi="ar"/>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服务保证措施</w:t>
            </w:r>
          </w:p>
        </w:tc>
        <w:tc>
          <w:tcPr>
            <w:tcW w:w="6615" w:type="dxa"/>
            <w:noWrap w:val="0"/>
            <w:vAlign w:val="center"/>
          </w:tcPr>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根据</w:t>
            </w:r>
            <w:r>
              <w:rPr>
                <w:rFonts w:hint="eastAsia" w:asciiTheme="minorEastAsia" w:hAnsiTheme="minorEastAsia" w:eastAsiaTheme="minorEastAsia" w:cstheme="minorEastAsia"/>
                <w:color w:val="auto"/>
                <w:kern w:val="0"/>
                <w:sz w:val="21"/>
                <w:szCs w:val="21"/>
                <w:lang w:eastAsia="zh-CN"/>
              </w:rPr>
              <w:t>供应商</w:t>
            </w:r>
            <w:r>
              <w:rPr>
                <w:rFonts w:hint="eastAsia" w:asciiTheme="minorEastAsia" w:hAnsiTheme="minorEastAsia" w:eastAsiaTheme="minorEastAsia" w:cstheme="minorEastAsia"/>
                <w:color w:val="auto"/>
                <w:kern w:val="0"/>
                <w:sz w:val="21"/>
                <w:szCs w:val="21"/>
              </w:rPr>
              <w:t>提供的原材料组织</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工作计划、工作时间、组织措施及承诺等进行综合评分：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 xml:space="preserve"> 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不可行，0 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bidi="ar"/>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应急管理</w:t>
            </w:r>
          </w:p>
          <w:p>
            <w:pPr>
              <w:widowControl/>
              <w:spacing w:line="240"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措施</w:t>
            </w:r>
          </w:p>
        </w:tc>
        <w:tc>
          <w:tcPr>
            <w:tcW w:w="6615" w:type="dxa"/>
            <w:noWrap w:val="0"/>
            <w:vAlign w:val="center"/>
          </w:tcPr>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根据供应商提供的</w:t>
            </w:r>
            <w:r>
              <w:rPr>
                <w:rFonts w:hint="eastAsia" w:asciiTheme="minorEastAsia" w:hAnsiTheme="minorEastAsia" w:eastAsiaTheme="minorEastAsia" w:cstheme="minorEastAsia"/>
                <w:color w:val="auto"/>
                <w:kern w:val="0"/>
                <w:sz w:val="21"/>
                <w:szCs w:val="21"/>
              </w:rPr>
              <w:t>在处理紧急事项（下雨、交货期缩短等）时的措施方案、反应时间等各方面做出承诺及应急管理方案等进行综合评分：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 xml:space="preserve"> 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不可行，0 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bidi="ar"/>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验收</w:t>
            </w:r>
            <w:r>
              <w:rPr>
                <w:rFonts w:hint="eastAsia" w:asciiTheme="minorEastAsia" w:hAnsiTheme="minorEastAsia" w:eastAsiaTheme="minorEastAsia" w:cstheme="minorEastAsia"/>
                <w:color w:val="auto"/>
                <w:kern w:val="0"/>
                <w:sz w:val="21"/>
                <w:szCs w:val="21"/>
                <w:lang w:eastAsia="zh-CN"/>
              </w:rPr>
              <w:t>方案</w:t>
            </w:r>
          </w:p>
        </w:tc>
        <w:tc>
          <w:tcPr>
            <w:tcW w:w="6615" w:type="dxa"/>
            <w:noWrap w:val="0"/>
            <w:vAlign w:val="center"/>
          </w:tcPr>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根据供应商提供的</w:t>
            </w:r>
            <w:r>
              <w:rPr>
                <w:rFonts w:hint="eastAsia" w:asciiTheme="minorEastAsia" w:hAnsiTheme="minorEastAsia" w:eastAsiaTheme="minorEastAsia" w:cstheme="minorEastAsia"/>
                <w:color w:val="auto"/>
                <w:kern w:val="0"/>
                <w:sz w:val="21"/>
                <w:szCs w:val="21"/>
              </w:rPr>
              <w:t>验收方案及时间安排的合理性与完整性等进行综合评分：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 xml:space="preserve"> 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不可行，0 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vMerge w:val="continue"/>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bidi="ar"/>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售后</w:t>
            </w:r>
          </w:p>
          <w:p>
            <w:pPr>
              <w:widowControl/>
              <w:spacing w:line="240" w:lineRule="auto"/>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服务措施</w:t>
            </w:r>
          </w:p>
        </w:tc>
        <w:tc>
          <w:tcPr>
            <w:tcW w:w="6615" w:type="dxa"/>
            <w:noWrap w:val="0"/>
            <w:vAlign w:val="center"/>
          </w:tcPr>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根据供应商提供的供货及退换货方案及措施、售后服务措施</w:t>
            </w:r>
            <w:r>
              <w:rPr>
                <w:rFonts w:hint="eastAsia" w:asciiTheme="minorEastAsia" w:hAnsiTheme="minorEastAsia" w:eastAsiaTheme="minorEastAsia" w:cstheme="minorEastAsia"/>
                <w:color w:val="auto"/>
                <w:kern w:val="0"/>
                <w:sz w:val="21"/>
                <w:szCs w:val="21"/>
              </w:rPr>
              <w:t>等进行综合评分：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科学、合理，针对性强，</w:t>
            </w: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合理，可行，</w:t>
            </w: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欠合理，基本可行，</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 xml:space="preserve"> 分；</w:t>
            </w:r>
          </w:p>
          <w:p>
            <w:pPr>
              <w:widowControl/>
              <w:spacing w:line="240" w:lineRule="auto"/>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不可行，0 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577"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lang w:bidi="ar"/>
              </w:rPr>
            </w:pPr>
          </w:p>
        </w:tc>
        <w:tc>
          <w:tcPr>
            <w:tcW w:w="1263"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lang w:eastAsia="zh-CN"/>
              </w:rPr>
              <w:t>增值服务</w:t>
            </w:r>
          </w:p>
        </w:tc>
        <w:tc>
          <w:tcPr>
            <w:tcW w:w="6615" w:type="dxa"/>
            <w:noWrap w:val="0"/>
            <w:vAlign w:val="center"/>
          </w:tcPr>
          <w:p>
            <w:pPr>
              <w:widowControl/>
              <w:spacing w:line="240" w:lineRule="auto"/>
              <w:jc w:val="left"/>
              <w:textAlignment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lang w:val="en-US" w:eastAsia="zh-CN"/>
              </w:rPr>
              <w:t>供应商提供符合本项目的实际需求的增值服务的，1项得1分，最多得3分。</w:t>
            </w:r>
          </w:p>
        </w:tc>
        <w:tc>
          <w:tcPr>
            <w:tcW w:w="544" w:type="dxa"/>
            <w:noWrap w:val="0"/>
            <w:vAlign w:val="center"/>
          </w:tcPr>
          <w:p>
            <w:pPr>
              <w:widowControl/>
              <w:spacing w:line="240" w:lineRule="auto"/>
              <w:jc w:val="center"/>
              <w:textAlignment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lang w:val="en-US" w:eastAsia="zh-CN"/>
              </w:rPr>
              <w:t>3分</w:t>
            </w:r>
          </w:p>
        </w:tc>
      </w:tr>
    </w:tbl>
    <w:p>
      <w:pPr>
        <w:spacing w:line="360" w:lineRule="auto"/>
        <w:outlineLvl w:val="9"/>
        <w:rPr>
          <w:rFonts w:hint="eastAsia" w:asciiTheme="minorEastAsia" w:hAnsiTheme="minorEastAsia" w:eastAsiaTheme="minorEastAsia" w:cstheme="minorEastAsia"/>
          <w:b/>
          <w:color w:val="auto"/>
          <w:szCs w:val="21"/>
          <w:lang w:val="en-US" w:eastAsia="zh-CN"/>
        </w:rPr>
      </w:pPr>
      <w:r>
        <w:rPr>
          <w:rFonts w:hint="eastAsia" w:asciiTheme="minorEastAsia" w:hAnsiTheme="minorEastAsia" w:eastAsiaTheme="minorEastAsia" w:cstheme="minorEastAsia"/>
          <w:b/>
          <w:color w:val="auto"/>
          <w:szCs w:val="21"/>
          <w:lang w:val="en-US" w:eastAsia="zh-CN"/>
        </w:rPr>
        <w:br w:type="textWrapping"/>
      </w:r>
    </w:p>
    <w:p>
      <w:pPr>
        <w:rPr>
          <w:rFonts w:hint="eastAsia" w:asciiTheme="minorEastAsia" w:hAnsiTheme="minorEastAsia" w:eastAsiaTheme="minorEastAsia" w:cstheme="minorEastAsia"/>
          <w:b/>
          <w:color w:val="auto"/>
          <w:szCs w:val="21"/>
          <w:lang w:val="en-US" w:eastAsia="zh-CN"/>
        </w:rPr>
      </w:pPr>
      <w:r>
        <w:rPr>
          <w:rFonts w:hint="eastAsia" w:asciiTheme="minorEastAsia" w:hAnsiTheme="minorEastAsia" w:eastAsiaTheme="minorEastAsia" w:cstheme="minorEastAsia"/>
          <w:b/>
          <w:color w:val="auto"/>
          <w:szCs w:val="21"/>
          <w:lang w:val="en-US" w:eastAsia="zh-CN"/>
        </w:rPr>
        <w:br w:type="page"/>
      </w:r>
    </w:p>
    <w:p>
      <w:pPr>
        <w:spacing w:line="360" w:lineRule="auto"/>
        <w:outlineLvl w:val="1"/>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四、</w:t>
      </w:r>
      <w:r>
        <w:rPr>
          <w:rFonts w:hint="eastAsia" w:asciiTheme="minorEastAsia" w:hAnsiTheme="minorEastAsia" w:eastAsiaTheme="minorEastAsia" w:cstheme="minorEastAsia"/>
          <w:b/>
          <w:color w:val="auto"/>
          <w:szCs w:val="21"/>
        </w:rPr>
        <w:t>评定办法</w:t>
      </w:r>
      <w:bookmarkEnd w:id="110"/>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初步审查标准</w:t>
      </w:r>
    </w:p>
    <w:p>
      <w:pPr>
        <w:numPr>
          <w:ilvl w:val="1"/>
          <w:numId w:val="38"/>
        </w:numPr>
        <w:tabs>
          <w:tab w:val="left" w:pos="540"/>
          <w:tab w:val="clear" w:pos="36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资格性审查标准：见评定办法前附表。</w:t>
      </w:r>
    </w:p>
    <w:p>
      <w:pPr>
        <w:numPr>
          <w:ilvl w:val="1"/>
          <w:numId w:val="38"/>
        </w:numPr>
        <w:tabs>
          <w:tab w:val="left" w:pos="540"/>
          <w:tab w:val="clear" w:pos="36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符合性审查标准：见评定办法前附表。</w:t>
      </w:r>
    </w:p>
    <w:p>
      <w:pPr>
        <w:numPr>
          <w:ilvl w:val="1"/>
          <w:numId w:val="38"/>
        </w:numPr>
        <w:tabs>
          <w:tab w:val="left" w:pos="540"/>
          <w:tab w:val="clear" w:pos="36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确定磋商供应商进行最后报价：见评定方法前附表。</w:t>
      </w:r>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评定方法：见评定办法前附表。</w:t>
      </w:r>
    </w:p>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分值构成</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（1）技术部分：见评标办法前附表；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（2）商务部分：见评标办法前附表；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（3）竞标报价：见评标办法前附表。</w:t>
      </w:r>
    </w:p>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评标基准价计算</w:t>
      </w:r>
    </w:p>
    <w:p>
      <w:pPr>
        <w:spacing w:line="360" w:lineRule="auto"/>
        <w:ind w:firstLine="840" w:firstLineChars="4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评标基准价计算方法：见评标办法前附表。</w:t>
      </w:r>
    </w:p>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评分标准</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（1）技术部分评分标准：见评标办法前附表；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（2）商务部分评分标准：见评标办法前附表；</w:t>
      </w:r>
    </w:p>
    <w:p>
      <w:pPr>
        <w:spacing w:line="360" w:lineRule="auto"/>
        <w:ind w:firstLine="718" w:firstLineChars="342"/>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（3）竞标报价评分标准：见评标办法前附表。</w:t>
      </w:r>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评定结果</w:t>
      </w:r>
    </w:p>
    <w:p>
      <w:pPr>
        <w:tabs>
          <w:tab w:val="left" w:pos="540"/>
        </w:tabs>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napToGrid w:val="0"/>
          <w:color w:val="auto"/>
          <w:kern w:val="0"/>
          <w:szCs w:val="21"/>
          <w:lang w:val="zh-CN"/>
        </w:rPr>
        <w:t>3.1磋商小组严格按照本章要求对最终报价进行评定。</w:t>
      </w:r>
    </w:p>
    <w:p>
      <w:pPr>
        <w:tabs>
          <w:tab w:val="left" w:pos="540"/>
        </w:tabs>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3.2完成评定后，</w:t>
      </w:r>
      <w:r>
        <w:rPr>
          <w:rFonts w:hint="eastAsia" w:asciiTheme="minorEastAsia" w:hAnsiTheme="minorEastAsia" w:eastAsiaTheme="minorEastAsia" w:cstheme="minorEastAsia"/>
          <w:snapToGrid w:val="0"/>
          <w:color w:val="auto"/>
          <w:kern w:val="0"/>
          <w:szCs w:val="21"/>
          <w:lang w:val="zh-CN"/>
        </w:rPr>
        <w:t>磋商小组</w:t>
      </w:r>
      <w:r>
        <w:rPr>
          <w:rFonts w:hint="eastAsia" w:asciiTheme="minorEastAsia" w:hAnsiTheme="minorEastAsia" w:eastAsiaTheme="minorEastAsia" w:cstheme="minorEastAsia"/>
          <w:color w:val="auto"/>
          <w:szCs w:val="21"/>
        </w:rPr>
        <w:t>须在评审结果推荐意见上共同签字。</w:t>
      </w:r>
    </w:p>
    <w:p>
      <w:pPr>
        <w:spacing w:line="36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37"/>
        </w:numPr>
        <w:tabs>
          <w:tab w:val="left" w:pos="540"/>
        </w:tabs>
        <w:spacing w:line="360" w:lineRule="auto"/>
        <w:ind w:left="540" w:hanging="54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其它</w:t>
      </w:r>
    </w:p>
    <w:p>
      <w:pPr>
        <w:spacing w:line="360" w:lineRule="auto"/>
        <w:ind w:firstLine="42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outlineLvl w:val="9"/>
        <w:rPr>
          <w:color w:val="auto"/>
        </w:rPr>
      </w:pPr>
    </w:p>
    <w:p>
      <w:pPr>
        <w:outlineLvl w:val="9"/>
        <w:rPr>
          <w:color w:val="auto"/>
        </w:rPr>
      </w:pPr>
    </w:p>
    <w:p>
      <w:pPr>
        <w:outlineLvl w:val="9"/>
        <w:rPr>
          <w:color w:val="auto"/>
        </w:rPr>
      </w:pPr>
    </w:p>
    <w:p>
      <w:pPr>
        <w:outlineLvl w:val="9"/>
        <w:rPr>
          <w:color w:val="auto"/>
        </w:rPr>
      </w:pPr>
    </w:p>
    <w:p>
      <w:pPr>
        <w:spacing w:line="360" w:lineRule="auto"/>
        <w:outlineLvl w:val="1"/>
        <w:rPr>
          <w:rFonts w:hint="eastAsia" w:asciiTheme="minorEastAsia" w:hAnsiTheme="minorEastAsia" w:eastAsiaTheme="minorEastAsia" w:cstheme="minorEastAsia"/>
          <w:b/>
          <w:color w:val="auto"/>
          <w:szCs w:val="21"/>
          <w:lang w:val="en-US" w:eastAsia="zh-CN"/>
        </w:rPr>
      </w:pPr>
      <w:bookmarkStart w:id="111" w:name="_Toc18437"/>
      <w:r>
        <w:rPr>
          <w:rFonts w:hint="eastAsia" w:asciiTheme="minorEastAsia" w:hAnsiTheme="minorEastAsia" w:eastAsiaTheme="minorEastAsia" w:cstheme="minorEastAsia"/>
          <w:b/>
          <w:color w:val="auto"/>
          <w:szCs w:val="21"/>
          <w:lang w:val="en-US" w:eastAsia="zh-CN"/>
        </w:rPr>
        <w:t>五、磋商及评审步骤</w:t>
      </w:r>
      <w:bookmarkEnd w:id="111"/>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磋商及评审步骤分别依次为磋商小组对供应商及其响应文件的资格和符合性检查、磋商小组同供应商的磋商及供应商的最后报价、详细评审。</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1.验证委托代理人身份、</w:t>
      </w:r>
      <w:r>
        <w:rPr>
          <w:rFonts w:hint="eastAsia" w:asciiTheme="minorEastAsia" w:hAnsiTheme="minorEastAsia" w:eastAsiaTheme="minorEastAsia" w:cstheme="minorEastAsia"/>
          <w:color w:val="auto"/>
          <w:szCs w:val="28"/>
          <w:lang w:val="en-US" w:eastAsia="zh-CN"/>
        </w:rPr>
        <w:t>响应文件</w:t>
      </w:r>
      <w:r>
        <w:rPr>
          <w:rFonts w:hint="eastAsia" w:asciiTheme="minorEastAsia" w:hAnsiTheme="minorEastAsia" w:eastAsiaTheme="minorEastAsia" w:cstheme="minorEastAsia"/>
          <w:color w:val="auto"/>
          <w:szCs w:val="28"/>
        </w:rPr>
        <w:t>密封检查</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主持人按以下程序进行：</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①</w:t>
      </w:r>
      <w:r>
        <w:rPr>
          <w:rFonts w:hint="eastAsia" w:asciiTheme="minorEastAsia" w:hAnsiTheme="minorEastAsia" w:eastAsiaTheme="minorEastAsia" w:cstheme="minorEastAsia"/>
          <w:color w:val="auto"/>
          <w:szCs w:val="28"/>
          <w:lang w:val="en-US" w:eastAsia="zh-CN"/>
        </w:rPr>
        <w:t xml:space="preserve"> </w:t>
      </w:r>
      <w:r>
        <w:rPr>
          <w:rFonts w:hint="eastAsia" w:asciiTheme="minorEastAsia" w:hAnsiTheme="minorEastAsia" w:eastAsiaTheme="minorEastAsia" w:cstheme="minorEastAsia"/>
          <w:color w:val="auto"/>
          <w:szCs w:val="28"/>
        </w:rPr>
        <w:t>宣布会场纪律。</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②</w:t>
      </w:r>
      <w:r>
        <w:rPr>
          <w:rFonts w:hint="eastAsia" w:asciiTheme="minorEastAsia" w:hAnsiTheme="minorEastAsia" w:eastAsiaTheme="minorEastAsia" w:cstheme="minorEastAsia"/>
          <w:color w:val="auto"/>
          <w:szCs w:val="28"/>
          <w:lang w:val="en-US" w:eastAsia="zh-CN"/>
        </w:rPr>
        <w:t xml:space="preserve"> </w:t>
      </w:r>
      <w:r>
        <w:rPr>
          <w:rFonts w:hint="eastAsia" w:asciiTheme="minorEastAsia" w:hAnsiTheme="minorEastAsia" w:eastAsiaTheme="minorEastAsia" w:cstheme="minorEastAsia"/>
          <w:color w:val="auto"/>
          <w:szCs w:val="28"/>
        </w:rPr>
        <w:t>公布在响应文件递交截止时间前递交响应文件的供应商名称，并点名确认供应商的委托代理人是否到场（验证委托代理人身份证原件）。</w:t>
      </w:r>
    </w:p>
    <w:p>
      <w:pPr>
        <w:spacing w:line="360" w:lineRule="auto"/>
        <w:ind w:firstLine="420" w:firstLineChars="200"/>
        <w:rPr>
          <w:rFonts w:hint="eastAsia" w:asciiTheme="minorEastAsia" w:hAnsiTheme="minorEastAsia" w:eastAsiaTheme="minorEastAsia" w:cstheme="minorEastAsia"/>
          <w:b/>
          <w:color w:val="auto"/>
          <w:szCs w:val="28"/>
        </w:rPr>
      </w:pPr>
      <w:r>
        <w:rPr>
          <w:rFonts w:hint="eastAsia" w:asciiTheme="minorEastAsia" w:hAnsiTheme="minorEastAsia" w:eastAsiaTheme="minorEastAsia" w:cstheme="minorEastAsia"/>
          <w:color w:val="auto"/>
          <w:szCs w:val="28"/>
        </w:rPr>
        <w:t>③</w:t>
      </w:r>
      <w:r>
        <w:rPr>
          <w:rFonts w:hint="eastAsia" w:asciiTheme="minorEastAsia" w:hAnsiTheme="minorEastAsia" w:eastAsiaTheme="minorEastAsia" w:cstheme="minorEastAsia"/>
          <w:color w:val="auto"/>
          <w:szCs w:val="28"/>
          <w:lang w:val="en-US" w:eastAsia="zh-CN"/>
        </w:rPr>
        <w:t xml:space="preserve"> </w:t>
      </w:r>
      <w:r>
        <w:rPr>
          <w:rFonts w:hint="eastAsia" w:asciiTheme="minorEastAsia" w:hAnsiTheme="minorEastAsia" w:eastAsiaTheme="minorEastAsia" w:cstheme="minorEastAsia"/>
          <w:color w:val="auto"/>
          <w:szCs w:val="28"/>
        </w:rPr>
        <w:t>检查响应文件密封情况。</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2.资格和符合性审查</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2.1磋商小组审查每份响应文件是否实质上响应了采购文件的要求。磋商小组决定其是否响应只根据响应文件本身的内容，而不依据外部的证据，但响应文件有不真实不正确的内容时除外。</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2.3只有通过了资格和符合性审查的供应商才能进入详细评审阶段。</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3.供应商的澄清</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3.1磋商小组要求供应商澄清、说明或者更正响应文件将以书面形式作出。供应商的澄清、说明或者更正应当由法定代表人或其授权代表签字或者加盖公章。</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4.磋商及最后报价</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4.1磋商小组所有成员应当集中与单一供应商分别进行磋商，并按照</w:t>
      </w:r>
      <w:r>
        <w:rPr>
          <w:rFonts w:hint="eastAsia" w:asciiTheme="minorEastAsia" w:hAnsiTheme="minorEastAsia" w:eastAsiaTheme="minorEastAsia" w:cstheme="minorEastAsia"/>
          <w:color w:val="auto"/>
          <w:szCs w:val="28"/>
          <w:lang w:val="en-US" w:eastAsia="zh-CN"/>
        </w:rPr>
        <w:t>磋商会随机抽签</w:t>
      </w:r>
      <w:r>
        <w:rPr>
          <w:rFonts w:hint="eastAsia" w:asciiTheme="minorEastAsia" w:hAnsiTheme="minorEastAsia" w:eastAsiaTheme="minorEastAsia" w:cstheme="minorEastAsia"/>
          <w:color w:val="auto"/>
          <w:szCs w:val="28"/>
        </w:rPr>
        <w:t>的顺序给予所有参加磋商的供应商平等的磋商机会。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4.2</w:t>
      </w:r>
      <w:r>
        <w:rPr>
          <w:rFonts w:hint="eastAsia" w:asciiTheme="minorEastAsia" w:hAnsiTheme="minorEastAsia" w:eastAsiaTheme="minorEastAsia" w:cstheme="minorEastAsia"/>
          <w:b/>
          <w:color w:val="auto"/>
          <w:szCs w:val="28"/>
        </w:rPr>
        <w:t>在磋商过程中，若磋商小组无法联系上供应商代表或者供应商代表在接到磋商小组通知后1</w:t>
      </w:r>
      <w:r>
        <w:rPr>
          <w:rFonts w:hint="eastAsia" w:asciiTheme="minorEastAsia" w:hAnsiTheme="minorEastAsia" w:eastAsiaTheme="minorEastAsia" w:cstheme="minorEastAsia"/>
          <w:b/>
          <w:color w:val="auto"/>
          <w:szCs w:val="28"/>
          <w:lang w:val="en-US" w:eastAsia="zh-CN"/>
        </w:rPr>
        <w:t>5</w:t>
      </w:r>
      <w:r>
        <w:rPr>
          <w:rFonts w:hint="eastAsia" w:asciiTheme="minorEastAsia" w:hAnsiTheme="minorEastAsia" w:eastAsiaTheme="minorEastAsia" w:cstheme="minorEastAsia"/>
          <w:b/>
          <w:color w:val="auto"/>
          <w:szCs w:val="28"/>
        </w:rPr>
        <w:t>分钟内不能抵达磋商会现场的，视为该供应商自动退出磋商。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4.3</w:t>
      </w:r>
      <w:r>
        <w:rPr>
          <w:rFonts w:hint="eastAsia" w:asciiTheme="minorEastAsia" w:hAnsiTheme="minorEastAsia" w:eastAsiaTheme="minorEastAsia" w:cstheme="minorEastAsia"/>
          <w:b/>
          <w:color w:val="auto"/>
          <w:szCs w:val="28"/>
        </w:rPr>
        <w:t>磋商小组在与供应商磋商之前，应首先对参与磋商的供应商代表的身份进行核验，未按采购文件要求提供身份证原件或经核验的供应商代表身份与证明文件（法定代表人身份证明或法定代表人授权委托书）或身份证不符的，磋商小组有权拒绝该供应商参加磋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4.4在磋商过程中，磋商小组可以根据采购文件和磋商情况实质性变动采购需求中的技术、服务要求以及合同草案条款，但不得变动采购文件中的其他内容。实质性变动的内容，经采购人代表确认后，将作为采购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Theme="minorEastAsia" w:hAnsiTheme="minorEastAsia" w:eastAsiaTheme="minorEastAsia" w:cstheme="minorEastAsia"/>
          <w:bCs/>
          <w:color w:val="auto"/>
          <w:szCs w:val="28"/>
        </w:rPr>
      </w:pPr>
      <w:r>
        <w:rPr>
          <w:rFonts w:hint="eastAsia" w:asciiTheme="minorEastAsia" w:hAnsiTheme="minorEastAsia" w:eastAsiaTheme="minorEastAsia" w:cstheme="minorEastAsia"/>
          <w:color w:val="auto"/>
          <w:szCs w:val="28"/>
        </w:rPr>
        <w:t>4.</w:t>
      </w:r>
      <w:r>
        <w:rPr>
          <w:rFonts w:hint="eastAsia" w:asciiTheme="minorEastAsia" w:hAnsiTheme="minorEastAsia" w:eastAsiaTheme="minorEastAsia" w:cstheme="minorEastAsia"/>
          <w:color w:val="auto"/>
          <w:szCs w:val="28"/>
          <w:lang w:val="en-US" w:eastAsia="zh-CN"/>
        </w:rPr>
        <w:t>5</w:t>
      </w:r>
      <w:r>
        <w:rPr>
          <w:rFonts w:hint="eastAsia" w:asciiTheme="minorEastAsia" w:hAnsiTheme="minorEastAsia" w:eastAsiaTheme="minorEastAsia" w:cstheme="minorEastAsia"/>
          <w:color w:val="auto"/>
          <w:szCs w:val="28"/>
        </w:rPr>
        <w:t>磋商结束后，磋商小组将要求所有实质性响应的供应商在规定时间内提交最后报价，最后报价是供应商响应文件的有效组成部分。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bCs/>
          <w:color w:val="auto"/>
          <w:szCs w:val="28"/>
        </w:rPr>
        <w:t>4.</w:t>
      </w:r>
      <w:r>
        <w:rPr>
          <w:rFonts w:hint="eastAsia" w:asciiTheme="minorEastAsia" w:hAnsiTheme="minorEastAsia" w:eastAsiaTheme="minorEastAsia" w:cstheme="minorEastAsia"/>
          <w:bCs/>
          <w:color w:val="auto"/>
          <w:szCs w:val="28"/>
          <w:lang w:val="en-US" w:eastAsia="zh-CN"/>
        </w:rPr>
        <w:t>6</w:t>
      </w:r>
      <w:r>
        <w:rPr>
          <w:rFonts w:hint="eastAsia" w:asciiTheme="minorEastAsia" w:hAnsiTheme="minorEastAsia" w:eastAsiaTheme="minorEastAsia" w:cstheme="minorEastAsia"/>
          <w:color w:val="auto"/>
          <w:szCs w:val="28"/>
        </w:rPr>
        <w:t>已提交响应文件的供应商，在提交最后报价之前，可以根据磋商情况退出磋商。</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4.</w:t>
      </w:r>
      <w:r>
        <w:rPr>
          <w:rFonts w:hint="eastAsia" w:asciiTheme="minorEastAsia" w:hAnsiTheme="minorEastAsia" w:eastAsiaTheme="minorEastAsia" w:cstheme="minorEastAsia"/>
          <w:color w:val="auto"/>
          <w:szCs w:val="28"/>
          <w:lang w:val="en-US" w:eastAsia="zh-CN"/>
        </w:rPr>
        <w:t>7</w:t>
      </w:r>
      <w:r>
        <w:rPr>
          <w:rFonts w:hint="eastAsia" w:asciiTheme="minorEastAsia" w:hAnsiTheme="minorEastAsia" w:eastAsiaTheme="minorEastAsia" w:cstheme="minorEastAsia"/>
          <w:color w:val="auto"/>
          <w:szCs w:val="28"/>
        </w:rPr>
        <w:t>符合下列情形，在采购过程中符合要求的供应商可以为2家：</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（1）政府购买服务项目（含政府和社会资本合作项目）；</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（2）市场竞争不充分的科研项目，以及需要扶持的科技成果转化项目。</w:t>
      </w:r>
    </w:p>
    <w:p>
      <w:pPr>
        <w:spacing w:line="360" w:lineRule="auto"/>
        <w:ind w:firstLine="420" w:firstLineChars="200"/>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5.详细评审</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5.1经磋商确定最终采购需求和提交最后报价的供应商后，由磋商小组采用综合评分法对提交最后报价的供应商的响应文件和最后报价进行综合评分。具体详见“</w:t>
      </w:r>
      <w:r>
        <w:rPr>
          <w:rFonts w:hint="eastAsia" w:asciiTheme="minorEastAsia" w:hAnsiTheme="minorEastAsia" w:eastAsiaTheme="minorEastAsia" w:cstheme="minorEastAsia"/>
          <w:color w:val="auto"/>
          <w:szCs w:val="28"/>
          <w:lang w:val="en-US" w:eastAsia="zh-CN"/>
        </w:rPr>
        <w:t>评分细则</w:t>
      </w:r>
      <w:r>
        <w:rPr>
          <w:rFonts w:hint="eastAsia" w:asciiTheme="minorEastAsia" w:hAnsiTheme="minorEastAsia" w:eastAsiaTheme="minorEastAsia" w:cstheme="minorEastAsia"/>
          <w:color w:val="auto"/>
          <w:szCs w:val="28"/>
        </w:rP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5.2评审时，磋商小组各成员应当独立对每个有效响应的文件进行评价、打分，然后汇总每个供应商每项评分因素的得分。</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 xml:space="preserve">5.3采购代理机构负责对各磋商小组成员的总分进行复核和汇总。各项统计结果均精确到小数点后两位。 </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rPr>
        <w:t>5.4磋商小组应当根据综合评分情况，按照评审得分由高到低顺序（评审得分相同的，按照最后报价由低到高的顺序确定，评审得分且最后报价相同的，按照技术指标优劣顺序确定）推荐3名成交候选供应商，并编写评审报告。</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lang w:val="en-US" w:eastAsia="zh-CN"/>
        </w:rPr>
        <w:t>5.5</w:t>
      </w:r>
      <w:r>
        <w:rPr>
          <w:rFonts w:hint="eastAsia" w:asciiTheme="minorEastAsia" w:hAnsiTheme="minorEastAsia" w:eastAsiaTheme="minorEastAsia" w:cstheme="minorEastAsia"/>
          <w:color w:val="auto"/>
          <w:szCs w:val="28"/>
        </w:rPr>
        <w:t>在评审期间，供应商不得干扰和阻碍评审工作，供应商不得向磋商小组询问评审情况，任何影响和干扰评审工作的行为都可能导致被取消本次评审的资格，并承担相应的法律责任。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8"/>
          <w:lang w:val="en-US" w:eastAsia="zh-CN"/>
        </w:rPr>
        <w:t>5.6</w:t>
      </w:r>
      <w:r>
        <w:rPr>
          <w:rFonts w:hint="eastAsia" w:asciiTheme="minorEastAsia" w:hAnsiTheme="minorEastAsia" w:eastAsiaTheme="minorEastAsia" w:cstheme="minorEastAsia"/>
          <w:color w:val="auto"/>
          <w:szCs w:val="28"/>
        </w:rPr>
        <w:t>在评审过程中，磋商小组不得与供应商私下交换意见，从采购工作开始，直到授予供应商合同止，凡是属于审查、澄清、评价和比较响应文件的有关资料以及授标意向等，均不得向供应商或其他无关的人员透露。否则，磋商小组应承担法律、法规责任。</w:t>
      </w:r>
      <w:r>
        <w:rPr>
          <w:rFonts w:hint="eastAsia" w:asciiTheme="minorEastAsia" w:hAnsiTheme="minorEastAsia" w:eastAsiaTheme="minorEastAsia" w:cstheme="minorEastAsia"/>
          <w:color w:val="auto"/>
          <w:szCs w:val="28"/>
        </w:rPr>
        <w:br w:type="textWrapping"/>
      </w:r>
      <w:r>
        <w:rPr>
          <w:rFonts w:hint="eastAsia" w:asciiTheme="minorEastAsia" w:hAnsiTheme="minorEastAsia" w:eastAsiaTheme="minorEastAsia" w:cstheme="minorEastAsia"/>
          <w:color w:val="auto"/>
          <w:szCs w:val="28"/>
        </w:rPr>
        <w:br w:type="textWrapping"/>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br w:type="textWrapping"/>
      </w:r>
    </w:p>
    <w:p>
      <w:pPr>
        <w:rPr>
          <w:rFonts w:hint="eastAsia" w:asciiTheme="minorEastAsia" w:hAnsiTheme="minorEastAsia" w:eastAsiaTheme="minorEastAsia" w:cstheme="minorEastAsia"/>
          <w:b w:val="0"/>
          <w:color w:val="auto"/>
          <w:kern w:val="0"/>
          <w:szCs w:val="21"/>
        </w:rPr>
      </w:pPr>
      <w:bookmarkStart w:id="112" w:name="_Toc318643471"/>
      <w:bookmarkStart w:id="113" w:name="_Toc211783328"/>
      <w:bookmarkStart w:id="114" w:name="_Toc7958"/>
      <w:r>
        <w:rPr>
          <w:rFonts w:hint="eastAsia" w:asciiTheme="minorEastAsia" w:hAnsiTheme="minorEastAsia" w:eastAsiaTheme="minorEastAsia" w:cstheme="minorEastAsia"/>
          <w:color w:val="auto"/>
          <w:sz w:val="36"/>
          <w:szCs w:val="36"/>
        </w:rPr>
        <w:br w:type="page"/>
      </w:r>
    </w:p>
    <w:p>
      <w:pPr>
        <w:pStyle w:val="3"/>
        <w:numPr>
          <w:ilvl w:val="0"/>
          <w:numId w:val="4"/>
        </w:numPr>
        <w:spacing w:line="240" w:lineRule="auto"/>
        <w:jc w:val="center"/>
        <w:rPr>
          <w:rFonts w:hint="eastAsia" w:asciiTheme="minorEastAsia" w:hAnsiTheme="minorEastAsia" w:eastAsiaTheme="minorEastAsia" w:cstheme="minorEastAsia"/>
          <w:b w:val="0"/>
          <w:color w:val="auto"/>
          <w:kern w:val="0"/>
          <w:szCs w:val="21"/>
        </w:rPr>
      </w:pPr>
      <w:r>
        <w:rPr>
          <w:rFonts w:hint="eastAsia" w:asciiTheme="minorEastAsia" w:hAnsiTheme="minorEastAsia" w:eastAsiaTheme="minorEastAsia" w:cstheme="minorEastAsia"/>
          <w:color w:val="auto"/>
          <w:sz w:val="36"/>
          <w:szCs w:val="36"/>
        </w:rPr>
        <w:t>合同书</w:t>
      </w:r>
      <w:bookmarkEnd w:id="112"/>
      <w:bookmarkEnd w:id="113"/>
      <w:r>
        <w:rPr>
          <w:rFonts w:hint="eastAsia" w:asciiTheme="minorEastAsia" w:hAnsiTheme="minorEastAsia" w:eastAsiaTheme="minorEastAsia" w:cstheme="minorEastAsia"/>
          <w:color w:val="auto"/>
          <w:sz w:val="36"/>
          <w:szCs w:val="36"/>
          <w:lang w:val="en-US" w:eastAsia="zh-CN"/>
        </w:rPr>
        <w:t>格式</w:t>
      </w:r>
      <w:bookmarkEnd w:id="114"/>
    </w:p>
    <w:p>
      <w:pPr>
        <w:spacing w:line="240" w:lineRule="auto"/>
        <w:ind w:firstLine="420"/>
        <w:jc w:val="center"/>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bCs/>
          <w:color w:val="auto"/>
          <w:szCs w:val="21"/>
        </w:rPr>
        <w:t>（此合同书仅供签订正式合同时参考用）</w:t>
      </w:r>
    </w:p>
    <w:p>
      <w:pPr>
        <w:autoSpaceDE w:val="0"/>
        <w:autoSpaceDN w:val="0"/>
        <w:adjustRightInd w:val="0"/>
        <w:spacing w:line="360" w:lineRule="auto"/>
        <w:jc w:val="center"/>
        <w:rPr>
          <w:rFonts w:hint="eastAsia" w:asciiTheme="minorEastAsia" w:hAnsiTheme="minorEastAsia" w:eastAsiaTheme="minorEastAsia" w:cstheme="minorEastAsia"/>
          <w:b/>
          <w:color w:val="auto"/>
          <w:kern w:val="0"/>
          <w:sz w:val="22"/>
          <w:szCs w:val="22"/>
        </w:rPr>
      </w:pPr>
      <w:r>
        <w:rPr>
          <w:rFonts w:hint="eastAsia" w:asciiTheme="minorEastAsia" w:hAnsiTheme="minorEastAsia" w:eastAsiaTheme="minorEastAsia" w:cstheme="minorEastAsia"/>
          <w:b/>
          <w:color w:val="auto"/>
          <w:kern w:val="0"/>
          <w:sz w:val="22"/>
          <w:szCs w:val="22"/>
        </w:rPr>
        <w:t>合　　同　　</w:t>
      </w:r>
      <w:r>
        <w:rPr>
          <w:rFonts w:hint="eastAsia" w:asciiTheme="minorEastAsia" w:hAnsiTheme="minorEastAsia" w:eastAsiaTheme="minorEastAsia" w:cstheme="minorEastAsia"/>
          <w:b/>
          <w:color w:val="auto"/>
          <w:kern w:val="0"/>
          <w:sz w:val="22"/>
          <w:szCs w:val="22"/>
          <w:lang w:val="en-US" w:eastAsia="zh-CN"/>
        </w:rPr>
        <w:t>协    议   书</w:t>
      </w:r>
    </w:p>
    <w:p>
      <w:pPr>
        <w:autoSpaceDE w:val="0"/>
        <w:autoSpaceDN w:val="0"/>
        <w:adjustRightInd w:val="0"/>
        <w:spacing w:line="24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项目名称：</w:t>
      </w:r>
    </w:p>
    <w:p>
      <w:pPr>
        <w:autoSpaceDE w:val="0"/>
        <w:autoSpaceDN w:val="0"/>
        <w:adjustRightInd w:val="0"/>
        <w:spacing w:line="24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合同编号：</w:t>
      </w:r>
    </w:p>
    <w:p>
      <w:pPr>
        <w:autoSpaceDE w:val="0"/>
        <w:autoSpaceDN w:val="0"/>
        <w:adjustRightInd w:val="0"/>
        <w:spacing w:line="24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签订日期：</w:t>
      </w:r>
    </w:p>
    <w:p>
      <w:pPr>
        <w:autoSpaceDE w:val="0"/>
        <w:autoSpaceDN w:val="0"/>
        <w:adjustRightInd w:val="0"/>
        <w:spacing w:line="24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签订合同地点：</w:t>
      </w:r>
    </w:p>
    <w:p>
      <w:pPr>
        <w:pStyle w:val="21"/>
        <w:spacing w:line="240" w:lineRule="auto"/>
        <w:ind w:firstLine="416"/>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 w:val="21"/>
          <w:szCs w:val="21"/>
        </w:rPr>
        <w:t>本合同由</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（以下简称“需方”）与</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（以下简称“供方”）签订。供方以总金额</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万元人民币（用大写数字书写）向需方提供如下 （工程/货物/服务）：</w:t>
      </w:r>
    </w:p>
    <w:p>
      <w:pPr>
        <w:autoSpaceDE w:val="0"/>
        <w:autoSpaceDN w:val="0"/>
        <w:adjustRightInd w:val="0"/>
        <w:spacing w:line="360" w:lineRule="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经双方协商，同意按下列条文执行：</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1.本合同供、需双方必须遵守国家颁布的“合同法”，并各自履行应负的全部责任和义务。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2.需方保证按合同条款规定的时间和方式付给供方到期应付的货款，并承担应负的责任和义务。</w:t>
      </w:r>
    </w:p>
    <w:p>
      <w:pPr>
        <w:autoSpaceDE w:val="0"/>
        <w:autoSpaceDN w:val="0"/>
        <w:adjustRightInd w:val="0"/>
        <w:spacing w:line="360" w:lineRule="auto"/>
        <w:ind w:left="210" w:hanging="210" w:hangingChars="1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3.供方保证全部按合同条款规定的内容和交货期向需方提供合格的</w:t>
      </w:r>
      <w:r>
        <w:rPr>
          <w:rFonts w:hint="eastAsia" w:asciiTheme="minorEastAsia" w:hAnsiTheme="minorEastAsia" w:eastAsiaTheme="minorEastAsia" w:cstheme="minorEastAsia"/>
          <w:color w:val="auto"/>
          <w:kern w:val="0"/>
          <w:szCs w:val="21"/>
          <w:u w:val="single"/>
        </w:rPr>
        <w:t>（工程/货物/服务）</w:t>
      </w:r>
      <w:r>
        <w:rPr>
          <w:rFonts w:hint="eastAsia" w:asciiTheme="minorEastAsia" w:hAnsiTheme="minorEastAsia" w:eastAsiaTheme="minorEastAsia" w:cstheme="minorEastAsia"/>
          <w:color w:val="auto"/>
          <w:kern w:val="0"/>
          <w:szCs w:val="21"/>
        </w:rPr>
        <w:t>，并承担应负的责任和义务。</w:t>
      </w:r>
    </w:p>
    <w:p>
      <w:pPr>
        <w:autoSpaceDE w:val="0"/>
        <w:autoSpaceDN w:val="0"/>
        <w:adjustRightInd w:val="0"/>
        <w:spacing w:before="156" w:line="360" w:lineRule="auto"/>
        <w:jc w:val="left"/>
        <w:rPr>
          <w:rFonts w:hint="eastAsia" w:asciiTheme="minorEastAsia" w:hAnsiTheme="minorEastAsia" w:eastAsiaTheme="minorEastAsia" w:cstheme="minorEastAsia"/>
          <w:b/>
          <w:bCs w:val="0"/>
          <w:color w:val="auto"/>
          <w:kern w:val="0"/>
          <w:szCs w:val="21"/>
        </w:rPr>
      </w:pPr>
      <w:r>
        <w:rPr>
          <w:rFonts w:hint="eastAsia" w:asciiTheme="minorEastAsia" w:hAnsiTheme="minorEastAsia" w:eastAsiaTheme="minorEastAsia" w:cstheme="minorEastAsia"/>
          <w:b/>
          <w:bCs w:val="0"/>
          <w:color w:val="auto"/>
          <w:kern w:val="0"/>
          <w:szCs w:val="21"/>
        </w:rPr>
        <w:t>4.</w:t>
      </w:r>
      <w:r>
        <w:rPr>
          <w:rFonts w:hint="eastAsia" w:asciiTheme="minorEastAsia" w:hAnsiTheme="minorEastAsia" w:eastAsiaTheme="minorEastAsia" w:cstheme="minorEastAsia"/>
          <w:b/>
          <w:bCs w:val="0"/>
          <w:color w:val="auto"/>
          <w:kern w:val="0"/>
          <w:szCs w:val="21"/>
        </w:rPr>
        <w:tab/>
      </w:r>
      <w:r>
        <w:rPr>
          <w:rFonts w:hint="eastAsia" w:asciiTheme="minorEastAsia" w:hAnsiTheme="minorEastAsia" w:eastAsiaTheme="minorEastAsia" w:cstheme="minorEastAsia"/>
          <w:b/>
          <w:bCs w:val="0"/>
          <w:color w:val="auto"/>
          <w:kern w:val="0"/>
          <w:szCs w:val="21"/>
        </w:rPr>
        <w:t>合同文件</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下列文件为本合同不可分割的部分。</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4.1</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本竞争性磋商采购文件；</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供方成交的竞争性磋商响应文件；</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合同</w:t>
      </w:r>
      <w:r>
        <w:rPr>
          <w:rFonts w:hint="eastAsia" w:asciiTheme="minorEastAsia" w:hAnsiTheme="minorEastAsia" w:eastAsiaTheme="minorEastAsia" w:cstheme="minorEastAsia"/>
          <w:color w:val="auto"/>
          <w:kern w:val="0"/>
          <w:szCs w:val="21"/>
          <w:lang w:val="en-US" w:eastAsia="zh-CN"/>
        </w:rPr>
        <w:t>协议</w:t>
      </w:r>
      <w:r>
        <w:rPr>
          <w:rFonts w:hint="eastAsia" w:asciiTheme="minorEastAsia" w:hAnsiTheme="minorEastAsia" w:eastAsiaTheme="minorEastAsia" w:cstheme="minorEastAsia"/>
          <w:color w:val="auto"/>
          <w:kern w:val="0"/>
          <w:szCs w:val="21"/>
        </w:rPr>
        <w:t>书；</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合同条款；</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u w:val="single"/>
        </w:rPr>
        <w:t xml:space="preserve">  （政府采购代理机构）  </w:t>
      </w:r>
      <w:r>
        <w:rPr>
          <w:rFonts w:hint="eastAsia" w:asciiTheme="minorEastAsia" w:hAnsiTheme="minorEastAsia" w:eastAsiaTheme="minorEastAsia" w:cstheme="minorEastAsia"/>
          <w:color w:val="auto"/>
          <w:kern w:val="0"/>
          <w:szCs w:val="21"/>
        </w:rPr>
        <w:t>发出的成交通知书；</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附件：</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4.6.1 采购方在采购期间发布的所有补充通知；</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4.6.2 供方在磋商期内补充的所有书面文件；</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4.6.3 供方在磋商时随同竞争性磋商响应文件一起递送的资料及附图；</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4.6.4 在商洽本合同时，双方澄清、确认并共同签字的补充文件、技术协议。</w:t>
      </w:r>
    </w:p>
    <w:p>
      <w:pPr>
        <w:autoSpaceDE w:val="0"/>
        <w:autoSpaceDN w:val="0"/>
        <w:adjustRightInd w:val="0"/>
        <w:spacing w:before="156" w:line="360" w:lineRule="auto"/>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5.</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合同范围和条件</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本合同的范围和条件应与上述规定的合同文件内容相一致。</w:t>
      </w:r>
    </w:p>
    <w:p>
      <w:pPr>
        <w:autoSpaceDE w:val="0"/>
        <w:autoSpaceDN w:val="0"/>
        <w:adjustRightInd w:val="0"/>
        <w:spacing w:before="156" w:line="360" w:lineRule="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6.</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货物及数量</w:t>
      </w:r>
    </w:p>
    <w:p>
      <w:pPr>
        <w:pStyle w:val="21"/>
        <w:spacing w:line="360" w:lineRule="auto"/>
        <w:ind w:left="0" w:leftChars="0"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本合同所提供的</w:t>
      </w:r>
      <w:r>
        <w:rPr>
          <w:rFonts w:hint="eastAsia" w:asciiTheme="minorEastAsia" w:hAnsiTheme="minorEastAsia" w:eastAsiaTheme="minorEastAsia" w:cstheme="minorEastAsia"/>
          <w:color w:val="auto"/>
          <w:kern w:val="0"/>
          <w:sz w:val="21"/>
          <w:szCs w:val="21"/>
          <w:u w:val="single"/>
        </w:rPr>
        <w:t xml:space="preserve">  （工程/货物/服务）  </w:t>
      </w:r>
      <w:r>
        <w:rPr>
          <w:rFonts w:hint="eastAsia" w:asciiTheme="minorEastAsia" w:hAnsiTheme="minorEastAsia" w:eastAsiaTheme="minorEastAsia" w:cstheme="minorEastAsia"/>
          <w:color w:val="auto"/>
          <w:kern w:val="0"/>
          <w:sz w:val="21"/>
          <w:szCs w:val="21"/>
        </w:rPr>
        <w:t>及数量详见竞争性磋商采购文件的要求及供方竞争性磋商响应文件中的承诺。</w:t>
      </w:r>
    </w:p>
    <w:p>
      <w:pPr>
        <w:autoSpaceDE w:val="0"/>
        <w:autoSpaceDN w:val="0"/>
        <w:adjustRightInd w:val="0"/>
        <w:spacing w:before="156" w:line="360" w:lineRule="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7.</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付款条件</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本合同的付款条件在竞争性磋商采购文件中有明确规定。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8.</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合同金额</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合同总金额见合同书，分项价格在供方的竞争性磋商响应文件中有明确规定。</w:t>
      </w:r>
    </w:p>
    <w:p>
      <w:pPr>
        <w:autoSpaceDE w:val="0"/>
        <w:autoSpaceDN w:val="0"/>
        <w:adjustRightInd w:val="0"/>
        <w:spacing w:before="156" w:line="360" w:lineRule="auto"/>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9.</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交货时间和交货地点</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本合同中</w:t>
      </w:r>
      <w:r>
        <w:rPr>
          <w:rFonts w:hint="eastAsia" w:asciiTheme="minorEastAsia" w:hAnsiTheme="minorEastAsia" w:eastAsiaTheme="minorEastAsia" w:cstheme="minorEastAsia"/>
          <w:color w:val="auto"/>
          <w:kern w:val="0"/>
          <w:szCs w:val="21"/>
          <w:u w:val="single"/>
        </w:rPr>
        <w:t xml:space="preserve"> （工程/货物/服务） </w:t>
      </w:r>
      <w:r>
        <w:rPr>
          <w:rFonts w:hint="eastAsia" w:asciiTheme="minorEastAsia" w:hAnsiTheme="minorEastAsia" w:eastAsiaTheme="minorEastAsia" w:cstheme="minorEastAsia"/>
          <w:color w:val="auto"/>
          <w:kern w:val="0"/>
          <w:szCs w:val="21"/>
        </w:rPr>
        <w:t>的</w:t>
      </w:r>
      <w:r>
        <w:rPr>
          <w:rFonts w:hint="eastAsia" w:asciiTheme="minorEastAsia" w:hAnsiTheme="minorEastAsia" w:eastAsiaTheme="minorEastAsia" w:cstheme="minorEastAsia"/>
          <w:color w:val="auto"/>
          <w:kern w:val="0"/>
          <w:szCs w:val="21"/>
          <w:u w:val="single"/>
        </w:rPr>
        <w:t xml:space="preserve"> (交货时间/服务完成时间） </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u w:val="single"/>
        </w:rPr>
        <w:t xml:space="preserve"> (交货地点/服务地点） </w:t>
      </w:r>
      <w:r>
        <w:rPr>
          <w:rFonts w:hint="eastAsia" w:asciiTheme="minorEastAsia" w:hAnsiTheme="minorEastAsia" w:eastAsiaTheme="minorEastAsia" w:cstheme="minorEastAsia"/>
          <w:color w:val="auto"/>
          <w:kern w:val="0"/>
          <w:szCs w:val="21"/>
        </w:rPr>
        <w:t>在竞争性磋商采购文件中有明确规定。</w:t>
      </w:r>
    </w:p>
    <w:p>
      <w:pPr>
        <w:autoSpaceDE w:val="0"/>
        <w:autoSpaceDN w:val="0"/>
        <w:adjustRightInd w:val="0"/>
        <w:spacing w:before="156" w:line="360" w:lineRule="auto"/>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10.</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合同生效</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本合同经供、需双方授权代表签字和加盖公章（或合同专用章）后生效。如采购申请公证的，合同需经公证机构公证后生效。</w:t>
      </w:r>
    </w:p>
    <w:p>
      <w:pPr>
        <w:autoSpaceDE w:val="0"/>
        <w:autoSpaceDN w:val="0"/>
        <w:adjustRightInd w:val="0"/>
        <w:spacing w:before="156" w:line="360" w:lineRule="auto"/>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11.</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合同的份数</w:t>
      </w:r>
    </w:p>
    <w:p>
      <w:pPr>
        <w:autoSpaceDE w:val="0"/>
        <w:autoSpaceDN w:val="0"/>
        <w:adjustRightInd w:val="0"/>
        <w:spacing w:line="360" w:lineRule="auto"/>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本合同正本一式</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份，需方执</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份，供方执</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份；副本一式</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份，需方执</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份，供方执</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份，主管部门执</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w:t>
      </w:r>
    </w:p>
    <w:p>
      <w:pPr>
        <w:autoSpaceDE w:val="0"/>
        <w:autoSpaceDN w:val="0"/>
        <w:adjustRightInd w:val="0"/>
        <w:spacing w:before="156" w:line="360" w:lineRule="auto"/>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12.</w:t>
      </w:r>
      <w:r>
        <w:rPr>
          <w:rFonts w:hint="eastAsia" w:asciiTheme="minorEastAsia" w:hAnsiTheme="minorEastAsia" w:eastAsiaTheme="minorEastAsia" w:cstheme="minorEastAsia"/>
          <w:b/>
          <w:color w:val="auto"/>
          <w:kern w:val="0"/>
          <w:szCs w:val="21"/>
        </w:rPr>
        <w:tab/>
      </w:r>
      <w:r>
        <w:rPr>
          <w:rFonts w:hint="eastAsia" w:asciiTheme="minorEastAsia" w:hAnsiTheme="minorEastAsia" w:eastAsiaTheme="minorEastAsia" w:cstheme="minorEastAsia"/>
          <w:b/>
          <w:color w:val="auto"/>
          <w:kern w:val="0"/>
          <w:szCs w:val="21"/>
        </w:rPr>
        <w:t>合同的失效</w:t>
      </w:r>
    </w:p>
    <w:p>
      <w:pPr>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本合同在合同价款结清后失效。</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需　　方</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供　　方</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单位名称（盖章）：</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单位名称（盖章）：</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单位地址：</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单位地址：</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法人代表授权人(签字)：</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法人代表授权人(签字)：</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联 系 人：</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联 系 人：</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　　话：</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电　　话：</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传　　真：</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传　　真：</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邮政编码：</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邮政编码：</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开户银行：</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开户银行：</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帐　　号：</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帐　　号：</w:t>
      </w:r>
    </w:p>
    <w:p>
      <w:pPr>
        <w:tabs>
          <w:tab w:val="left" w:pos="4615"/>
        </w:tabs>
        <w:autoSpaceDE w:val="0"/>
        <w:autoSpaceDN w:val="0"/>
        <w:adjustRightInd w:val="0"/>
        <w:spacing w:line="360" w:lineRule="auto"/>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税　　号：</w:t>
      </w:r>
      <w:r>
        <w:rPr>
          <w:rFonts w:hint="eastAsia" w:asciiTheme="minorEastAsia" w:hAnsiTheme="minorEastAsia" w:eastAsiaTheme="minorEastAsia" w:cstheme="minorEastAsia"/>
          <w:color w:val="auto"/>
          <w:kern w:val="0"/>
          <w:szCs w:val="21"/>
        </w:rPr>
        <w:tab/>
      </w:r>
      <w:r>
        <w:rPr>
          <w:rFonts w:hint="eastAsia" w:asciiTheme="minorEastAsia" w:hAnsiTheme="minorEastAsia" w:eastAsiaTheme="minorEastAsia" w:cstheme="minorEastAsia"/>
          <w:color w:val="auto"/>
          <w:kern w:val="0"/>
          <w:szCs w:val="21"/>
        </w:rPr>
        <w:t>税　　号：</w:t>
      </w:r>
    </w:p>
    <w:p>
      <w:pPr>
        <w:spacing w:line="360" w:lineRule="auto"/>
        <w:rPr>
          <w:rFonts w:hint="eastAsia"/>
          <w:color w:val="auto"/>
        </w:rPr>
      </w:pPr>
      <w:r>
        <w:rPr>
          <w:rFonts w:hint="eastAsia" w:asciiTheme="minorEastAsia" w:hAnsiTheme="minorEastAsia" w:eastAsiaTheme="minorEastAsia" w:cstheme="minorEastAsia"/>
          <w:color w:val="auto"/>
          <w:szCs w:val="21"/>
        </w:rPr>
        <w:t>合同签订地址：</w:t>
      </w:r>
    </w:p>
    <w:p>
      <w:pPr>
        <w:pStyle w:val="3"/>
        <w:numPr>
          <w:ilvl w:val="0"/>
          <w:numId w:val="4"/>
        </w:numPr>
        <w:jc w:val="center"/>
        <w:rPr>
          <w:rFonts w:hint="eastAsia" w:asciiTheme="minorEastAsia" w:hAnsiTheme="minorEastAsia" w:eastAsiaTheme="minorEastAsia" w:cstheme="minorEastAsia"/>
          <w:color w:val="auto"/>
          <w:sz w:val="36"/>
          <w:szCs w:val="36"/>
        </w:rPr>
      </w:pPr>
      <w:bookmarkStart w:id="115" w:name="_Toc32354"/>
      <w:r>
        <w:rPr>
          <w:rFonts w:hint="eastAsia" w:asciiTheme="minorEastAsia" w:hAnsiTheme="minorEastAsia" w:eastAsiaTheme="minorEastAsia" w:cstheme="minorEastAsia"/>
          <w:color w:val="auto"/>
          <w:sz w:val="36"/>
          <w:szCs w:val="36"/>
        </w:rPr>
        <w:t>竞争性磋商响应文件格式</w:t>
      </w:r>
      <w:bookmarkEnd w:id="115"/>
    </w:p>
    <w:p>
      <w:pPr>
        <w:autoSpaceDE w:val="0"/>
        <w:autoSpaceDN w:val="0"/>
        <w:adjustRightInd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封面：</w:t>
      </w:r>
    </w:p>
    <w:p>
      <w:pPr>
        <w:autoSpaceDE w:val="0"/>
        <w:autoSpaceDN w:val="0"/>
        <w:adjustRightInd w:val="0"/>
        <w:rPr>
          <w:rFonts w:hint="eastAsia" w:asciiTheme="minorEastAsia" w:hAnsiTheme="minorEastAsia" w:eastAsiaTheme="minorEastAsia" w:cstheme="minorEastAsia"/>
          <w:color w:val="auto"/>
        </w:rPr>
      </w:pPr>
    </w:p>
    <w:p>
      <w:pPr>
        <w:autoSpaceDE w:val="0"/>
        <w:autoSpaceDN w:val="0"/>
        <w:adjustRightInd w:val="0"/>
        <w:rPr>
          <w:rFonts w:hint="eastAsia" w:asciiTheme="minorEastAsia" w:hAnsiTheme="minorEastAsia" w:eastAsiaTheme="minorEastAsia" w:cstheme="minorEastAsia"/>
          <w:color w:val="auto"/>
        </w:rPr>
      </w:pPr>
    </w:p>
    <w:p>
      <w:pPr>
        <w:autoSpaceDE w:val="0"/>
        <w:autoSpaceDN w:val="0"/>
        <w:adjustRightInd w:val="0"/>
        <w:jc w:val="center"/>
        <w:rPr>
          <w:rFonts w:hint="eastAsia" w:asciiTheme="minorEastAsia" w:hAnsiTheme="minorEastAsia" w:eastAsiaTheme="minorEastAsia" w:cstheme="minorEastAsia"/>
          <w:b/>
          <w:color w:val="auto"/>
          <w:sz w:val="84"/>
          <w:szCs w:val="84"/>
        </w:rPr>
      </w:pPr>
      <w:r>
        <w:rPr>
          <w:rFonts w:hint="eastAsia" w:asciiTheme="minorEastAsia" w:hAnsiTheme="minorEastAsia" w:eastAsiaTheme="minorEastAsia" w:cstheme="minorEastAsia"/>
          <w:b/>
          <w:color w:val="auto"/>
          <w:sz w:val="84"/>
          <w:szCs w:val="84"/>
        </w:rPr>
        <w:t>响 应 文 件</w:t>
      </w: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（正本/副本）</w:t>
      </w: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ind w:firstLine="1190" w:firstLineChars="395"/>
        <w:rPr>
          <w:rFonts w:hint="eastAsia" w:asciiTheme="minorEastAsia" w:hAnsiTheme="minorEastAsia" w:eastAsiaTheme="minorEastAsia" w:cstheme="minorEastAsia"/>
          <w:b/>
          <w:bCs/>
          <w:color w:val="auto"/>
          <w:sz w:val="30"/>
          <w:szCs w:val="30"/>
          <w:u w:val="single"/>
        </w:rPr>
      </w:pPr>
      <w:r>
        <w:rPr>
          <w:rFonts w:hint="eastAsia" w:asciiTheme="minorEastAsia" w:hAnsiTheme="minorEastAsia" w:eastAsiaTheme="minorEastAsia" w:cstheme="minorEastAsia"/>
          <w:b/>
          <w:bCs/>
          <w:color w:val="auto"/>
          <w:sz w:val="30"/>
          <w:szCs w:val="30"/>
          <w:lang w:val="en-US" w:eastAsia="zh-CN"/>
        </w:rPr>
        <w:t>项目编号</w:t>
      </w:r>
      <w:r>
        <w:rPr>
          <w:rFonts w:hint="eastAsia" w:asciiTheme="minorEastAsia" w:hAnsiTheme="minorEastAsia" w:eastAsiaTheme="minorEastAsia" w:cstheme="minorEastAsia"/>
          <w:b/>
          <w:bCs/>
          <w:color w:val="auto"/>
          <w:sz w:val="30"/>
          <w:szCs w:val="30"/>
        </w:rPr>
        <w:t>：</w:t>
      </w:r>
      <w:r>
        <w:rPr>
          <w:rFonts w:hint="eastAsia" w:asciiTheme="minorEastAsia" w:hAnsiTheme="minorEastAsia" w:eastAsiaTheme="minorEastAsia" w:cstheme="minorEastAsia"/>
          <w:b/>
          <w:bCs/>
          <w:color w:val="auto"/>
          <w:sz w:val="30"/>
          <w:szCs w:val="30"/>
          <w:u w:val="single"/>
        </w:rPr>
        <w:t xml:space="preserve">                            </w:t>
      </w:r>
    </w:p>
    <w:p>
      <w:pPr>
        <w:tabs>
          <w:tab w:val="left" w:pos="7230"/>
        </w:tabs>
        <w:ind w:firstLine="1190" w:firstLineChars="395"/>
        <w:rPr>
          <w:rFonts w:hint="eastAsia" w:asciiTheme="minorEastAsia" w:hAnsiTheme="minorEastAsia" w:eastAsiaTheme="minorEastAsia" w:cstheme="minorEastAsia"/>
          <w:b/>
          <w:bCs/>
          <w:color w:val="auto"/>
          <w:sz w:val="30"/>
          <w:szCs w:val="30"/>
          <w:u w:val="single"/>
        </w:rPr>
      </w:pPr>
      <w:r>
        <w:rPr>
          <w:rFonts w:hint="eastAsia" w:asciiTheme="minorEastAsia" w:hAnsiTheme="minorEastAsia" w:eastAsiaTheme="minorEastAsia" w:cstheme="minorEastAsia"/>
          <w:b/>
          <w:bCs/>
          <w:color w:val="auto"/>
          <w:sz w:val="30"/>
          <w:szCs w:val="30"/>
        </w:rPr>
        <w:t>项目名称：</w:t>
      </w:r>
      <w:r>
        <w:rPr>
          <w:rFonts w:hint="eastAsia" w:asciiTheme="minorEastAsia" w:hAnsiTheme="minorEastAsia" w:eastAsiaTheme="minorEastAsia" w:cstheme="minorEastAsia"/>
          <w:b/>
          <w:bCs/>
          <w:color w:val="auto"/>
          <w:sz w:val="30"/>
          <w:szCs w:val="30"/>
          <w:u w:val="single"/>
        </w:rPr>
        <w:t xml:space="preserve">                            </w:t>
      </w:r>
    </w:p>
    <w:p>
      <w:pPr>
        <w:autoSpaceDE w:val="0"/>
        <w:autoSpaceDN w:val="0"/>
        <w:adjustRightInd w:val="0"/>
        <w:ind w:firstLine="1190" w:firstLineChars="395"/>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u w:val="none"/>
        </w:rPr>
        <w:t xml:space="preserve"> </w:t>
      </w:r>
      <w:r>
        <w:rPr>
          <w:rFonts w:hint="eastAsia" w:asciiTheme="minorEastAsia" w:hAnsiTheme="minorEastAsia" w:eastAsiaTheme="minorEastAsia" w:cstheme="minorEastAsia"/>
          <w:b/>
          <w:bCs/>
          <w:color w:val="auto"/>
          <w:sz w:val="30"/>
          <w:szCs w:val="30"/>
          <w:u w:val="single"/>
        </w:rPr>
        <w:t xml:space="preserve">                         </w:t>
      </w: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rPr>
          <w:rFonts w:hint="eastAsia" w:asciiTheme="minorEastAsia" w:hAnsiTheme="minorEastAsia" w:eastAsiaTheme="minorEastAsia" w:cstheme="minorEastAsia"/>
          <w:color w:val="auto"/>
          <w:szCs w:val="21"/>
        </w:rPr>
      </w:pPr>
    </w:p>
    <w:p>
      <w:pPr>
        <w:autoSpaceDE w:val="0"/>
        <w:autoSpaceDN w:val="0"/>
        <w:adjustRightInd w:val="0"/>
        <w:spacing w:line="360" w:lineRule="auto"/>
        <w:ind w:firstLine="1260" w:firstLineChars="450"/>
        <w:rPr>
          <w:rFonts w:hint="eastAsia" w:asciiTheme="minorEastAsia" w:hAnsiTheme="minorEastAsia" w:eastAsiaTheme="minorEastAsia" w:cstheme="minorEastAsia"/>
          <w:b/>
          <w:bCs/>
          <w:color w:val="auto"/>
          <w:sz w:val="32"/>
          <w:u w:val="single"/>
        </w:rPr>
      </w:pPr>
      <w:r>
        <w:rPr>
          <w:rFonts w:hint="eastAsia" w:asciiTheme="minorEastAsia" w:hAnsiTheme="minorEastAsia" w:eastAsiaTheme="minorEastAsia" w:cstheme="minorEastAsia"/>
          <w:color w:val="auto"/>
          <w:sz w:val="28"/>
          <w:szCs w:val="28"/>
        </w:rPr>
        <w:t>磋商供应商名称（盖章）：</w:t>
      </w:r>
      <w:r>
        <w:rPr>
          <w:rFonts w:hint="eastAsia" w:asciiTheme="minorEastAsia" w:hAnsiTheme="minorEastAsia" w:eastAsiaTheme="minorEastAsia" w:cstheme="minorEastAsia"/>
          <w:b/>
          <w:bCs/>
          <w:color w:val="auto"/>
          <w:sz w:val="32"/>
          <w:u w:val="single"/>
        </w:rPr>
        <w:t xml:space="preserve">                       </w:t>
      </w:r>
      <w:bookmarkStart w:id="116" w:name="_Toc5751"/>
      <w:bookmarkStart w:id="117" w:name="_Toc23858"/>
    </w:p>
    <w:p>
      <w:pPr>
        <w:autoSpaceDE w:val="0"/>
        <w:autoSpaceDN w:val="0"/>
        <w:adjustRightInd w:val="0"/>
        <w:spacing w:line="360" w:lineRule="auto"/>
        <w:ind w:firstLine="1260" w:firstLineChars="45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日          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bookmarkEnd w:id="116"/>
    <w:bookmarkEnd w:id="117"/>
    <w:p>
      <w:pPr>
        <w:autoSpaceDE w:val="0"/>
        <w:autoSpaceDN w:val="0"/>
        <w:adjustRightInd w:val="0"/>
        <w:spacing w:line="360" w:lineRule="auto"/>
        <w:jc w:val="center"/>
        <w:rPr>
          <w:rFonts w:hint="eastAsia" w:asciiTheme="minorEastAsia" w:hAnsiTheme="minorEastAsia" w:eastAsiaTheme="minorEastAsia" w:cstheme="minorEastAsia"/>
          <w:b/>
          <w:bCs/>
          <w:color w:val="auto"/>
          <w:sz w:val="24"/>
        </w:rPr>
      </w:pPr>
      <w:bookmarkStart w:id="118" w:name="_Toc360174584"/>
      <w:bookmarkStart w:id="119" w:name="_Toc264644272"/>
      <w:bookmarkStart w:id="120" w:name="_Toc533331084"/>
      <w:bookmarkStart w:id="121" w:name="_Toc533330957"/>
      <w:bookmarkStart w:id="122" w:name="_Toc11320441"/>
      <w:bookmarkStart w:id="123" w:name="_Toc211783342"/>
      <w:r>
        <w:rPr>
          <w:rFonts w:hint="eastAsia" w:asciiTheme="minorEastAsia" w:hAnsiTheme="minorEastAsia" w:eastAsiaTheme="minorEastAsia" w:cstheme="minorEastAsia"/>
          <w:b/>
          <w:bCs/>
          <w:color w:val="auto"/>
          <w:sz w:val="24"/>
        </w:rPr>
        <w:br w:type="page"/>
      </w:r>
      <w:r>
        <w:rPr>
          <w:rFonts w:hint="eastAsia" w:asciiTheme="minorEastAsia" w:hAnsiTheme="minorEastAsia" w:eastAsiaTheme="minorEastAsia" w:cstheme="minorEastAsia"/>
          <w:b/>
          <w:bCs/>
          <w:color w:val="auto"/>
          <w:sz w:val="24"/>
        </w:rPr>
        <w:t>响应文件目录</w:t>
      </w:r>
      <w:bookmarkEnd w:id="118"/>
      <w:bookmarkEnd w:id="119"/>
    </w:p>
    <w:p>
      <w:pPr>
        <w:autoSpaceDE w:val="0"/>
        <w:autoSpaceDN w:val="0"/>
        <w:adjustRightInd w:val="0"/>
        <w:rPr>
          <w:rFonts w:hint="eastAsia" w:asciiTheme="minorEastAsia" w:hAnsiTheme="minorEastAsia" w:eastAsiaTheme="minorEastAsia" w:cstheme="minorEastAsia"/>
          <w:b/>
          <w:bCs/>
          <w:color w:val="auto"/>
          <w:szCs w:val="21"/>
        </w:rPr>
      </w:pPr>
    </w:p>
    <w:p>
      <w:pPr>
        <w:autoSpaceDE w:val="0"/>
        <w:autoSpaceDN w:val="0"/>
        <w:adjustRightInd w:val="0"/>
        <w:spacing w:line="360" w:lineRule="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注：</w:t>
      </w: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文件目录及内容每页须顺序编写页码。</w:t>
      </w:r>
    </w:p>
    <w:p>
      <w:pPr>
        <w:autoSpaceDE w:val="0"/>
        <w:autoSpaceDN w:val="0"/>
        <w:adjustRightInd w:val="0"/>
        <w:spacing w:line="360" w:lineRule="auto"/>
        <w:jc w:val="center"/>
        <w:outlineLvl w:val="1"/>
        <w:rPr>
          <w:rFonts w:hint="eastAsia" w:ascii="宋体" w:hAnsi="宋体" w:eastAsia="宋体" w:cs="宋体"/>
          <w:b/>
          <w:color w:val="auto"/>
          <w:sz w:val="21"/>
          <w:szCs w:val="21"/>
        </w:rPr>
      </w:pPr>
      <w:bookmarkStart w:id="124" w:name="_Toc21743"/>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评分标准索引表</w:t>
      </w:r>
      <w:bookmarkEnd w:id="124"/>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1285"/>
        <w:gridCol w:w="5358"/>
        <w:gridCol w:w="825"/>
        <w:gridCol w:w="11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7" w:hRule="atLeast"/>
        </w:trPr>
        <w:tc>
          <w:tcPr>
            <w:tcW w:w="687" w:type="dxa"/>
            <w:tcBorders>
              <w:top w:val="single" w:color="auto" w:sz="12" w:space="0"/>
            </w:tcBorders>
            <w:noWrap w:val="0"/>
            <w:vAlign w:val="center"/>
          </w:tcPr>
          <w:p>
            <w:pPr>
              <w:spacing w:line="360" w:lineRule="auto"/>
              <w:jc w:val="center"/>
              <w:rPr>
                <w:rFonts w:hint="eastAsia" w:ascii="宋体" w:hAnsi="宋体" w:eastAsia="宋体" w:cs="宋体"/>
                <w:b/>
                <w:bCs/>
                <w:color w:val="auto"/>
                <w:spacing w:val="-6"/>
                <w:sz w:val="21"/>
                <w:szCs w:val="21"/>
                <w:lang w:val="en-US" w:eastAsia="zh-CN"/>
              </w:rPr>
            </w:pPr>
            <w:r>
              <w:rPr>
                <w:rFonts w:hint="eastAsia" w:ascii="宋体" w:hAnsi="宋体" w:eastAsia="宋体" w:cs="宋体"/>
                <w:b/>
                <w:bCs/>
                <w:color w:val="auto"/>
                <w:sz w:val="21"/>
                <w:szCs w:val="21"/>
                <w:lang w:val="en-US" w:eastAsia="zh-CN"/>
              </w:rPr>
              <w:t>类别</w:t>
            </w:r>
          </w:p>
        </w:tc>
        <w:tc>
          <w:tcPr>
            <w:tcW w:w="1285" w:type="dxa"/>
            <w:tcBorders>
              <w:top w:val="single" w:color="auto" w:sz="12" w:space="0"/>
            </w:tcBorders>
            <w:noWrap w:val="0"/>
            <w:vAlign w:val="center"/>
          </w:tcPr>
          <w:p>
            <w:pPr>
              <w:spacing w:line="360" w:lineRule="auto"/>
              <w:jc w:val="center"/>
              <w:rPr>
                <w:rFonts w:hint="eastAsia" w:ascii="宋体" w:hAnsi="宋体" w:eastAsia="宋体" w:cs="宋体"/>
                <w:b/>
                <w:bCs/>
                <w:color w:val="auto"/>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因素</w:t>
            </w:r>
          </w:p>
        </w:tc>
        <w:tc>
          <w:tcPr>
            <w:tcW w:w="5358" w:type="dxa"/>
            <w:tcBorders>
              <w:top w:val="single" w:color="auto" w:sz="12" w:space="0"/>
            </w:tcBorders>
            <w:noWrap w:val="0"/>
            <w:vAlign w:val="center"/>
          </w:tcPr>
          <w:p>
            <w:pPr>
              <w:spacing w:line="360" w:lineRule="auto"/>
              <w:jc w:val="center"/>
              <w:rPr>
                <w:rFonts w:hint="eastAsia" w:ascii="宋体" w:hAnsi="宋体" w:eastAsia="宋体" w:cs="宋体"/>
                <w:b/>
                <w:bCs/>
                <w:color w:val="auto"/>
                <w:spacing w:val="-6"/>
                <w:sz w:val="21"/>
                <w:szCs w:val="21"/>
              </w:rPr>
            </w:pPr>
            <w:r>
              <w:rPr>
                <w:rFonts w:hint="eastAsia" w:ascii="宋体" w:hAnsi="宋体" w:eastAsia="宋体" w:cs="宋体"/>
                <w:b/>
                <w:bCs/>
                <w:color w:val="auto"/>
                <w:sz w:val="21"/>
                <w:szCs w:val="21"/>
                <w:lang w:val="en-US" w:eastAsia="zh-CN"/>
              </w:rPr>
              <w:t>评审</w:t>
            </w:r>
            <w:r>
              <w:rPr>
                <w:rFonts w:hint="eastAsia" w:ascii="宋体" w:hAnsi="宋体" w:eastAsia="宋体" w:cs="宋体"/>
                <w:b/>
                <w:bCs/>
                <w:color w:val="auto"/>
                <w:sz w:val="21"/>
                <w:szCs w:val="21"/>
              </w:rPr>
              <w:t>标准</w:t>
            </w:r>
          </w:p>
        </w:tc>
        <w:tc>
          <w:tcPr>
            <w:tcW w:w="825"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c>
          <w:tcPr>
            <w:tcW w:w="1133" w:type="dxa"/>
            <w:tcBorders>
              <w:top w:val="single" w:color="auto" w:sz="12" w:space="0"/>
            </w:tcBorders>
            <w:noWrap w:val="0"/>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18" w:hRule="atLeast"/>
        </w:trPr>
        <w:tc>
          <w:tcPr>
            <w:tcW w:w="687" w:type="dxa"/>
            <w:noWrap w:val="0"/>
            <w:vAlign w:val="center"/>
          </w:tcPr>
          <w:p>
            <w:pPr>
              <w:widowControl/>
              <w:spacing w:line="360" w:lineRule="auto"/>
              <w:jc w:val="center"/>
              <w:textAlignment w:val="center"/>
              <w:rPr>
                <w:rFonts w:hint="eastAsia" w:ascii="宋体" w:hAnsi="宋体" w:eastAsia="宋体" w:cs="宋体"/>
                <w:color w:val="auto"/>
                <w:spacing w:val="-6"/>
                <w:sz w:val="21"/>
                <w:szCs w:val="21"/>
              </w:rPr>
            </w:pPr>
          </w:p>
        </w:tc>
        <w:tc>
          <w:tcPr>
            <w:tcW w:w="1285" w:type="dxa"/>
            <w:noWrap w:val="0"/>
            <w:vAlign w:val="center"/>
          </w:tcPr>
          <w:p>
            <w:pPr>
              <w:widowControl/>
              <w:spacing w:line="360" w:lineRule="auto"/>
              <w:jc w:val="center"/>
              <w:textAlignment w:val="center"/>
              <w:rPr>
                <w:rFonts w:hint="eastAsia" w:ascii="宋体" w:hAnsi="宋体" w:eastAsia="宋体" w:cs="宋体"/>
                <w:color w:val="auto"/>
                <w:spacing w:val="-6"/>
                <w:sz w:val="21"/>
                <w:szCs w:val="21"/>
              </w:rPr>
            </w:pPr>
          </w:p>
        </w:tc>
        <w:tc>
          <w:tcPr>
            <w:tcW w:w="5358" w:type="dxa"/>
            <w:noWrap w:val="0"/>
            <w:vAlign w:val="center"/>
          </w:tcPr>
          <w:p>
            <w:pPr>
              <w:widowControl/>
              <w:spacing w:line="360" w:lineRule="auto"/>
              <w:jc w:val="left"/>
              <w:textAlignment w:val="center"/>
              <w:rPr>
                <w:rFonts w:hint="eastAsia" w:ascii="宋体" w:hAnsi="宋体" w:eastAsia="宋体" w:cs="宋体"/>
                <w:color w:val="auto"/>
                <w:sz w:val="21"/>
                <w:szCs w:val="21"/>
              </w:rPr>
            </w:pPr>
          </w:p>
        </w:tc>
        <w:tc>
          <w:tcPr>
            <w:tcW w:w="825" w:type="dxa"/>
            <w:noWrap w:val="0"/>
            <w:vAlign w:val="center"/>
          </w:tcPr>
          <w:p>
            <w:pPr>
              <w:widowControl/>
              <w:spacing w:line="360" w:lineRule="auto"/>
              <w:jc w:val="center"/>
              <w:textAlignment w:val="center"/>
              <w:rPr>
                <w:rFonts w:hint="eastAsia" w:ascii="宋体" w:hAnsi="宋体" w:eastAsia="宋体" w:cs="宋体"/>
                <w:color w:val="auto"/>
                <w:sz w:val="21"/>
                <w:szCs w:val="21"/>
              </w:rPr>
            </w:pPr>
          </w:p>
        </w:tc>
        <w:tc>
          <w:tcPr>
            <w:tcW w:w="1133" w:type="dxa"/>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color w:val="auto"/>
                <w:spacing w:val="-6"/>
                <w:sz w:val="21"/>
                <w:szCs w:val="21"/>
              </w:rPr>
            </w:pPr>
          </w:p>
        </w:tc>
        <w:tc>
          <w:tcPr>
            <w:tcW w:w="1285" w:type="dxa"/>
            <w:noWrap w:val="0"/>
            <w:vAlign w:val="center"/>
          </w:tcPr>
          <w:p>
            <w:pPr>
              <w:spacing w:line="360" w:lineRule="auto"/>
              <w:rPr>
                <w:rFonts w:hint="eastAsia" w:ascii="宋体" w:hAnsi="宋体" w:eastAsia="宋体" w:cs="宋体"/>
                <w:color w:val="auto"/>
                <w:spacing w:val="-6"/>
                <w:kern w:val="0"/>
                <w:sz w:val="21"/>
                <w:szCs w:val="21"/>
              </w:rPr>
            </w:pPr>
          </w:p>
        </w:tc>
        <w:tc>
          <w:tcPr>
            <w:tcW w:w="5358" w:type="dxa"/>
            <w:noWrap w:val="0"/>
            <w:vAlign w:val="center"/>
          </w:tcPr>
          <w:p>
            <w:pPr>
              <w:spacing w:line="360" w:lineRule="auto"/>
              <w:rPr>
                <w:rFonts w:hint="eastAsia" w:ascii="宋体" w:hAnsi="宋体" w:eastAsia="宋体" w:cs="宋体"/>
                <w:color w:val="auto"/>
                <w:spacing w:val="-6"/>
                <w:sz w:val="21"/>
                <w:szCs w:val="21"/>
              </w:rPr>
            </w:pPr>
          </w:p>
        </w:tc>
        <w:tc>
          <w:tcPr>
            <w:tcW w:w="825" w:type="dxa"/>
            <w:noWrap w:val="0"/>
            <w:vAlign w:val="center"/>
          </w:tcPr>
          <w:p>
            <w:pPr>
              <w:spacing w:line="360" w:lineRule="auto"/>
              <w:rPr>
                <w:rFonts w:hint="eastAsia" w:ascii="宋体" w:hAnsi="宋体" w:eastAsia="宋体" w:cs="宋体"/>
                <w:color w:val="auto"/>
                <w:spacing w:val="-6"/>
                <w:sz w:val="21"/>
                <w:szCs w:val="21"/>
              </w:rPr>
            </w:pPr>
          </w:p>
        </w:tc>
        <w:tc>
          <w:tcPr>
            <w:tcW w:w="1133" w:type="dxa"/>
            <w:noWrap w:val="0"/>
            <w:vAlign w:val="center"/>
          </w:tcPr>
          <w:p>
            <w:pPr>
              <w:spacing w:line="360" w:lineRule="auto"/>
              <w:rPr>
                <w:rFonts w:hint="eastAsia" w:ascii="宋体" w:hAnsi="宋体" w:eastAsia="宋体" w:cs="宋体"/>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color w:val="auto"/>
                <w:sz w:val="21"/>
                <w:szCs w:val="21"/>
              </w:rPr>
            </w:pPr>
          </w:p>
        </w:tc>
        <w:tc>
          <w:tcPr>
            <w:tcW w:w="1285" w:type="dxa"/>
            <w:noWrap w:val="0"/>
            <w:vAlign w:val="center"/>
          </w:tcPr>
          <w:p>
            <w:pPr>
              <w:spacing w:line="360" w:lineRule="auto"/>
              <w:rPr>
                <w:rFonts w:hint="eastAsia" w:ascii="宋体" w:hAnsi="宋体" w:eastAsia="宋体" w:cs="宋体"/>
                <w:color w:val="auto"/>
                <w:spacing w:val="-6"/>
                <w:kern w:val="0"/>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color w:val="auto"/>
                <w:spacing w:val="-6"/>
                <w:kern w:val="0"/>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color w:val="auto"/>
                <w:spacing w:val="-6"/>
                <w:kern w:val="0"/>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color w:val="auto"/>
                <w:sz w:val="21"/>
                <w:szCs w:val="21"/>
              </w:rPr>
            </w:pPr>
          </w:p>
        </w:tc>
        <w:tc>
          <w:tcPr>
            <w:tcW w:w="1285" w:type="dxa"/>
            <w:noWrap w:val="0"/>
            <w:vAlign w:val="center"/>
          </w:tcPr>
          <w:p>
            <w:pPr>
              <w:spacing w:line="360" w:lineRule="auto"/>
              <w:rPr>
                <w:rFonts w:hint="eastAsia" w:ascii="宋体" w:hAnsi="宋体" w:eastAsia="宋体" w:cs="宋体"/>
                <w:color w:val="auto"/>
                <w:spacing w:val="-6"/>
                <w:sz w:val="21"/>
                <w:szCs w:val="21"/>
              </w:rPr>
            </w:pPr>
          </w:p>
        </w:tc>
        <w:tc>
          <w:tcPr>
            <w:tcW w:w="5358" w:type="dxa"/>
            <w:noWrap w:val="0"/>
            <w:vAlign w:val="center"/>
          </w:tcPr>
          <w:p>
            <w:pPr>
              <w:autoSpaceDE w:val="0"/>
              <w:autoSpaceDN w:val="0"/>
              <w:adjustRightInd w:val="0"/>
              <w:spacing w:line="360" w:lineRule="auto"/>
              <w:ind w:right="71" w:rightChars="34"/>
              <w:rPr>
                <w:rFonts w:hint="eastAsia" w:ascii="宋体" w:hAnsi="宋体" w:eastAsia="宋体" w:cs="宋体"/>
                <w:color w:val="auto"/>
                <w:spacing w:val="-6"/>
                <w:sz w:val="21"/>
                <w:szCs w:val="21"/>
              </w:rPr>
            </w:pPr>
          </w:p>
        </w:tc>
        <w:tc>
          <w:tcPr>
            <w:tcW w:w="825" w:type="dxa"/>
            <w:noWrap w:val="0"/>
            <w:vAlign w:val="center"/>
          </w:tcPr>
          <w:p>
            <w:pPr>
              <w:autoSpaceDE w:val="0"/>
              <w:autoSpaceDN w:val="0"/>
              <w:adjustRightInd w:val="0"/>
              <w:spacing w:line="360" w:lineRule="auto"/>
              <w:ind w:right="71" w:rightChars="34"/>
              <w:rPr>
                <w:rFonts w:hint="eastAsia" w:ascii="宋体" w:hAnsi="宋体" w:eastAsia="宋体" w:cs="宋体"/>
                <w:color w:val="auto"/>
                <w:spacing w:val="-6"/>
                <w:sz w:val="21"/>
                <w:szCs w:val="21"/>
              </w:rPr>
            </w:pPr>
          </w:p>
        </w:tc>
        <w:tc>
          <w:tcPr>
            <w:tcW w:w="1133" w:type="dxa"/>
            <w:noWrap w:val="0"/>
            <w:vAlign w:val="center"/>
          </w:tcPr>
          <w:p>
            <w:pPr>
              <w:autoSpaceDE w:val="0"/>
              <w:autoSpaceDN w:val="0"/>
              <w:adjustRightInd w:val="0"/>
              <w:spacing w:line="360" w:lineRule="auto"/>
              <w:ind w:right="71" w:rightChars="34"/>
              <w:rPr>
                <w:rFonts w:hint="eastAsia" w:ascii="宋体" w:hAnsi="宋体" w:eastAsia="宋体" w:cs="宋体"/>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color w:val="auto"/>
                <w:sz w:val="21"/>
                <w:szCs w:val="21"/>
              </w:rPr>
            </w:pPr>
          </w:p>
        </w:tc>
        <w:tc>
          <w:tcPr>
            <w:tcW w:w="1285" w:type="dxa"/>
            <w:tcBorders>
              <w:bottom w:val="single" w:color="auto" w:sz="4" w:space="0"/>
            </w:tcBorders>
            <w:noWrap w:val="0"/>
            <w:vAlign w:val="center"/>
          </w:tcPr>
          <w:p>
            <w:pPr>
              <w:spacing w:line="360" w:lineRule="auto"/>
              <w:rPr>
                <w:rFonts w:hint="eastAsia" w:ascii="宋体" w:hAnsi="宋体" w:eastAsia="宋体" w:cs="宋体"/>
                <w:color w:val="auto"/>
                <w:spacing w:val="-6"/>
                <w:kern w:val="0"/>
                <w:sz w:val="21"/>
                <w:szCs w:val="21"/>
              </w:rPr>
            </w:pPr>
          </w:p>
        </w:tc>
        <w:tc>
          <w:tcPr>
            <w:tcW w:w="5358"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color w:val="auto"/>
                <w:spacing w:val="-6"/>
                <w:kern w:val="0"/>
                <w:sz w:val="21"/>
                <w:szCs w:val="21"/>
              </w:rPr>
            </w:pPr>
          </w:p>
        </w:tc>
        <w:tc>
          <w:tcPr>
            <w:tcW w:w="825"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color w:val="auto"/>
                <w:spacing w:val="-6"/>
                <w:kern w:val="0"/>
                <w:sz w:val="21"/>
                <w:szCs w:val="21"/>
              </w:rPr>
            </w:pPr>
          </w:p>
        </w:tc>
        <w:tc>
          <w:tcPr>
            <w:tcW w:w="1133" w:type="dxa"/>
            <w:tcBorders>
              <w:bottom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color w:val="auto"/>
                <w:sz w:val="21"/>
                <w:szCs w:val="21"/>
              </w:rPr>
            </w:pPr>
          </w:p>
        </w:tc>
        <w:tc>
          <w:tcPr>
            <w:tcW w:w="1285" w:type="dxa"/>
            <w:tcBorders>
              <w:top w:val="single" w:color="auto" w:sz="4" w:space="0"/>
            </w:tcBorders>
            <w:noWrap w:val="0"/>
            <w:vAlign w:val="center"/>
          </w:tcPr>
          <w:p>
            <w:pPr>
              <w:spacing w:line="360" w:lineRule="auto"/>
              <w:rPr>
                <w:rFonts w:hint="eastAsia" w:ascii="宋体" w:hAnsi="宋体" w:eastAsia="宋体" w:cs="宋体"/>
                <w:color w:val="auto"/>
                <w:spacing w:val="-6"/>
                <w:kern w:val="0"/>
                <w:sz w:val="21"/>
                <w:szCs w:val="21"/>
              </w:rPr>
            </w:pPr>
          </w:p>
        </w:tc>
        <w:tc>
          <w:tcPr>
            <w:tcW w:w="5358"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color w:val="auto"/>
                <w:spacing w:val="-6"/>
                <w:kern w:val="0"/>
                <w:sz w:val="21"/>
                <w:szCs w:val="21"/>
              </w:rPr>
            </w:pPr>
          </w:p>
        </w:tc>
        <w:tc>
          <w:tcPr>
            <w:tcW w:w="825"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color w:val="auto"/>
                <w:spacing w:val="-6"/>
                <w:kern w:val="0"/>
                <w:sz w:val="21"/>
                <w:szCs w:val="21"/>
              </w:rPr>
            </w:pPr>
          </w:p>
        </w:tc>
        <w:tc>
          <w:tcPr>
            <w:tcW w:w="1133" w:type="dxa"/>
            <w:tcBorders>
              <w:top w:val="single" w:color="auto" w:sz="4" w:space="0"/>
            </w:tcBorders>
            <w:noWrap w:val="0"/>
            <w:vAlign w:val="center"/>
          </w:tcPr>
          <w:p>
            <w:pPr>
              <w:autoSpaceDE w:val="0"/>
              <w:autoSpaceDN w:val="0"/>
              <w:adjustRightInd w:val="0"/>
              <w:spacing w:line="360" w:lineRule="auto"/>
              <w:ind w:right="71" w:rightChars="34"/>
              <w:rPr>
                <w:rFonts w:hint="eastAsia" w:ascii="宋体" w:hAnsi="宋体" w:eastAsia="宋体" w:cs="宋体"/>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restart"/>
            <w:noWrap w:val="0"/>
            <w:vAlign w:val="center"/>
          </w:tcPr>
          <w:p>
            <w:pPr>
              <w:spacing w:line="360" w:lineRule="auto"/>
              <w:jc w:val="center"/>
              <w:rPr>
                <w:rFonts w:hint="eastAsia" w:ascii="宋体" w:hAnsi="宋体" w:eastAsia="宋体" w:cs="宋体"/>
                <w:color w:val="auto"/>
                <w:spacing w:val="-6"/>
                <w:sz w:val="21"/>
                <w:szCs w:val="21"/>
              </w:rPr>
            </w:pPr>
          </w:p>
        </w:tc>
        <w:tc>
          <w:tcPr>
            <w:tcW w:w="1285" w:type="dxa"/>
            <w:noWrap w:val="0"/>
            <w:vAlign w:val="center"/>
          </w:tcPr>
          <w:p>
            <w:pPr>
              <w:spacing w:line="360" w:lineRule="auto"/>
              <w:rPr>
                <w:rFonts w:hint="eastAsia" w:ascii="宋体" w:hAnsi="宋体" w:eastAsia="宋体" w:cs="宋体"/>
                <w:color w:val="auto"/>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color w:val="auto"/>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color w:val="auto"/>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ind w:left="-4" w:leftChars="-2" w:firstLine="2" w:firstLineChars="1"/>
              <w:rPr>
                <w:rFonts w:hint="eastAsia" w:ascii="宋体" w:hAnsi="宋体" w:eastAsia="宋体" w:cs="宋体"/>
                <w:color w:val="auto"/>
                <w:sz w:val="21"/>
                <w:szCs w:val="21"/>
              </w:rPr>
            </w:pPr>
          </w:p>
        </w:tc>
        <w:tc>
          <w:tcPr>
            <w:tcW w:w="1285" w:type="dxa"/>
            <w:noWrap w:val="0"/>
            <w:vAlign w:val="center"/>
          </w:tcPr>
          <w:p>
            <w:pPr>
              <w:spacing w:line="360" w:lineRule="auto"/>
              <w:ind w:left="-4" w:leftChars="-2" w:firstLine="2" w:firstLineChars="1"/>
              <w:rPr>
                <w:rFonts w:hint="eastAsia" w:ascii="宋体" w:hAnsi="宋体" w:eastAsia="宋体" w:cs="宋体"/>
                <w:color w:val="auto"/>
                <w:sz w:val="21"/>
                <w:szCs w:val="21"/>
              </w:rPr>
            </w:pPr>
          </w:p>
        </w:tc>
        <w:tc>
          <w:tcPr>
            <w:tcW w:w="5358" w:type="dxa"/>
            <w:noWrap w:val="0"/>
            <w:vAlign w:val="center"/>
          </w:tcPr>
          <w:p>
            <w:pPr>
              <w:spacing w:line="360" w:lineRule="auto"/>
              <w:ind w:left="-4" w:leftChars="-2" w:firstLine="2" w:firstLineChars="1"/>
              <w:rPr>
                <w:rFonts w:hint="eastAsia" w:ascii="宋体" w:hAnsi="宋体" w:eastAsia="宋体" w:cs="宋体"/>
                <w:color w:val="auto"/>
                <w:sz w:val="21"/>
                <w:szCs w:val="21"/>
              </w:rPr>
            </w:pPr>
          </w:p>
        </w:tc>
        <w:tc>
          <w:tcPr>
            <w:tcW w:w="825" w:type="dxa"/>
            <w:noWrap w:val="0"/>
            <w:vAlign w:val="center"/>
          </w:tcPr>
          <w:p>
            <w:pPr>
              <w:spacing w:line="360" w:lineRule="auto"/>
              <w:ind w:left="-4" w:leftChars="-2" w:firstLine="2" w:firstLineChars="1"/>
              <w:rPr>
                <w:rFonts w:hint="eastAsia" w:ascii="宋体" w:hAnsi="宋体" w:eastAsia="宋体" w:cs="宋体"/>
                <w:color w:val="auto"/>
                <w:sz w:val="21"/>
                <w:szCs w:val="21"/>
              </w:rPr>
            </w:pPr>
          </w:p>
        </w:tc>
        <w:tc>
          <w:tcPr>
            <w:tcW w:w="1133" w:type="dxa"/>
            <w:noWrap w:val="0"/>
            <w:vAlign w:val="center"/>
          </w:tcPr>
          <w:p>
            <w:pPr>
              <w:spacing w:line="360" w:lineRule="auto"/>
              <w:ind w:left="-4" w:leftChars="-2" w:firstLine="2" w:firstLineChars="1"/>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color w:val="auto"/>
                <w:sz w:val="21"/>
                <w:szCs w:val="21"/>
              </w:rPr>
            </w:pPr>
          </w:p>
        </w:tc>
        <w:tc>
          <w:tcPr>
            <w:tcW w:w="1285" w:type="dxa"/>
            <w:noWrap w:val="0"/>
            <w:vAlign w:val="center"/>
          </w:tcPr>
          <w:p>
            <w:pPr>
              <w:spacing w:line="360" w:lineRule="auto"/>
              <w:rPr>
                <w:rFonts w:hint="eastAsia" w:ascii="宋体" w:hAnsi="宋体" w:eastAsia="宋体" w:cs="宋体"/>
                <w:color w:val="auto"/>
                <w:spacing w:val="-6"/>
                <w:kern w:val="0"/>
                <w:sz w:val="21"/>
                <w:szCs w:val="21"/>
              </w:rPr>
            </w:pPr>
          </w:p>
        </w:tc>
        <w:tc>
          <w:tcPr>
            <w:tcW w:w="5358" w:type="dxa"/>
            <w:noWrap w:val="0"/>
            <w:vAlign w:val="center"/>
          </w:tcPr>
          <w:p>
            <w:pPr>
              <w:autoSpaceDE w:val="0"/>
              <w:autoSpaceDN w:val="0"/>
              <w:adjustRightInd w:val="0"/>
              <w:spacing w:line="360" w:lineRule="auto"/>
              <w:rPr>
                <w:rFonts w:hint="eastAsia" w:ascii="宋体" w:hAnsi="宋体" w:eastAsia="宋体" w:cs="宋体"/>
                <w:color w:val="auto"/>
                <w:spacing w:val="-6"/>
                <w:kern w:val="0"/>
                <w:sz w:val="21"/>
                <w:szCs w:val="21"/>
              </w:rPr>
            </w:pPr>
          </w:p>
        </w:tc>
        <w:tc>
          <w:tcPr>
            <w:tcW w:w="825" w:type="dxa"/>
            <w:noWrap w:val="0"/>
            <w:vAlign w:val="center"/>
          </w:tcPr>
          <w:p>
            <w:pPr>
              <w:autoSpaceDE w:val="0"/>
              <w:autoSpaceDN w:val="0"/>
              <w:adjustRightInd w:val="0"/>
              <w:spacing w:line="360" w:lineRule="auto"/>
              <w:rPr>
                <w:rFonts w:hint="eastAsia" w:ascii="宋体" w:hAnsi="宋体" w:eastAsia="宋体" w:cs="宋体"/>
                <w:color w:val="auto"/>
                <w:spacing w:val="-6"/>
                <w:kern w:val="0"/>
                <w:sz w:val="21"/>
                <w:szCs w:val="21"/>
              </w:rPr>
            </w:pPr>
          </w:p>
        </w:tc>
        <w:tc>
          <w:tcPr>
            <w:tcW w:w="1133" w:type="dxa"/>
            <w:noWrap w:val="0"/>
            <w:vAlign w:val="center"/>
          </w:tcPr>
          <w:p>
            <w:pPr>
              <w:autoSpaceDE w:val="0"/>
              <w:autoSpaceDN w:val="0"/>
              <w:adjustRightInd w:val="0"/>
              <w:spacing w:line="360" w:lineRule="auto"/>
              <w:rPr>
                <w:rFonts w:hint="eastAsia" w:ascii="宋体" w:hAnsi="宋体" w:eastAsia="宋体" w:cs="宋体"/>
                <w:color w:val="auto"/>
                <w:spacing w:val="-6"/>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color w:val="auto"/>
                <w:sz w:val="21"/>
                <w:szCs w:val="21"/>
              </w:rPr>
            </w:pPr>
          </w:p>
        </w:tc>
        <w:tc>
          <w:tcPr>
            <w:tcW w:w="1285" w:type="dxa"/>
            <w:noWrap w:val="0"/>
            <w:vAlign w:val="center"/>
          </w:tcPr>
          <w:p>
            <w:pPr>
              <w:spacing w:line="360" w:lineRule="auto"/>
              <w:rPr>
                <w:rFonts w:hint="eastAsia" w:ascii="宋体" w:hAnsi="宋体" w:eastAsia="宋体" w:cs="宋体"/>
                <w:color w:val="auto"/>
                <w:spacing w:val="-6"/>
                <w:sz w:val="21"/>
                <w:szCs w:val="21"/>
              </w:rPr>
            </w:pPr>
          </w:p>
        </w:tc>
        <w:tc>
          <w:tcPr>
            <w:tcW w:w="5358" w:type="dxa"/>
            <w:noWrap w:val="0"/>
            <w:vAlign w:val="center"/>
          </w:tcPr>
          <w:p>
            <w:pPr>
              <w:spacing w:line="360" w:lineRule="auto"/>
              <w:ind w:left="-4" w:leftChars="-2" w:firstLine="1" w:firstLineChars="1"/>
              <w:rPr>
                <w:rFonts w:hint="eastAsia" w:ascii="宋体" w:hAnsi="宋体" w:eastAsia="宋体" w:cs="宋体"/>
                <w:color w:val="auto"/>
                <w:spacing w:val="-6"/>
                <w:sz w:val="21"/>
                <w:szCs w:val="21"/>
              </w:rPr>
            </w:pPr>
          </w:p>
        </w:tc>
        <w:tc>
          <w:tcPr>
            <w:tcW w:w="825" w:type="dxa"/>
            <w:noWrap w:val="0"/>
            <w:vAlign w:val="center"/>
          </w:tcPr>
          <w:p>
            <w:pPr>
              <w:spacing w:line="360" w:lineRule="auto"/>
              <w:ind w:left="-4" w:leftChars="-2" w:firstLine="1" w:firstLineChars="1"/>
              <w:rPr>
                <w:rFonts w:hint="eastAsia" w:ascii="宋体" w:hAnsi="宋体" w:eastAsia="宋体" w:cs="宋体"/>
                <w:color w:val="auto"/>
                <w:spacing w:val="-6"/>
                <w:sz w:val="21"/>
                <w:szCs w:val="21"/>
              </w:rPr>
            </w:pPr>
          </w:p>
        </w:tc>
        <w:tc>
          <w:tcPr>
            <w:tcW w:w="1133" w:type="dxa"/>
            <w:noWrap w:val="0"/>
            <w:vAlign w:val="center"/>
          </w:tcPr>
          <w:p>
            <w:pPr>
              <w:spacing w:line="360" w:lineRule="auto"/>
              <w:ind w:left="-4" w:leftChars="-2" w:firstLine="1" w:firstLineChars="1"/>
              <w:rPr>
                <w:rFonts w:hint="eastAsia" w:ascii="宋体" w:hAnsi="宋体" w:eastAsia="宋体" w:cs="宋体"/>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87" w:type="dxa"/>
            <w:vMerge w:val="continue"/>
            <w:noWrap w:val="0"/>
            <w:vAlign w:val="center"/>
          </w:tcPr>
          <w:p>
            <w:pPr>
              <w:spacing w:line="360" w:lineRule="auto"/>
              <w:rPr>
                <w:rFonts w:hint="eastAsia" w:ascii="宋体" w:hAnsi="宋体" w:eastAsia="宋体" w:cs="宋体"/>
                <w:color w:val="auto"/>
                <w:sz w:val="21"/>
                <w:szCs w:val="21"/>
              </w:rPr>
            </w:pPr>
          </w:p>
        </w:tc>
        <w:tc>
          <w:tcPr>
            <w:tcW w:w="1285" w:type="dxa"/>
            <w:noWrap w:val="0"/>
            <w:vAlign w:val="center"/>
          </w:tcPr>
          <w:p>
            <w:pPr>
              <w:spacing w:line="360" w:lineRule="auto"/>
              <w:rPr>
                <w:rFonts w:hint="eastAsia" w:ascii="宋体" w:hAnsi="宋体" w:eastAsia="宋体" w:cs="宋体"/>
                <w:color w:val="auto"/>
                <w:spacing w:val="-6"/>
                <w:sz w:val="21"/>
                <w:szCs w:val="21"/>
              </w:rPr>
            </w:pPr>
          </w:p>
        </w:tc>
        <w:tc>
          <w:tcPr>
            <w:tcW w:w="5358" w:type="dxa"/>
            <w:noWrap w:val="0"/>
            <w:vAlign w:val="center"/>
          </w:tcPr>
          <w:p>
            <w:pPr>
              <w:spacing w:line="360" w:lineRule="auto"/>
              <w:rPr>
                <w:rFonts w:hint="eastAsia" w:ascii="宋体" w:hAnsi="宋体" w:eastAsia="宋体" w:cs="宋体"/>
                <w:color w:val="auto"/>
                <w:spacing w:val="-6"/>
                <w:sz w:val="21"/>
                <w:szCs w:val="21"/>
              </w:rPr>
            </w:pPr>
          </w:p>
        </w:tc>
        <w:tc>
          <w:tcPr>
            <w:tcW w:w="825" w:type="dxa"/>
            <w:noWrap w:val="0"/>
            <w:vAlign w:val="center"/>
          </w:tcPr>
          <w:p>
            <w:pPr>
              <w:spacing w:line="360" w:lineRule="auto"/>
              <w:rPr>
                <w:rFonts w:hint="eastAsia" w:ascii="宋体" w:hAnsi="宋体" w:eastAsia="宋体" w:cs="宋体"/>
                <w:color w:val="auto"/>
                <w:spacing w:val="-6"/>
                <w:sz w:val="21"/>
                <w:szCs w:val="21"/>
              </w:rPr>
            </w:pPr>
          </w:p>
        </w:tc>
        <w:tc>
          <w:tcPr>
            <w:tcW w:w="1133" w:type="dxa"/>
            <w:noWrap w:val="0"/>
            <w:vAlign w:val="center"/>
          </w:tcPr>
          <w:p>
            <w:pPr>
              <w:spacing w:line="360" w:lineRule="auto"/>
              <w:rPr>
                <w:rFonts w:hint="eastAsia" w:ascii="宋体" w:hAnsi="宋体" w:eastAsia="宋体" w:cs="宋体"/>
                <w:color w:val="auto"/>
                <w:spacing w:val="-6"/>
                <w:sz w:val="21"/>
                <w:szCs w:val="21"/>
              </w:rPr>
            </w:pPr>
          </w:p>
        </w:tc>
      </w:tr>
    </w:tbl>
    <w:p>
      <w:pPr>
        <w:autoSpaceDE w:val="0"/>
        <w:autoSpaceDN w:val="0"/>
        <w:adjustRightInd w:val="0"/>
        <w:spacing w:line="480" w:lineRule="auto"/>
        <w:rPr>
          <w:rFonts w:hint="eastAsia" w:asciiTheme="minorEastAsia" w:hAnsiTheme="minorEastAsia" w:eastAsiaTheme="minorEastAsia" w:cstheme="minorEastAsia"/>
          <w:b/>
          <w:color w:val="auto"/>
        </w:rPr>
      </w:pPr>
    </w:p>
    <w:p>
      <w:pPr>
        <w:adjustRightInd w:val="0"/>
        <w:snapToGrid w:val="0"/>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rPr>
        <w:br w:type="textWrapping"/>
      </w:r>
    </w:p>
    <w:p>
      <w:pPr>
        <w:adjustRightInd w:val="0"/>
        <w:snapToGrid w:val="0"/>
        <w:spacing w:line="480" w:lineRule="auto"/>
        <w:jc w:val="center"/>
        <w:outlineLvl w:val="1"/>
        <w:rPr>
          <w:rFonts w:hint="eastAsia" w:asciiTheme="minorEastAsia" w:hAnsiTheme="minorEastAsia" w:eastAsiaTheme="minorEastAsia" w:cstheme="minorEastAsia"/>
          <w:b/>
          <w:color w:val="auto"/>
        </w:rPr>
      </w:pPr>
      <w:bookmarkStart w:id="125" w:name="_Toc479184125"/>
      <w:bookmarkStart w:id="126" w:name="_Toc30144"/>
      <w:bookmarkStart w:id="127" w:name="_Toc15789"/>
      <w:bookmarkStart w:id="128" w:name="_Toc20006"/>
      <w:r>
        <w:rPr>
          <w:rFonts w:hint="eastAsia" w:asciiTheme="minorEastAsia" w:hAnsiTheme="minorEastAsia" w:eastAsiaTheme="minorEastAsia" w:cstheme="minorEastAsia"/>
          <w:b/>
          <w:color w:val="auto"/>
          <w:lang w:val="en-US" w:eastAsia="zh-CN"/>
        </w:rPr>
        <w:t>二</w:t>
      </w:r>
      <w:r>
        <w:rPr>
          <w:rFonts w:hint="eastAsia" w:asciiTheme="minorEastAsia" w:hAnsiTheme="minorEastAsia" w:eastAsiaTheme="minorEastAsia" w:cstheme="minorEastAsia"/>
          <w:b/>
          <w:color w:val="auto"/>
        </w:rPr>
        <w:t>、磋商书</w:t>
      </w:r>
      <w:bookmarkEnd w:id="125"/>
      <w:bookmarkEnd w:id="126"/>
      <w:bookmarkEnd w:id="127"/>
      <w:bookmarkEnd w:id="128"/>
    </w:p>
    <w:p>
      <w:pPr>
        <w:pStyle w:val="20"/>
        <w:rPr>
          <w:rFonts w:hint="eastAsia" w:asciiTheme="minorEastAsia" w:hAnsiTheme="minorEastAsia" w:eastAsiaTheme="minorEastAsia" w:cstheme="minorEastAsia"/>
          <w:b/>
          <w:color w:val="auto"/>
          <w:szCs w:val="21"/>
        </w:rPr>
      </w:pPr>
    </w:p>
    <w:p>
      <w:pPr>
        <w:autoSpaceDE w:val="0"/>
        <w:autoSpaceDN w:val="0"/>
        <w:adjustRightInd w:val="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u w:val="single"/>
        </w:rPr>
        <w:t>（政府采购代理机构）：</w:t>
      </w:r>
    </w:p>
    <w:p>
      <w:pPr>
        <w:autoSpaceDE w:val="0"/>
        <w:autoSpaceDN w:val="0"/>
        <w:adjustRightInd w:val="0"/>
        <w:ind w:left="2" w:firstLine="462" w:firstLineChars="2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依据贵方（项目名称/</w:t>
      </w:r>
      <w:r>
        <w:rPr>
          <w:rFonts w:hint="eastAsia" w:asciiTheme="minorEastAsia" w:hAnsiTheme="minorEastAsia" w:eastAsiaTheme="minorEastAsia" w:cstheme="minorEastAsia"/>
          <w:color w:val="auto"/>
          <w:kern w:val="0"/>
          <w:szCs w:val="21"/>
          <w:lang w:val="en-US" w:eastAsia="zh-CN"/>
        </w:rPr>
        <w:t>项目</w:t>
      </w:r>
      <w:r>
        <w:rPr>
          <w:rFonts w:hint="eastAsia" w:asciiTheme="minorEastAsia" w:hAnsiTheme="minorEastAsia" w:eastAsiaTheme="minorEastAsia" w:cstheme="minorEastAsia"/>
          <w:color w:val="auto"/>
          <w:kern w:val="0"/>
          <w:szCs w:val="21"/>
        </w:rPr>
        <w:t>编号）项目第</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包</w:t>
      </w:r>
      <w:r>
        <w:rPr>
          <w:rFonts w:hint="eastAsia" w:asciiTheme="minorEastAsia" w:hAnsiTheme="minorEastAsia" w:eastAsiaTheme="minorEastAsia" w:cstheme="minorEastAsia"/>
          <w:color w:val="auto"/>
          <w:kern w:val="0"/>
          <w:szCs w:val="21"/>
          <w:lang w:val="en-US" w:eastAsia="zh-CN"/>
        </w:rPr>
        <w:t>货物</w:t>
      </w:r>
      <w:r>
        <w:rPr>
          <w:rFonts w:hint="eastAsia" w:asciiTheme="minorEastAsia" w:hAnsiTheme="minorEastAsia" w:eastAsiaTheme="minorEastAsia" w:cstheme="minorEastAsia"/>
          <w:color w:val="auto"/>
          <w:kern w:val="0"/>
          <w:szCs w:val="21"/>
        </w:rPr>
        <w:t>的磋商邀请，我方代表（姓名、职务）经正式授权并代表供应商（供应商的名称、地址）提交下述文件正本一份，副本</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份。</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竞争性磋商响应文件；</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资格证明文件；</w:t>
      </w:r>
    </w:p>
    <w:p>
      <w:pPr>
        <w:numPr>
          <w:ilvl w:val="1"/>
          <w:numId w:val="39"/>
        </w:numPr>
        <w:tabs>
          <w:tab w:val="left" w:pos="840"/>
          <w:tab w:val="clear" w:pos="360"/>
        </w:tabs>
        <w:autoSpaceDE w:val="0"/>
        <w:autoSpaceDN w:val="0"/>
        <w:adjustRightInd w:val="0"/>
        <w:ind w:left="840" w:hanging="42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按采购的规定递交</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元（人民币大写）的保证金</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如有</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w:t>
      </w:r>
    </w:p>
    <w:p>
      <w:pPr>
        <w:autoSpaceDE w:val="0"/>
        <w:autoSpaceDN w:val="0"/>
        <w:adjustRightInd w:val="0"/>
        <w:ind w:firstLine="422" w:firstLineChars="200"/>
        <w:rPr>
          <w:rFonts w:hint="eastAsia"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并进行如下承诺声明：</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zh-CN"/>
        </w:rPr>
        <w:t>我公司在参加本次政府采购活动前</w:t>
      </w:r>
      <w:r>
        <w:rPr>
          <w:rFonts w:hint="eastAsia" w:asciiTheme="minorEastAsia" w:hAnsiTheme="minorEastAsia" w:eastAsiaTheme="minorEastAsia" w:cstheme="minorEastAsia"/>
          <w:color w:val="auto"/>
          <w:kern w:val="0"/>
          <w:szCs w:val="21"/>
        </w:rPr>
        <w:t>3年内在经营活动中没有重大违法记录；</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我公司在本响应文件中所提供的全部资格证明文件均真实有效，我方承诺对其真实性负责并承担相应后果；</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我公司在本响应文件中所响应的内容均将成为签订合同的依据，并承诺按响应内容提供相应服务；</w:t>
      </w:r>
    </w:p>
    <w:p>
      <w:pPr>
        <w:numPr>
          <w:ilvl w:val="0"/>
          <w:numId w:val="40"/>
        </w:numPr>
        <w:tabs>
          <w:tab w:val="left" w:pos="840"/>
        </w:tabs>
        <w:autoSpaceDE w:val="0"/>
        <w:autoSpaceDN w:val="0"/>
        <w:adjustRightInd w:val="0"/>
        <w:ind w:firstLine="420" w:firstLine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kern w:val="0"/>
          <w:szCs w:val="21"/>
          <w:lang w:val="en-US" w:eastAsia="zh-CN"/>
        </w:rPr>
        <w:t>重要声明：</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kern w:val="0"/>
          <w:szCs w:val="21"/>
          <w:lang w:val="en-US" w:eastAsia="zh-CN"/>
        </w:rPr>
        <w:t>4.1</w:t>
      </w:r>
      <w:r>
        <w:rPr>
          <w:rFonts w:hint="eastAsia" w:asciiTheme="minorEastAsia" w:hAnsiTheme="minorEastAsia" w:eastAsiaTheme="minorEastAsia" w:cstheme="minorEastAsia"/>
          <w:b w:val="0"/>
          <w:bCs w:val="0"/>
          <w:color w:val="auto"/>
          <w:lang w:val="en-US" w:eastAsia="zh-CN"/>
        </w:rPr>
        <w:t>与我方单位负责人为同一人的其他单位名称：□无；□有，具体单位名称为：</w:t>
      </w:r>
      <w:r>
        <w:rPr>
          <w:rFonts w:hint="eastAsia" w:asciiTheme="minorEastAsia" w:hAnsiTheme="minorEastAsia" w:eastAsiaTheme="minorEastAsia" w:cstheme="minorEastAsia"/>
          <w:b w:val="0"/>
          <w:bCs w:val="0"/>
          <w:color w:val="auto"/>
          <w:u w:val="single"/>
          <w:lang w:val="en-US" w:eastAsia="zh-CN"/>
        </w:rPr>
        <w:t>     </w:t>
      </w:r>
      <w:r>
        <w:rPr>
          <w:rFonts w:hint="eastAsia" w:asciiTheme="minorEastAsia" w:hAnsiTheme="minorEastAsia" w:eastAsiaTheme="minorEastAsia" w:cstheme="minorEastAsia"/>
          <w:b w:val="0"/>
          <w:bCs w:val="0"/>
          <w:color w:val="auto"/>
          <w:lang w:val="en-US" w:eastAsia="zh-CN"/>
        </w:rPr>
        <w:t xml:space="preserve">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4.2与我方存在控股、管理关系的其他单位的名称：□无；□有，具体单位名称为：</w:t>
      </w:r>
      <w:r>
        <w:rPr>
          <w:rFonts w:hint="eastAsia" w:asciiTheme="minorEastAsia" w:hAnsiTheme="minorEastAsia" w:eastAsiaTheme="minorEastAsia" w:cstheme="minorEastAsia"/>
          <w:b w:val="0"/>
          <w:bCs w:val="0"/>
          <w:color w:val="auto"/>
          <w:u w:val="single"/>
          <w:lang w:val="en-US" w:eastAsia="zh-CN"/>
        </w:rPr>
        <w:t>     </w:t>
      </w:r>
    </w:p>
    <w:p>
      <w:pPr>
        <w:numPr>
          <w:ilvl w:val="0"/>
          <w:numId w:val="0"/>
        </w:numPr>
        <w:tabs>
          <w:tab w:val="left" w:pos="840"/>
        </w:tabs>
        <w:autoSpaceDE w:val="0"/>
        <w:autoSpaceDN w:val="0"/>
        <w:adjustRightInd w:val="0"/>
        <w:ind w:leftChars="200"/>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4.3参与本项目采购活动前，是否为本项目前期准备提供过整体设计、规范编制或者项目管理、监理、检测等服务：□否；□是，已提供的具体服务内容为：</w:t>
      </w:r>
      <w:r>
        <w:rPr>
          <w:rFonts w:hint="eastAsia" w:asciiTheme="minorEastAsia" w:hAnsiTheme="minorEastAsia" w:eastAsiaTheme="minorEastAsia" w:cstheme="minorEastAsia"/>
          <w:b w:val="0"/>
          <w:bCs w:val="0"/>
          <w:color w:val="auto"/>
          <w:u w:val="single"/>
          <w:lang w:val="en-US" w:eastAsia="zh-CN"/>
        </w:rPr>
        <w:t>     </w:t>
      </w:r>
    </w:p>
    <w:p>
      <w:pPr>
        <w:outlineLvl w:val="9"/>
        <w:rPr>
          <w:rFonts w:hint="eastAsia"/>
          <w:color w:val="auto"/>
          <w:lang w:val="en-US" w:eastAsia="zh-CN"/>
        </w:rPr>
      </w:pPr>
      <w:r>
        <w:rPr>
          <w:rFonts w:hint="eastAsia" w:asciiTheme="minorEastAsia" w:hAnsiTheme="minorEastAsia" w:eastAsiaTheme="minorEastAsia" w:cstheme="minorEastAsia"/>
          <w:b/>
          <w:bCs/>
          <w:color w:val="auto"/>
          <w:lang w:val="en-US" w:eastAsia="zh-CN"/>
        </w:rPr>
        <w:t>（备注：以上3项声明，必须如实选择，选中项用√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pPr>
        <w:autoSpaceDE w:val="0"/>
        <w:autoSpaceDN w:val="0"/>
        <w:adjustRightInd w:val="0"/>
        <w:ind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在此，我方宣布同意如下：</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所附《报价一览表》中规定的应提交和交付的货物报价总价为</w:t>
      </w:r>
      <w:r>
        <w:rPr>
          <w:rFonts w:hint="eastAsia" w:asciiTheme="minorEastAsia" w:hAnsiTheme="minorEastAsia" w:eastAsiaTheme="minorEastAsia" w:cstheme="minorEastAsia"/>
          <w:color w:val="auto"/>
          <w:kern w:val="0"/>
          <w:szCs w:val="21"/>
          <w:u w:val="single"/>
        </w:rPr>
        <w:t>（注明币种，并用文字和数字表示的报价总价）</w:t>
      </w:r>
      <w:r>
        <w:rPr>
          <w:rFonts w:hint="eastAsia" w:asciiTheme="minorEastAsia" w:hAnsiTheme="minorEastAsia" w:eastAsiaTheme="minorEastAsia" w:cstheme="minorEastAsia"/>
          <w:color w:val="auto"/>
          <w:kern w:val="0"/>
          <w:szCs w:val="21"/>
        </w:rPr>
        <w:t>。</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将按竞争性磋商采购文件的约定履行合同责任和义务。</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已详细审查全部竞争性磋商采购文件，包括</w:t>
      </w:r>
      <w:r>
        <w:rPr>
          <w:rFonts w:hint="eastAsia" w:asciiTheme="minorEastAsia" w:hAnsiTheme="minorEastAsia" w:eastAsiaTheme="minorEastAsia" w:cstheme="minorEastAsia"/>
          <w:color w:val="auto"/>
          <w:kern w:val="0"/>
          <w:szCs w:val="21"/>
          <w:u w:val="single"/>
        </w:rPr>
        <w:t>（补充文件等）</w:t>
      </w:r>
      <w:r>
        <w:rPr>
          <w:rFonts w:hint="eastAsia" w:asciiTheme="minorEastAsia" w:hAnsiTheme="minorEastAsia" w:eastAsiaTheme="minorEastAsia" w:cstheme="minorEastAsia"/>
          <w:color w:val="auto"/>
          <w:kern w:val="0"/>
          <w:szCs w:val="21"/>
        </w:rPr>
        <w:t>，对此无异议。</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本竞争性磋商响应文件的有效期自磋商截止时间起共</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rPr>
        <w:t>日历天</w:t>
      </w:r>
      <w:r>
        <w:rPr>
          <w:rFonts w:hint="eastAsia" w:asciiTheme="minorEastAsia" w:hAnsiTheme="minorEastAsia" w:eastAsiaTheme="minorEastAsia" w:cstheme="minorEastAsia"/>
          <w:color w:val="auto"/>
          <w:kern w:val="0"/>
          <w:szCs w:val="21"/>
          <w:lang w:eastAsia="zh-CN"/>
        </w:rPr>
        <w:t>。</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接收竞争性磋商采购文件中关于没收保证金的约定。</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同意提供按照贵方可能要求的与其报价有关的一切数据或资料。</w:t>
      </w:r>
    </w:p>
    <w:p>
      <w:pPr>
        <w:numPr>
          <w:ilvl w:val="6"/>
          <w:numId w:val="41"/>
        </w:numPr>
        <w:tabs>
          <w:tab w:val="left" w:pos="840"/>
        </w:tabs>
        <w:autoSpaceDE w:val="0"/>
        <w:autoSpaceDN w:val="0"/>
        <w:adjustRightInd w:val="0"/>
        <w:ind w:left="0" w:firstLine="420" w:firstLineChars="2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与本报价有关的一切正式往来信函请寄：</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供    应    商：（</w:t>
      </w:r>
      <w:r>
        <w:rPr>
          <w:rFonts w:hint="eastAsia" w:asciiTheme="minorEastAsia" w:hAnsiTheme="minorEastAsia" w:eastAsiaTheme="minorEastAsia" w:cstheme="minorEastAsia"/>
          <w:color w:val="auto"/>
          <w:kern w:val="0"/>
          <w:szCs w:val="21"/>
          <w:lang w:val="en-US" w:eastAsia="zh-CN"/>
        </w:rPr>
        <w:t>盖章</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法定代表人（签字或盖章）：</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通  讯  地  址：</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传        　真：</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          话：</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电  子  函  件：</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授权代表</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lang w:val="en-US" w:eastAsia="zh-CN"/>
        </w:rPr>
        <w:t>签字</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color w:val="auto"/>
          <w:kern w:val="0"/>
          <w:szCs w:val="21"/>
        </w:rPr>
        <w:t>：</w:t>
      </w:r>
    </w:p>
    <w:p>
      <w:pPr>
        <w:autoSpaceDE w:val="0"/>
        <w:autoSpaceDN w:val="0"/>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日         期：</w:t>
      </w:r>
    </w:p>
    <w:p>
      <w:pPr>
        <w:tabs>
          <w:tab w:val="left" w:pos="540"/>
        </w:tabs>
        <w:autoSpaceDE w:val="0"/>
        <w:autoSpaceDN w:val="0"/>
        <w:adjustRightInd w:val="0"/>
        <w:jc w:val="center"/>
        <w:outlineLvl w:val="1"/>
        <w:rPr>
          <w:rFonts w:hint="eastAsia" w:asciiTheme="minorEastAsia" w:hAnsiTheme="minorEastAsia" w:eastAsiaTheme="minorEastAsia" w:cstheme="minorEastAsia"/>
          <w:b/>
          <w:color w:val="auto"/>
        </w:rPr>
      </w:pPr>
      <w:bookmarkStart w:id="129" w:name="_Toc479184126"/>
      <w:bookmarkStart w:id="130" w:name="_Toc24205"/>
      <w:bookmarkStart w:id="131" w:name="_Toc7513"/>
      <w:bookmarkStart w:id="132" w:name="_Toc13969"/>
      <w:r>
        <w:rPr>
          <w:rFonts w:hint="eastAsia" w:asciiTheme="minorEastAsia" w:hAnsiTheme="minorEastAsia" w:eastAsiaTheme="minorEastAsia" w:cstheme="minorEastAsia"/>
          <w:b/>
          <w:color w:val="auto"/>
          <w:lang w:val="en-US" w:eastAsia="zh-CN"/>
        </w:rPr>
        <w:br w:type="textWrapping"/>
      </w:r>
      <w:r>
        <w:rPr>
          <w:rFonts w:hint="eastAsia" w:asciiTheme="minorEastAsia" w:hAnsiTheme="minorEastAsia" w:eastAsiaTheme="minorEastAsia" w:cstheme="minorEastAsia"/>
          <w:b/>
          <w:color w:val="auto"/>
          <w:lang w:val="en-US" w:eastAsia="zh-CN"/>
        </w:rPr>
        <w:br w:type="textWrapping"/>
      </w:r>
      <w:r>
        <w:rPr>
          <w:rFonts w:hint="eastAsia" w:asciiTheme="minorEastAsia" w:hAnsiTheme="minorEastAsia" w:eastAsiaTheme="minorEastAsia" w:cstheme="minorEastAsia"/>
          <w:b/>
          <w:color w:val="auto"/>
          <w:lang w:val="en-US" w:eastAsia="zh-CN"/>
        </w:rPr>
        <w:br w:type="textWrapping"/>
      </w:r>
      <w:r>
        <w:rPr>
          <w:rFonts w:hint="eastAsia" w:asciiTheme="minorEastAsia" w:hAnsiTheme="minorEastAsia" w:eastAsiaTheme="minorEastAsia" w:cstheme="minorEastAsia"/>
          <w:b/>
          <w:color w:val="auto"/>
          <w:lang w:val="en-US" w:eastAsia="zh-CN"/>
        </w:rPr>
        <w:t>三</w:t>
      </w:r>
      <w:r>
        <w:rPr>
          <w:rFonts w:hint="eastAsia" w:asciiTheme="minorEastAsia" w:hAnsiTheme="minorEastAsia" w:eastAsiaTheme="minorEastAsia" w:cstheme="minorEastAsia"/>
          <w:b/>
          <w:color w:val="auto"/>
        </w:rPr>
        <w:t>、法定代表人授权书</w:t>
      </w:r>
      <w:bookmarkEnd w:id="129"/>
      <w:bookmarkEnd w:id="130"/>
      <w:bookmarkEnd w:id="131"/>
      <w:bookmarkEnd w:id="132"/>
    </w:p>
    <w:p>
      <w:pPr>
        <w:rPr>
          <w:rFonts w:hint="eastAsia" w:asciiTheme="minorEastAsia" w:hAnsiTheme="minorEastAsia" w:eastAsiaTheme="minorEastAsia" w:cstheme="minorEastAsia"/>
          <w:color w:val="auto"/>
          <w:kern w:val="0"/>
          <w:szCs w:val="21"/>
        </w:rPr>
      </w:pPr>
    </w:p>
    <w:p>
      <w:pPr>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兹授权</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同志为我公司参加贵单位组织的</w:t>
      </w:r>
      <w:r>
        <w:rPr>
          <w:rFonts w:hint="eastAsia" w:asciiTheme="minorEastAsia" w:hAnsiTheme="minorEastAsia" w:eastAsiaTheme="minorEastAsia" w:cstheme="minorEastAsia"/>
          <w:color w:val="auto"/>
          <w:kern w:val="0"/>
          <w:szCs w:val="21"/>
          <w:u w:val="single"/>
        </w:rPr>
        <w:t>（项目名称）</w:t>
      </w:r>
      <w:r>
        <w:rPr>
          <w:rFonts w:hint="eastAsia" w:asciiTheme="minorEastAsia" w:hAnsiTheme="minorEastAsia" w:eastAsiaTheme="minorEastAsia" w:cstheme="minorEastAsia"/>
          <w:color w:val="auto"/>
          <w:kern w:val="0"/>
          <w:szCs w:val="21"/>
        </w:rPr>
        <w:t>采购活动的供应商代表人（磋商代表），全权代表我公司处理在该项目采购活动中的一切事宜。代理期限从</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日起至</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日止。</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授权单位（</w:t>
      </w:r>
      <w:r>
        <w:rPr>
          <w:rFonts w:hint="eastAsia" w:asciiTheme="minorEastAsia" w:hAnsiTheme="minorEastAsia" w:eastAsiaTheme="minorEastAsia" w:cstheme="minorEastAsia"/>
          <w:color w:val="auto"/>
          <w:kern w:val="0"/>
          <w:szCs w:val="21"/>
          <w:lang w:val="en-US" w:eastAsia="zh-CN"/>
        </w:rPr>
        <w:t>盖章</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法定代表人（签字或盖章）：</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签发日期：</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年 </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日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附：</w:t>
      </w:r>
      <w:r>
        <w:rPr>
          <w:rFonts w:hint="eastAsia" w:asciiTheme="minorEastAsia" w:hAnsiTheme="minorEastAsia" w:eastAsiaTheme="minorEastAsia" w:cstheme="minorEastAsia"/>
          <w:color w:val="auto"/>
          <w:kern w:val="0"/>
          <w:szCs w:val="21"/>
          <w:u w:val="single"/>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u w:val="single"/>
          <w:lang w:val="en-US" w:eastAsia="zh-CN"/>
        </w:rPr>
      </w:pPr>
      <w:r>
        <w:rPr>
          <w:rFonts w:hint="eastAsia" w:asciiTheme="minorEastAsia" w:hAnsiTheme="minorEastAsia" w:eastAsiaTheme="minorEastAsia" w:cstheme="minorEastAsia"/>
          <w:color w:val="auto"/>
          <w:kern w:val="0"/>
          <w:szCs w:val="21"/>
          <w:lang w:val="en-US" w:eastAsia="zh-CN"/>
        </w:rPr>
        <w:t>授权代表</w:t>
      </w:r>
      <w:r>
        <w:rPr>
          <w:rFonts w:hint="eastAsia" w:asciiTheme="minorEastAsia" w:hAnsiTheme="minorEastAsia" w:eastAsiaTheme="minorEastAsia" w:cstheme="minorEastAsia"/>
          <w:color w:val="auto"/>
          <w:kern w:val="0"/>
          <w:szCs w:val="21"/>
        </w:rPr>
        <w:t>职务：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性别：</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 xml:space="preserve">  </w:t>
      </w:r>
    </w:p>
    <w:p>
      <w:pPr>
        <w:autoSpaceDE w:val="0"/>
        <w:autoSpaceDN w:val="0"/>
        <w:adjustRightInd w:val="0"/>
        <w:spacing w:line="360" w:lineRule="auto"/>
        <w:ind w:firstLine="697"/>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授权代表</w:t>
      </w:r>
      <w:r>
        <w:rPr>
          <w:rFonts w:hint="eastAsia" w:asciiTheme="minorEastAsia" w:hAnsiTheme="minorEastAsia" w:eastAsiaTheme="minorEastAsia" w:cstheme="minorEastAsia"/>
          <w:color w:val="auto"/>
          <w:kern w:val="0"/>
          <w:szCs w:val="21"/>
        </w:rPr>
        <w:t>身份证号码：</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 xml:space="preserve">  </w:t>
      </w:r>
      <w:r>
        <w:rPr>
          <w:rFonts w:hint="eastAsia" w:asciiTheme="minorEastAsia" w:hAnsiTheme="minorEastAsia" w:eastAsiaTheme="minorEastAsia" w:cstheme="minorEastAsia"/>
          <w:color w:val="auto"/>
          <w:kern w:val="0"/>
          <w:szCs w:val="21"/>
          <w:u w:val="single"/>
        </w:rPr>
        <w:t xml:space="preserve">                                                                  </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hint="eastAsia"/>
                <w:color w:val="auto"/>
              </w:rPr>
            </w:pPr>
            <w:r>
              <w:rPr>
                <w:rFonts w:hint="eastAsia"/>
                <w:color w:val="auto"/>
                <w:lang w:val="en-US" w:eastAsia="zh-CN"/>
              </w:rPr>
              <w:t>授权代表</w:t>
            </w:r>
            <w:r>
              <w:rPr>
                <w:rFonts w:hint="eastAsia"/>
                <w:color w:val="auto"/>
              </w:rPr>
              <w:t>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p>
            <w:pPr>
              <w:autoSpaceDE w:val="0"/>
              <w:autoSpaceDN w:val="0"/>
              <w:adjustRightInd w:val="0"/>
              <w:spacing w:line="360" w:lineRule="auto"/>
              <w:jc w:val="left"/>
              <w:rPr>
                <w:rFonts w:hint="eastAsia"/>
                <w:color w:val="auto"/>
              </w:rPr>
            </w:pPr>
            <w:r>
              <w:rPr>
                <w:rFonts w:hint="eastAsia"/>
                <w:color w:val="auto"/>
                <w:lang w:val="en-US" w:eastAsia="zh-CN"/>
              </w:rPr>
              <w:t>法定代表</w:t>
            </w:r>
            <w:r>
              <w:rPr>
                <w:rFonts w:hint="eastAsia"/>
                <w:color w:val="auto"/>
              </w:rPr>
              <w:t>人身份证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71" w:type="dxa"/>
          </w:tcPr>
          <w:p>
            <w:pPr>
              <w:autoSpaceDE w:val="0"/>
              <w:autoSpaceDN w:val="0"/>
              <w:adjustRightInd w:val="0"/>
              <w:spacing w:line="360" w:lineRule="auto"/>
              <w:jc w:val="left"/>
              <w:rPr>
                <w:rFonts w:hint="eastAsia"/>
                <w:color w:val="auto"/>
              </w:rPr>
            </w:pPr>
            <w:r>
              <w:rPr>
                <w:rFonts w:hint="eastAsia"/>
                <w:b/>
                <w:bCs/>
                <w:color w:val="auto"/>
              </w:rPr>
              <w:t>注：如法定代表人直接参加磋商并签署响应文件，无须提供本授权书。</w:t>
            </w:r>
          </w:p>
        </w:tc>
      </w:tr>
    </w:tbl>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bookmarkStart w:id="133" w:name="_Toc30476"/>
      <w:bookmarkStart w:id="134" w:name="_Toc10986"/>
      <w:bookmarkStart w:id="135" w:name="_Toc479184127"/>
      <w:bookmarkStart w:id="136" w:name="_Toc424832832"/>
      <w:bookmarkStart w:id="137" w:name="_Toc30245"/>
      <w:bookmarkStart w:id="138" w:name="_Toc432149008"/>
      <w:bookmarkStart w:id="139" w:name="_Toc29904"/>
      <w:bookmarkStart w:id="140" w:name="_Toc360120184"/>
      <w:r>
        <w:rPr>
          <w:rFonts w:hint="eastAsia" w:asciiTheme="minorEastAsia" w:hAnsiTheme="minorEastAsia" w:eastAsiaTheme="minorEastAsia" w:cstheme="minorEastAsia"/>
          <w:b/>
          <w:bCs/>
          <w:color w:val="auto"/>
          <w:kern w:val="0"/>
          <w:szCs w:val="21"/>
          <w:lang w:val="en-US" w:eastAsia="zh-CN"/>
        </w:rPr>
        <w:br w:type="textWrapping"/>
      </w:r>
      <w:r>
        <w:rPr>
          <w:rFonts w:hint="eastAsia" w:asciiTheme="minorEastAsia" w:hAnsiTheme="minorEastAsia" w:eastAsiaTheme="minorEastAsia" w:cstheme="minorEastAsia"/>
          <w:b/>
          <w:bCs/>
          <w:color w:val="auto"/>
          <w:kern w:val="0"/>
          <w:szCs w:val="21"/>
          <w:lang w:val="en-US" w:eastAsia="zh-CN"/>
        </w:rPr>
        <w:br w:type="textWrapping"/>
      </w:r>
      <w:r>
        <w:rPr>
          <w:rFonts w:hint="eastAsia" w:asciiTheme="minorEastAsia" w:hAnsiTheme="minorEastAsia" w:eastAsiaTheme="minorEastAsia" w:cstheme="minorEastAsia"/>
          <w:b/>
          <w:bCs/>
          <w:color w:val="auto"/>
          <w:kern w:val="0"/>
          <w:szCs w:val="21"/>
          <w:lang w:val="en-US" w:eastAsia="zh-CN"/>
        </w:rPr>
        <w:t>四</w:t>
      </w: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b/>
          <w:bCs/>
          <w:color w:val="auto"/>
          <w:szCs w:val="21"/>
        </w:rPr>
        <w:t>法定代表人身份证明书</w:t>
      </w:r>
      <w:bookmarkEnd w:id="133"/>
      <w:bookmarkEnd w:id="134"/>
      <w:bookmarkEnd w:id="135"/>
      <w:bookmarkEnd w:id="136"/>
      <w:bookmarkEnd w:id="137"/>
      <w:bookmarkEnd w:id="138"/>
      <w:bookmarkEnd w:id="139"/>
      <w:bookmarkEnd w:id="140"/>
    </w:p>
    <w:p>
      <w:pPr>
        <w:spacing w:line="360" w:lineRule="auto"/>
        <w:rPr>
          <w:rFonts w:hint="eastAsia" w:asciiTheme="minorEastAsia" w:hAnsiTheme="minorEastAsia" w:eastAsiaTheme="minorEastAsia" w:cstheme="minorEastAsia"/>
          <w:color w:val="auto"/>
          <w:kern w:val="0"/>
          <w:szCs w:val="21"/>
        </w:rPr>
      </w:pP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兹证明</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（姓名）</w:t>
      </w:r>
      <w:r>
        <w:rPr>
          <w:rFonts w:hint="eastAsia" w:asciiTheme="minorEastAsia" w:hAnsiTheme="minorEastAsia" w:eastAsiaTheme="minorEastAsia" w:cstheme="minorEastAsia"/>
          <w:color w:val="auto"/>
          <w:szCs w:val="21"/>
        </w:rPr>
        <w:t>在我单位任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kern w:val="0"/>
          <w:szCs w:val="21"/>
        </w:rPr>
        <w:t>，系</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（供应商）的法定代表人。</w:t>
      </w:r>
    </w:p>
    <w:p>
      <w:pPr>
        <w:spacing w:line="360" w:lineRule="auto"/>
        <w:ind w:firstLine="630" w:firstLineChars="300"/>
        <w:rPr>
          <w:rFonts w:hint="eastAsia" w:asciiTheme="minorEastAsia" w:hAnsiTheme="minorEastAsia" w:eastAsiaTheme="minorEastAsia" w:cstheme="minorEastAsia"/>
          <w:color w:val="auto"/>
          <w:kern w:val="0"/>
          <w:szCs w:val="21"/>
        </w:rPr>
      </w:pP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供应商（盖章）：</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法定代表人（</w:t>
      </w:r>
      <w:r>
        <w:rPr>
          <w:rFonts w:hint="eastAsia" w:asciiTheme="minorEastAsia" w:hAnsiTheme="minorEastAsia" w:eastAsiaTheme="minorEastAsia" w:cstheme="minorEastAsia"/>
          <w:color w:val="auto"/>
          <w:kern w:val="0"/>
          <w:szCs w:val="21"/>
          <w:lang w:val="en-US" w:eastAsia="zh-CN"/>
        </w:rPr>
        <w:t>签字或盖</w:t>
      </w:r>
      <w:r>
        <w:rPr>
          <w:rFonts w:hint="eastAsia" w:asciiTheme="minorEastAsia" w:hAnsiTheme="minorEastAsia" w:eastAsiaTheme="minorEastAsia" w:cstheme="minorEastAsia"/>
          <w:color w:val="auto"/>
          <w:kern w:val="0"/>
          <w:szCs w:val="21"/>
        </w:rPr>
        <w:t>章）：</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性别：</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年龄：</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630" w:firstLineChars="30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身份证号码：</w:t>
      </w:r>
      <w:r>
        <w:rPr>
          <w:rFonts w:hint="eastAsia" w:asciiTheme="minorEastAsia" w:hAnsiTheme="minorEastAsia" w:eastAsiaTheme="minorEastAsia" w:cstheme="minorEastAsia"/>
          <w:color w:val="auto"/>
          <w:kern w:val="0"/>
          <w:szCs w:val="21"/>
          <w:u w:val="single"/>
        </w:rPr>
        <w:t xml:space="preserve">                  </w:t>
      </w:r>
    </w:p>
    <w:p>
      <w:pPr>
        <w:spacing w:line="360" w:lineRule="auto"/>
        <w:ind w:firstLine="5985" w:firstLineChars="2850"/>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年</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月</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日</w:t>
      </w: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p>
    <w:p>
      <w:pPr>
        <w:autoSpaceDE w:val="0"/>
        <w:autoSpaceDN w:val="0"/>
        <w:adjustRightInd w:val="0"/>
        <w:spacing w:line="360" w:lineRule="auto"/>
        <w:rPr>
          <w:rFonts w:hint="eastAsia" w:asciiTheme="minorEastAsia" w:hAnsiTheme="minorEastAsia" w:eastAsiaTheme="minorEastAsia" w:cstheme="minorEastAsia"/>
          <w:color w:val="auto"/>
          <w:kern w:val="0"/>
          <w:szCs w:val="21"/>
        </w:rPr>
      </w:pP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hint="eastAsia" w:asciiTheme="minorEastAsia" w:hAnsiTheme="minorEastAsia" w:eastAsiaTheme="minorEastAsia" w:cstheme="minorEastAsia"/>
                <w:color w:val="auto"/>
                <w:kern w:val="0"/>
                <w:szCs w:val="21"/>
              </w:rPr>
            </w:pPr>
          </w:p>
          <w:p>
            <w:pPr>
              <w:spacing w:line="360" w:lineRule="auto"/>
              <w:rPr>
                <w:rFonts w:hint="eastAsia" w:asciiTheme="minorEastAsia" w:hAnsiTheme="minorEastAsia" w:eastAsiaTheme="minorEastAsia" w:cstheme="minorEastAsia"/>
                <w:color w:val="auto"/>
                <w:kern w:val="0"/>
                <w:szCs w:val="21"/>
              </w:rPr>
            </w:pPr>
            <w:r>
              <w:rPr>
                <w:rFonts w:hint="eastAsia"/>
                <w:color w:val="auto"/>
              </w:rPr>
              <w:t>粘贴</w:t>
            </w:r>
            <w:r>
              <w:rPr>
                <w:rFonts w:hint="eastAsia"/>
                <w:color w:val="auto"/>
                <w:lang w:val="en-US" w:eastAsia="zh-CN"/>
              </w:rPr>
              <w:t>法定代表人</w:t>
            </w:r>
            <w:r>
              <w:rPr>
                <w:rFonts w:hint="eastAsia"/>
                <w:color w:val="auto"/>
              </w:rPr>
              <w:t>身份证</w:t>
            </w:r>
            <w:r>
              <w:rPr>
                <w:rFonts w:hint="eastAsia"/>
                <w:color w:val="auto"/>
                <w:lang w:val="en-US" w:eastAsia="zh-CN"/>
              </w:rPr>
              <w:t>正反面</w:t>
            </w:r>
            <w:r>
              <w:rPr>
                <w:rFonts w:hint="eastAsia"/>
                <w:color w:val="auto"/>
              </w:rPr>
              <w:t>（</w:t>
            </w:r>
            <w:r>
              <w:rPr>
                <w:rFonts w:hint="eastAsia"/>
                <w:color w:val="auto"/>
                <w:lang w:val="en-US" w:eastAsia="zh-CN"/>
              </w:rPr>
              <w:t>真彩扫描件</w:t>
            </w:r>
            <w:r>
              <w:rPr>
                <w:rFonts w:hint="eastAsia"/>
                <w:color w:val="auto"/>
              </w:rPr>
              <w:t>）：</w:t>
            </w:r>
          </w:p>
        </w:tc>
      </w:tr>
    </w:tbl>
    <w:p>
      <w:pPr>
        <w:spacing w:line="360" w:lineRule="auto"/>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注：本表适用于供应商不授权代理人，而由法定代表人直接参加磋商并签署响应文件的情况；</w:t>
      </w:r>
    </w:p>
    <w:p>
      <w:pPr>
        <w:rPr>
          <w:rFonts w:hint="eastAsia" w:asciiTheme="minorEastAsia" w:hAnsiTheme="minorEastAsia" w:eastAsiaTheme="minorEastAsia" w:cstheme="minorEastAsia"/>
          <w:b/>
          <w:color w:val="auto"/>
          <w:kern w:val="0"/>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bCs/>
          <w:color w:val="auto"/>
          <w:szCs w:val="21"/>
        </w:rPr>
      </w:pPr>
    </w:p>
    <w:p>
      <w:pPr>
        <w:tabs>
          <w:tab w:val="left" w:pos="3969"/>
        </w:tabs>
        <w:spacing w:line="500" w:lineRule="exact"/>
        <w:rPr>
          <w:rFonts w:hint="eastAsia" w:asciiTheme="minorEastAsia" w:hAnsiTheme="minorEastAsia" w:eastAsiaTheme="minorEastAsia" w:cstheme="minorEastAsia"/>
          <w:color w:val="auto"/>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bookmarkStart w:id="141" w:name="_Toc422466732"/>
      <w:bookmarkStart w:id="142" w:name="_Toc432149006"/>
      <w:r>
        <w:rPr>
          <w:rFonts w:hint="eastAsia" w:asciiTheme="minorEastAsia" w:hAnsiTheme="minorEastAsia" w:eastAsiaTheme="minorEastAsia" w:cstheme="minorEastAsia"/>
          <w:b/>
          <w:bCs/>
          <w:color w:val="auto"/>
          <w:sz w:val="24"/>
        </w:rPr>
        <w:br w:type="page"/>
      </w:r>
      <w:bookmarkStart w:id="143" w:name="_Toc4301"/>
      <w:bookmarkStart w:id="144" w:name="_Toc19882"/>
      <w:bookmarkStart w:id="145" w:name="_Toc4741"/>
      <w:bookmarkStart w:id="146" w:name="_Toc479184128"/>
      <w:r>
        <w:rPr>
          <w:rFonts w:hint="eastAsia" w:asciiTheme="minorEastAsia" w:hAnsiTheme="minorEastAsia" w:eastAsiaTheme="minorEastAsia" w:cstheme="minorEastAsia"/>
          <w:b/>
          <w:bCs/>
          <w:color w:val="auto"/>
          <w:szCs w:val="21"/>
          <w:lang w:val="en-US" w:eastAsia="zh-CN"/>
        </w:rPr>
        <w:t>五</w:t>
      </w:r>
      <w:r>
        <w:rPr>
          <w:rFonts w:hint="eastAsia" w:asciiTheme="minorEastAsia" w:hAnsiTheme="minorEastAsia" w:eastAsiaTheme="minorEastAsia" w:cstheme="minorEastAsia"/>
          <w:b/>
          <w:bCs/>
          <w:color w:val="auto"/>
          <w:szCs w:val="21"/>
        </w:rPr>
        <w:t>、报价一览表</w:t>
      </w:r>
      <w:bookmarkEnd w:id="141"/>
      <w:bookmarkEnd w:id="142"/>
      <w:bookmarkEnd w:id="143"/>
      <w:bookmarkEnd w:id="144"/>
      <w:bookmarkEnd w:id="145"/>
      <w:bookmarkEnd w:id="146"/>
    </w:p>
    <w:p>
      <w:pPr>
        <w:adjustRightInd w:val="0"/>
        <w:snapToGrid w:val="0"/>
        <w:ind w:left="-88" w:leftChars="-42"/>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rPr>
        <w:t xml:space="preserve">            </w:t>
      </w:r>
    </w:p>
    <w:p>
      <w:pPr>
        <w:adjustRightInd w:val="0"/>
        <w:snapToGrid w:val="0"/>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tbl>
      <w:tblPr>
        <w:tblStyle w:val="26"/>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宋体" w:hAnsi="宋体"/>
                <w:color w:val="auto"/>
                <w:szCs w:val="21"/>
                <w:lang w:val="en-US" w:eastAsia="zh-CN"/>
              </w:rPr>
              <w:t>供应商</w:t>
            </w:r>
            <w:r>
              <w:rPr>
                <w:rFonts w:hint="eastAsia" w:ascii="宋体" w:hAnsi="宋体"/>
                <w:color w:val="auto"/>
                <w:szCs w:val="21"/>
              </w:rPr>
              <w:t>地址</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lang w:val="en-US" w:eastAsia="zh-CN"/>
              </w:rPr>
              <w:t>竞标</w:t>
            </w:r>
            <w:r>
              <w:rPr>
                <w:rFonts w:hint="eastAsia" w:asciiTheme="minorEastAsia" w:hAnsiTheme="minorEastAsia" w:eastAsiaTheme="minorEastAsia" w:cstheme="minorEastAsia"/>
                <w:bCs/>
                <w:color w:val="auto"/>
                <w:szCs w:val="21"/>
              </w:rPr>
              <w:t>报价</w:t>
            </w:r>
          </w:p>
        </w:tc>
        <w:tc>
          <w:tcPr>
            <w:tcW w:w="6166"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inorEastAsia" w:hAnsiTheme="minorEastAsia" w:eastAsiaTheme="minorEastAsia" w:cstheme="minorEastAsia"/>
                <w:color w:val="auto"/>
                <w:szCs w:val="21"/>
                <w:lang w:val="en-US" w:eastAsia="zh-CN"/>
              </w:rPr>
            </w:pPr>
            <w:r>
              <w:rPr>
                <w:rFonts w:hint="eastAsia" w:ascii="宋体" w:hAnsi="宋体"/>
                <w:color w:val="auto"/>
                <w:kern w:val="2"/>
                <w:sz w:val="21"/>
                <w:szCs w:val="21"/>
                <w:u w:val="single"/>
                <w:lang w:val="en-US" w:eastAsia="zh-CN"/>
              </w:rPr>
              <w:t xml:space="preserve">     </w:t>
            </w:r>
            <w:r>
              <w:rPr>
                <w:rFonts w:hint="eastAsia" w:ascii="宋体" w:hAnsi="宋体"/>
                <w:color w:val="auto"/>
                <w:kern w:val="2"/>
                <w:sz w:val="21"/>
                <w:szCs w:val="21"/>
              </w:rPr>
              <w:t>元/人/套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主要产品概况</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请填写本项目主要产品的品牌、规格型号和制造商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交货期</w:t>
            </w:r>
          </w:p>
        </w:tc>
        <w:tc>
          <w:tcPr>
            <w:tcW w:w="61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质保期/保修期</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优惠声明（如有）</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rPr>
                <w:rFonts w:hint="eastAsia"/>
                <w:color w:val="auto"/>
                <w:lang w:val="en-US" w:eastAsia="zh-CN"/>
              </w:rPr>
            </w:pPr>
            <w:r>
              <w:rPr>
                <w:rFonts w:hint="eastAsia" w:asciiTheme="minorEastAsia" w:hAnsiTheme="minorEastAsia" w:eastAsiaTheme="minorEastAsia" w:cstheme="minorEastAsia"/>
                <w:color w:val="auto"/>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rPr>
                <w:rFonts w:hint="eastAsia"/>
                <w:color w:val="auto"/>
                <w:lang w:val="en-US" w:eastAsia="zh-CN"/>
              </w:rPr>
            </w:pPr>
          </w:p>
        </w:tc>
      </w:tr>
    </w:tbl>
    <w:p>
      <w:p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说明</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rPr>
        <w:t>人民币报价。</w:t>
      </w:r>
    </w:p>
    <w:p>
      <w:pPr>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（2）价格应按照“供应商须知” 的要求报价。</w:t>
      </w:r>
    </w:p>
    <w:p>
      <w:pPr>
        <w:spacing w:line="360" w:lineRule="auto"/>
        <w:ind w:firstLine="525"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（3）此表除保留在竞争性磋商响应文件中外，另复制一份与法定代表人授权书（原件）、保证金缴纳证明</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如有</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（复印件）及报价优惠声明</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如有</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一起另外密封装在一个小信封中，作为</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记录之用。</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磋商供应商法定代表人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color w:val="auto"/>
          <w:szCs w:val="21"/>
          <w:u w:val="single"/>
        </w:rPr>
      </w:pPr>
      <w:bookmarkStart w:id="147" w:name="_Toc259028723"/>
      <w:bookmarkStart w:id="148" w:name="_Toc460258117"/>
      <w:bookmarkStart w:id="149" w:name="_Toc432149007"/>
      <w:bookmarkStart w:id="150" w:name="_Toc424832831"/>
      <w:r>
        <w:rPr>
          <w:rFonts w:hint="eastAsia" w:asciiTheme="minorEastAsia" w:hAnsiTheme="minorEastAsia" w:eastAsiaTheme="minorEastAsia" w:cstheme="minorEastAsia"/>
          <w:b/>
          <w:bCs/>
          <w:color w:val="auto"/>
          <w:sz w:val="24"/>
        </w:rPr>
        <w:br w:type="page"/>
      </w:r>
      <w:bookmarkStart w:id="151" w:name="_Toc479184129"/>
      <w:bookmarkStart w:id="152" w:name="_Toc1079"/>
      <w:bookmarkStart w:id="153" w:name="_Toc18559"/>
      <w:bookmarkStart w:id="154" w:name="_Toc3144"/>
      <w:r>
        <w:rPr>
          <w:rFonts w:hint="eastAsia" w:asciiTheme="minorEastAsia" w:hAnsiTheme="minorEastAsia" w:eastAsiaTheme="minorEastAsia" w:cstheme="minorEastAsia"/>
          <w:b/>
          <w:bCs/>
          <w:color w:val="auto"/>
          <w:szCs w:val="21"/>
          <w:lang w:val="en-US" w:eastAsia="zh-CN"/>
        </w:rPr>
        <w:t>六</w:t>
      </w:r>
      <w:r>
        <w:rPr>
          <w:rFonts w:hint="eastAsia" w:asciiTheme="minorEastAsia" w:hAnsiTheme="minorEastAsia" w:eastAsiaTheme="minorEastAsia" w:cstheme="minorEastAsia"/>
          <w:b/>
          <w:bCs/>
          <w:color w:val="auto"/>
          <w:szCs w:val="21"/>
        </w:rPr>
        <w:t>、</w:t>
      </w:r>
      <w:bookmarkEnd w:id="147"/>
      <w:bookmarkEnd w:id="148"/>
      <w:bookmarkEnd w:id="151"/>
      <w:bookmarkEnd w:id="152"/>
      <w:bookmarkEnd w:id="153"/>
      <w:r>
        <w:rPr>
          <w:rFonts w:hint="eastAsia" w:asciiTheme="minorEastAsia" w:hAnsiTheme="minorEastAsia" w:eastAsiaTheme="minorEastAsia" w:cstheme="minorEastAsia"/>
          <w:b/>
          <w:bCs/>
          <w:color w:val="auto"/>
          <w:szCs w:val="21"/>
          <w:lang w:eastAsia="zh-CN"/>
        </w:rPr>
        <w:t>报价费用构成表</w:t>
      </w:r>
      <w:bookmarkEnd w:id="154"/>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项目名称：</w:t>
      </w:r>
      <w:r>
        <w:rPr>
          <w:rFonts w:hint="eastAsia" w:asciiTheme="minorEastAsia" w:hAnsiTheme="minorEastAsia" w:eastAsiaTheme="minorEastAsia" w:cstheme="minorEastAsia"/>
          <w:color w:val="auto"/>
          <w:szCs w:val="21"/>
          <w:u w:val="single"/>
        </w:rPr>
        <w:t xml:space="preserve">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u w:val="single"/>
        </w:rPr>
        <w:t xml:space="preserve">                         </w:t>
      </w:r>
    </w:p>
    <w:tbl>
      <w:tblPr>
        <w:tblStyle w:val="26"/>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78"/>
        <w:gridCol w:w="1875"/>
        <w:gridCol w:w="1428"/>
        <w:gridCol w:w="741"/>
        <w:gridCol w:w="828"/>
        <w:gridCol w:w="736"/>
        <w:gridCol w:w="72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名称</w:t>
            </w: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规格型号（如有）</w:t>
            </w: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制造商名称（如有）</w:t>
            </w: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产地</w:t>
            </w: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数量</w:t>
            </w: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单价</w:t>
            </w: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总价</w:t>
            </w: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78" w:type="dxa"/>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875"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14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509" w:type="dxa"/>
            <w:gridSpan w:val="4"/>
            <w:vAlign w:val="center"/>
          </w:tcPr>
          <w:p>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总计</w:t>
            </w:r>
          </w:p>
        </w:tc>
        <w:tc>
          <w:tcPr>
            <w:tcW w:w="741"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828"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36"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27" w:type="dxa"/>
            <w:vAlign w:val="center"/>
          </w:tcPr>
          <w:p>
            <w:pPr>
              <w:adjustRightInd w:val="0"/>
              <w:snapToGrid w:val="0"/>
              <w:jc w:val="center"/>
              <w:rPr>
                <w:rFonts w:hint="eastAsia" w:asciiTheme="minorEastAsia" w:hAnsiTheme="minorEastAsia" w:eastAsiaTheme="minorEastAsia" w:cstheme="minorEastAsia"/>
                <w:color w:val="auto"/>
                <w:szCs w:val="21"/>
              </w:rPr>
            </w:pPr>
          </w:p>
        </w:tc>
        <w:tc>
          <w:tcPr>
            <w:tcW w:w="719" w:type="dxa"/>
            <w:vAlign w:val="center"/>
          </w:tcPr>
          <w:p>
            <w:pPr>
              <w:adjustRightInd w:val="0"/>
              <w:snapToGrid w:val="0"/>
              <w:jc w:val="center"/>
              <w:rPr>
                <w:rFonts w:hint="eastAsia" w:asciiTheme="minorEastAsia" w:hAnsiTheme="minorEastAsia" w:eastAsiaTheme="minorEastAsia" w:cstheme="minorEastAsia"/>
                <w:color w:val="auto"/>
                <w:szCs w:val="21"/>
              </w:rPr>
            </w:pPr>
          </w:p>
        </w:tc>
      </w:tr>
    </w:tbl>
    <w:p>
      <w:pPr>
        <w:adjustRightInd w:val="0"/>
        <w:snapToGrid w:val="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p>
      <w:pPr>
        <w:numPr>
          <w:ilvl w:val="0"/>
          <w:numId w:val="42"/>
        </w:num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所有价格按照“供应商须知”要求执行，精确到个数位。</w:t>
      </w:r>
    </w:p>
    <w:p>
      <w:pPr>
        <w:numPr>
          <w:ilvl w:val="0"/>
          <w:numId w:val="42"/>
        </w:num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分项报价总计价格必须与《报价一览表》报价一致。</w:t>
      </w:r>
    </w:p>
    <w:p>
      <w:pPr>
        <w:numPr>
          <w:ilvl w:val="0"/>
          <w:numId w:val="42"/>
        </w:num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如果不提供详细的报价费用构成可能将被视为没有实质性响应</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文件。</w:t>
      </w:r>
    </w:p>
    <w:p>
      <w:pPr>
        <w:adjustRightInd w:val="0"/>
        <w:snapToGrid w:val="0"/>
        <w:spacing w:line="360" w:lineRule="auto"/>
        <w:ind w:left="-88" w:leftChars="-42"/>
        <w:rPr>
          <w:rFonts w:hint="eastAsia" w:asciiTheme="minorEastAsia" w:hAnsiTheme="minorEastAsia" w:eastAsiaTheme="minorEastAsia" w:cstheme="minorEastAsia"/>
          <w:b/>
          <w:bCs/>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磋商供应商法定代表人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360" w:lineRule="auto"/>
        <w:rPr>
          <w:rFonts w:hint="eastAsia" w:asciiTheme="minorEastAsia" w:hAnsiTheme="minorEastAsia" w:eastAsiaTheme="minorEastAsia" w:cstheme="minorEastAsia"/>
          <w:color w:val="auto"/>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br w:type="page"/>
      </w:r>
      <w:bookmarkStart w:id="155" w:name="_Toc28656"/>
      <w:bookmarkStart w:id="156" w:name="_Toc66"/>
      <w:bookmarkStart w:id="157" w:name="_Toc479184130"/>
      <w:bookmarkStart w:id="158" w:name="_Toc26825"/>
      <w:r>
        <w:rPr>
          <w:rFonts w:hint="eastAsia" w:asciiTheme="minorEastAsia" w:hAnsiTheme="minorEastAsia" w:eastAsiaTheme="minorEastAsia" w:cstheme="minorEastAsia"/>
          <w:b/>
          <w:bCs/>
          <w:color w:val="auto"/>
          <w:szCs w:val="21"/>
          <w:lang w:val="en-US" w:eastAsia="zh-CN"/>
        </w:rPr>
        <w:t>七</w:t>
      </w:r>
      <w:r>
        <w:rPr>
          <w:rFonts w:hint="eastAsia" w:asciiTheme="minorEastAsia" w:hAnsiTheme="minorEastAsia" w:eastAsiaTheme="minorEastAsia" w:cstheme="minorEastAsia"/>
          <w:b/>
          <w:bCs/>
          <w:color w:val="auto"/>
          <w:szCs w:val="21"/>
        </w:rPr>
        <w:t>、耗材清单</w:t>
      </w:r>
      <w:bookmarkEnd w:id="155"/>
      <w:bookmarkEnd w:id="156"/>
      <w:bookmarkEnd w:id="157"/>
      <w:bookmarkEnd w:id="158"/>
    </w:p>
    <w:p>
      <w:pPr>
        <w:adjustRightInd w:val="0"/>
        <w:snapToGrid w:val="0"/>
        <w:rPr>
          <w:rFonts w:hint="eastAsia" w:asciiTheme="minorEastAsia" w:hAnsiTheme="minorEastAsia" w:eastAsiaTheme="minorEastAsia" w:cstheme="minorEastAsia"/>
          <w:b/>
          <w:color w:val="auto"/>
          <w:szCs w:val="21"/>
        </w:rPr>
      </w:pP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295"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耗材名称</w:t>
            </w:r>
          </w:p>
        </w:tc>
        <w:tc>
          <w:tcPr>
            <w:tcW w:w="1512"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规格型号</w:t>
            </w:r>
          </w:p>
        </w:tc>
        <w:tc>
          <w:tcPr>
            <w:tcW w:w="1512"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制造商名称</w:t>
            </w:r>
          </w:p>
        </w:tc>
        <w:tc>
          <w:tcPr>
            <w:tcW w:w="1513"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产地</w:t>
            </w:r>
          </w:p>
        </w:tc>
        <w:tc>
          <w:tcPr>
            <w:tcW w:w="70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w:t>
            </w:r>
          </w:p>
        </w:tc>
        <w:tc>
          <w:tcPr>
            <w:tcW w:w="958"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left"/>
              <w:rPr>
                <w:rFonts w:hint="eastAsia" w:asciiTheme="minorEastAsia" w:hAnsiTheme="minorEastAsia" w:eastAsiaTheme="minorEastAsia" w:cstheme="minorEastAsia"/>
                <w:color w:val="auto"/>
                <w:kern w:val="0"/>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color w:val="auto"/>
          <w:szCs w:val="21"/>
        </w:rPr>
      </w:pPr>
    </w:p>
    <w:p>
      <w:pPr>
        <w:outlineLvl w:val="9"/>
        <w:rPr>
          <w:rFonts w:hint="eastAsia"/>
          <w:color w:val="auto"/>
        </w:rPr>
      </w:pPr>
    </w:p>
    <w:p>
      <w:pPr>
        <w:tabs>
          <w:tab w:val="left" w:pos="540"/>
        </w:tabs>
        <w:autoSpaceDE w:val="0"/>
        <w:autoSpaceDN w:val="0"/>
        <w:adjustRightInd w:val="0"/>
        <w:spacing w:line="360" w:lineRule="auto"/>
        <w:jc w:val="left"/>
        <w:outlineLvl w:val="9"/>
        <w:rPr>
          <w:rFonts w:hint="eastAsia" w:asciiTheme="minorEastAsia" w:hAnsiTheme="minorEastAsia" w:eastAsiaTheme="minorEastAsia" w:cstheme="minorEastAsia"/>
          <w:color w:val="auto"/>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br w:type="page"/>
      </w:r>
      <w:bookmarkStart w:id="159" w:name="_Toc479184131"/>
      <w:bookmarkStart w:id="160" w:name="_Toc32726"/>
      <w:bookmarkStart w:id="161" w:name="_Toc7535"/>
      <w:bookmarkStart w:id="162" w:name="_Toc26501"/>
      <w:r>
        <w:rPr>
          <w:rFonts w:hint="eastAsia" w:asciiTheme="minorEastAsia" w:hAnsiTheme="minorEastAsia" w:eastAsiaTheme="minorEastAsia" w:cstheme="minorEastAsia"/>
          <w:b/>
          <w:bCs/>
          <w:color w:val="auto"/>
          <w:szCs w:val="21"/>
          <w:lang w:val="en-US" w:eastAsia="zh-CN"/>
        </w:rPr>
        <w:t>八、拟投入设备/备件、工具情况</w:t>
      </w:r>
      <w:bookmarkEnd w:id="159"/>
      <w:bookmarkEnd w:id="160"/>
      <w:bookmarkEnd w:id="161"/>
      <w:bookmarkEnd w:id="162"/>
    </w:p>
    <w:p>
      <w:pPr>
        <w:spacing w:line="360" w:lineRule="auto"/>
        <w:rPr>
          <w:rFonts w:hint="eastAsia" w:asciiTheme="minorEastAsia" w:hAnsiTheme="minorEastAsia" w:eastAsiaTheme="minorEastAsia" w:cstheme="minorEastAsia"/>
          <w:color w:val="auto"/>
          <w:szCs w:val="21"/>
        </w:rPr>
      </w:pP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95"/>
        <w:gridCol w:w="1512"/>
        <w:gridCol w:w="1512"/>
        <w:gridCol w:w="1513"/>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295"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lang w:val="en-US" w:eastAsia="zh-CN"/>
              </w:rPr>
              <w:t>设备</w:t>
            </w:r>
            <w:r>
              <w:rPr>
                <w:rFonts w:hint="eastAsia" w:asciiTheme="minorEastAsia" w:hAnsiTheme="minorEastAsia" w:eastAsiaTheme="minorEastAsia" w:cstheme="minorEastAsia"/>
                <w:b/>
                <w:bCs/>
                <w:color w:val="auto"/>
                <w:szCs w:val="21"/>
                <w:lang w:val="en-US" w:eastAsia="zh-CN"/>
              </w:rPr>
              <w:t>/备件</w:t>
            </w:r>
            <w:r>
              <w:rPr>
                <w:rFonts w:hint="eastAsia" w:asciiTheme="minorEastAsia" w:hAnsiTheme="minorEastAsia" w:eastAsiaTheme="minorEastAsia" w:cstheme="minorEastAsia"/>
                <w:b/>
                <w:color w:val="auto"/>
                <w:szCs w:val="21"/>
              </w:rPr>
              <w:t>名称</w:t>
            </w:r>
          </w:p>
        </w:tc>
        <w:tc>
          <w:tcPr>
            <w:tcW w:w="1512"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规格型号</w:t>
            </w:r>
          </w:p>
        </w:tc>
        <w:tc>
          <w:tcPr>
            <w:tcW w:w="1512"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制造商名称</w:t>
            </w:r>
          </w:p>
        </w:tc>
        <w:tc>
          <w:tcPr>
            <w:tcW w:w="1513" w:type="dxa"/>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产地</w:t>
            </w:r>
          </w:p>
        </w:tc>
        <w:tc>
          <w:tcPr>
            <w:tcW w:w="709"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数量</w:t>
            </w:r>
          </w:p>
        </w:tc>
        <w:tc>
          <w:tcPr>
            <w:tcW w:w="958" w:type="dxa"/>
            <w:vAlign w:val="center"/>
          </w:tcPr>
          <w:p>
            <w:pPr>
              <w:widowControl/>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left"/>
              <w:rPr>
                <w:rFonts w:hint="eastAsia" w:asciiTheme="minorEastAsia" w:hAnsiTheme="minorEastAsia" w:eastAsiaTheme="minorEastAsia" w:cstheme="minorEastAsia"/>
                <w:color w:val="auto"/>
                <w:kern w:val="0"/>
                <w:szCs w:val="21"/>
              </w:rPr>
            </w:pPr>
          </w:p>
        </w:tc>
        <w:tc>
          <w:tcPr>
            <w:tcW w:w="1512" w:type="dxa"/>
          </w:tcPr>
          <w:p>
            <w:pPr>
              <w:widowControl/>
              <w:jc w:val="center"/>
              <w:rPr>
                <w:rFonts w:hint="eastAsia" w:asciiTheme="minorEastAsia" w:hAnsiTheme="minorEastAsia" w:eastAsiaTheme="minorEastAsia" w:cstheme="minorEastAsia"/>
                <w:color w:val="auto"/>
                <w:szCs w:val="21"/>
              </w:rPr>
            </w:pPr>
          </w:p>
        </w:tc>
        <w:tc>
          <w:tcPr>
            <w:tcW w:w="1513" w:type="dxa"/>
          </w:tcPr>
          <w:p>
            <w:pPr>
              <w:widowControl/>
              <w:jc w:val="center"/>
              <w:rPr>
                <w:rFonts w:hint="eastAsia" w:asciiTheme="minorEastAsia" w:hAnsiTheme="minorEastAsia" w:eastAsiaTheme="minorEastAsia" w:cstheme="minorEastAsia"/>
                <w:color w:val="auto"/>
                <w:szCs w:val="21"/>
              </w:rPr>
            </w:pPr>
          </w:p>
        </w:tc>
        <w:tc>
          <w:tcPr>
            <w:tcW w:w="709" w:type="dxa"/>
            <w:vAlign w:val="center"/>
          </w:tcPr>
          <w:p>
            <w:pPr>
              <w:widowControl/>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10</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12</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89" w:type="dxa"/>
            <w:vAlign w:val="center"/>
          </w:tcPr>
          <w:p>
            <w:pPr>
              <w:widowControl/>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p>
        </w:tc>
        <w:tc>
          <w:tcPr>
            <w:tcW w:w="2295" w:type="dxa"/>
            <w:vAlign w:val="center"/>
          </w:tcPr>
          <w:p>
            <w:pPr>
              <w:widowControl/>
              <w:jc w:val="center"/>
              <w:rPr>
                <w:rFonts w:hint="eastAsia" w:asciiTheme="minorEastAsia" w:hAnsiTheme="minorEastAsia" w:eastAsiaTheme="minorEastAsia" w:cstheme="minorEastAsia"/>
                <w:color w:val="auto"/>
                <w:szCs w:val="21"/>
              </w:rPr>
            </w:pPr>
          </w:p>
        </w:tc>
        <w:tc>
          <w:tcPr>
            <w:tcW w:w="1512" w:type="dxa"/>
            <w:vAlign w:val="center"/>
          </w:tcPr>
          <w:p>
            <w:pPr>
              <w:widowControl/>
              <w:jc w:val="center"/>
              <w:rPr>
                <w:rFonts w:hint="eastAsia" w:asciiTheme="minorEastAsia" w:hAnsiTheme="minorEastAsia" w:eastAsiaTheme="minorEastAsia" w:cstheme="minorEastAsia"/>
                <w:color w:val="auto"/>
                <w:szCs w:val="21"/>
              </w:rPr>
            </w:pPr>
          </w:p>
        </w:tc>
        <w:tc>
          <w:tcPr>
            <w:tcW w:w="1512" w:type="dxa"/>
          </w:tcPr>
          <w:p>
            <w:pPr>
              <w:jc w:val="center"/>
              <w:rPr>
                <w:rFonts w:hint="eastAsia" w:asciiTheme="minorEastAsia" w:hAnsiTheme="minorEastAsia" w:eastAsiaTheme="minorEastAsia" w:cstheme="minorEastAsia"/>
                <w:color w:val="auto"/>
                <w:szCs w:val="21"/>
              </w:rPr>
            </w:pPr>
          </w:p>
        </w:tc>
        <w:tc>
          <w:tcPr>
            <w:tcW w:w="1513" w:type="dxa"/>
          </w:tcPr>
          <w:p>
            <w:pPr>
              <w:jc w:val="center"/>
              <w:rPr>
                <w:rFonts w:hint="eastAsia" w:asciiTheme="minorEastAsia" w:hAnsiTheme="minorEastAsia" w:eastAsiaTheme="minorEastAsia" w:cstheme="minorEastAsia"/>
                <w:color w:val="auto"/>
                <w:szCs w:val="21"/>
              </w:rPr>
            </w:pPr>
          </w:p>
        </w:tc>
        <w:tc>
          <w:tcPr>
            <w:tcW w:w="709" w:type="dxa"/>
            <w:vAlign w:val="center"/>
          </w:tcPr>
          <w:p>
            <w:pPr>
              <w:jc w:val="center"/>
              <w:rPr>
                <w:rFonts w:hint="eastAsia" w:asciiTheme="minorEastAsia" w:hAnsiTheme="minorEastAsia" w:eastAsiaTheme="minorEastAsia" w:cstheme="minorEastAsia"/>
                <w:color w:val="auto"/>
                <w:szCs w:val="21"/>
              </w:rPr>
            </w:pPr>
          </w:p>
        </w:tc>
        <w:tc>
          <w:tcPr>
            <w:tcW w:w="958" w:type="dxa"/>
            <w:vAlign w:val="center"/>
          </w:tcPr>
          <w:p>
            <w:pPr>
              <w:widowControl/>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p>
    <w:p>
      <w:pPr>
        <w:outlineLvl w:val="9"/>
        <w:rPr>
          <w:rFonts w:hint="eastAsia"/>
          <w:color w:val="auto"/>
          <w:lang w:eastAsia="zh-CN"/>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color w:val="auto"/>
          <w:szCs w:val="21"/>
        </w:rPr>
        <w:br w:type="page"/>
      </w:r>
      <w:bookmarkStart w:id="163" w:name="_Toc10449"/>
      <w:bookmarkStart w:id="164" w:name="_Toc479184132"/>
      <w:bookmarkStart w:id="165" w:name="_Toc27053"/>
      <w:bookmarkStart w:id="166" w:name="_Toc450827818"/>
      <w:bookmarkStart w:id="167" w:name="_Toc12313"/>
      <w:r>
        <w:rPr>
          <w:rFonts w:hint="eastAsia" w:asciiTheme="minorEastAsia" w:hAnsiTheme="minorEastAsia" w:eastAsiaTheme="minorEastAsia" w:cstheme="minorEastAsia"/>
          <w:b/>
          <w:bCs/>
          <w:color w:val="auto"/>
          <w:szCs w:val="21"/>
          <w:lang w:val="en-US" w:eastAsia="zh-CN"/>
        </w:rPr>
        <w:t>九</w:t>
      </w:r>
      <w:r>
        <w:rPr>
          <w:rFonts w:hint="eastAsia" w:asciiTheme="minorEastAsia" w:hAnsiTheme="minorEastAsia" w:eastAsiaTheme="minorEastAsia" w:cstheme="minorEastAsia"/>
          <w:b/>
          <w:bCs/>
          <w:color w:val="auto"/>
          <w:szCs w:val="21"/>
        </w:rPr>
        <w:t>、</w:t>
      </w:r>
      <w:r>
        <w:rPr>
          <w:rFonts w:hint="eastAsia" w:asciiTheme="minorEastAsia" w:hAnsiTheme="minorEastAsia" w:eastAsiaTheme="minorEastAsia" w:cstheme="minorEastAsia"/>
          <w:b/>
          <w:bCs/>
          <w:color w:val="auto"/>
          <w:szCs w:val="21"/>
          <w:lang w:eastAsia="zh-CN"/>
        </w:rPr>
        <w:t>缴纳</w:t>
      </w:r>
      <w:r>
        <w:rPr>
          <w:rFonts w:hint="eastAsia" w:asciiTheme="minorEastAsia" w:hAnsiTheme="minorEastAsia" w:eastAsiaTheme="minorEastAsia" w:cstheme="minorEastAsia"/>
          <w:b/>
          <w:bCs/>
          <w:color w:val="auto"/>
          <w:szCs w:val="21"/>
        </w:rPr>
        <w:t>保证金的银行凭证</w:t>
      </w:r>
      <w:bookmarkEnd w:id="163"/>
      <w:bookmarkEnd w:id="164"/>
      <w:bookmarkEnd w:id="165"/>
      <w:bookmarkEnd w:id="166"/>
      <w:r>
        <w:rPr>
          <w:rFonts w:hint="eastAsia" w:asciiTheme="minorEastAsia" w:hAnsiTheme="minorEastAsia" w:eastAsiaTheme="minorEastAsia" w:cstheme="minorEastAsia"/>
          <w:b/>
          <w:bCs/>
          <w:color w:val="auto"/>
          <w:szCs w:val="21"/>
          <w:lang w:eastAsia="zh-CN"/>
        </w:rPr>
        <w:t>（</w:t>
      </w:r>
      <w:r>
        <w:rPr>
          <w:rFonts w:hint="eastAsia" w:asciiTheme="minorEastAsia" w:hAnsiTheme="minorEastAsia" w:eastAsiaTheme="minorEastAsia" w:cstheme="minorEastAsia"/>
          <w:b/>
          <w:bCs/>
          <w:color w:val="auto"/>
          <w:szCs w:val="21"/>
          <w:lang w:val="en-US" w:eastAsia="zh-CN"/>
        </w:rPr>
        <w:t>如有</w:t>
      </w:r>
      <w:r>
        <w:rPr>
          <w:rFonts w:hint="eastAsia" w:asciiTheme="minorEastAsia" w:hAnsiTheme="minorEastAsia" w:eastAsiaTheme="minorEastAsia" w:cstheme="minorEastAsia"/>
          <w:b/>
          <w:bCs/>
          <w:color w:val="auto"/>
          <w:szCs w:val="21"/>
          <w:lang w:eastAsia="zh-CN"/>
        </w:rPr>
        <w:t>）</w:t>
      </w:r>
      <w:bookmarkEnd w:id="167"/>
    </w:p>
    <w:p>
      <w:pPr>
        <w:spacing w:line="360" w:lineRule="auto"/>
        <w:jc w:val="cente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ab/>
      </w:r>
      <w:r>
        <w:rPr>
          <w:rFonts w:hint="eastAsia" w:asciiTheme="minorEastAsia" w:hAnsiTheme="minorEastAsia" w:eastAsiaTheme="minorEastAsia" w:cstheme="minorEastAsia"/>
          <w:bCs/>
          <w:color w:val="auto"/>
          <w:szCs w:val="21"/>
        </w:rPr>
        <w:t xml:space="preserve">         </w:t>
      </w:r>
    </w:p>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中经国际招标集团有限公司：</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      </w:t>
      </w:r>
      <w:r>
        <w:rPr>
          <w:rFonts w:hint="eastAsia" w:asciiTheme="minorEastAsia" w:hAnsiTheme="minorEastAsia" w:eastAsiaTheme="minorEastAsia" w:cstheme="minorEastAsia"/>
          <w:bCs/>
          <w:color w:val="auto"/>
          <w:szCs w:val="21"/>
          <w:u w:val="single"/>
        </w:rPr>
        <w:t xml:space="preserve">                       (供应商全称)</w:t>
      </w:r>
      <w:r>
        <w:rPr>
          <w:rFonts w:hint="eastAsia" w:asciiTheme="minorEastAsia" w:hAnsiTheme="minorEastAsia" w:eastAsiaTheme="minorEastAsia" w:cstheme="minorEastAsia"/>
          <w:bCs/>
          <w:color w:val="auto"/>
          <w:szCs w:val="21"/>
        </w:rPr>
        <w:t xml:space="preserve"> 参加贵方组织的，采购编号为</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的采购活动。</w:t>
      </w:r>
      <w:r>
        <w:rPr>
          <w:rFonts w:hint="eastAsia" w:asciiTheme="minorEastAsia" w:hAnsiTheme="minorEastAsia" w:eastAsiaTheme="minorEastAsia" w:cstheme="minorEastAsia"/>
          <w:color w:val="auto"/>
          <w:szCs w:val="21"/>
        </w:rPr>
        <w:t>按竞争性磋商文件的规定，已递交人民币</w:t>
      </w:r>
      <w:r>
        <w:rPr>
          <w:rFonts w:hint="eastAsia" w:asciiTheme="minorEastAsia" w:hAnsiTheme="minorEastAsia" w:eastAsiaTheme="minorEastAsia" w:cstheme="minorEastAsia"/>
          <w:color w:val="auto"/>
          <w:szCs w:val="21"/>
          <w:u w:val="single"/>
        </w:rPr>
        <w:t xml:space="preserve">（大写）  　　 </w:t>
      </w:r>
      <w:r>
        <w:rPr>
          <w:rFonts w:hint="eastAsia" w:asciiTheme="minorEastAsia" w:hAnsiTheme="minorEastAsia" w:eastAsiaTheme="minorEastAsia" w:cstheme="minorEastAsia"/>
          <w:color w:val="auto"/>
          <w:szCs w:val="21"/>
        </w:rPr>
        <w:t xml:space="preserve"> 元的保证金。</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 应 商 名 称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供应商开户银行：</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供应商银行账号：</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磋商供应商法定代表人</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磋商供应商名称（</w:t>
      </w:r>
      <w:r>
        <w:rPr>
          <w:rFonts w:hint="eastAsia" w:asciiTheme="minorEastAsia" w:hAnsiTheme="minorEastAsia" w:eastAsiaTheme="minorEastAsia" w:cstheme="minorEastAsia"/>
          <w:color w:val="auto"/>
          <w:szCs w:val="21"/>
          <w:lang w:val="en-US" w:eastAsia="zh-CN"/>
        </w:rPr>
        <w:t>盖章</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时                 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8820" w:type="dxa"/>
          </w:tcPr>
          <w:p>
            <w:pPr>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粘贴转账或电汇银行凭证（复印件）</w:t>
            </w: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bCs/>
                <w:color w:val="auto"/>
                <w:szCs w:val="21"/>
              </w:rPr>
            </w:pPr>
          </w:p>
        </w:tc>
      </w:tr>
    </w:tbl>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注： 请供应商认真填写银行信息，并要求与粘贴转账或电汇银行凭证的相关信息一致，采购代理机构将依据此凭证信息退还保证金。</w:t>
      </w:r>
    </w:p>
    <w:bookmarkEnd w:id="149"/>
    <w:bookmarkEnd w:id="150"/>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 w:val="24"/>
        </w:rPr>
        <w:br w:type="page"/>
      </w:r>
      <w:bookmarkStart w:id="168" w:name="_Toc1591"/>
      <w:bookmarkStart w:id="169" w:name="_Toc17270"/>
      <w:bookmarkStart w:id="170" w:name="_Toc432149012"/>
      <w:bookmarkStart w:id="171" w:name="_Toc479184133"/>
      <w:bookmarkStart w:id="172" w:name="_Toc422466736"/>
      <w:bookmarkStart w:id="173" w:name="_Toc28200"/>
      <w:r>
        <w:rPr>
          <w:rFonts w:hint="eastAsia" w:asciiTheme="minorEastAsia" w:hAnsiTheme="minorEastAsia" w:eastAsiaTheme="minorEastAsia" w:cstheme="minorEastAsia"/>
          <w:b/>
          <w:bCs/>
          <w:color w:val="auto"/>
          <w:szCs w:val="21"/>
          <w:lang w:val="en-US" w:eastAsia="zh-CN"/>
        </w:rPr>
        <w:t>十</w:t>
      </w:r>
      <w:r>
        <w:rPr>
          <w:rFonts w:hint="eastAsia" w:asciiTheme="minorEastAsia" w:hAnsiTheme="minorEastAsia" w:eastAsiaTheme="minorEastAsia" w:cstheme="minorEastAsia"/>
          <w:b/>
          <w:bCs/>
          <w:color w:val="auto"/>
          <w:szCs w:val="21"/>
        </w:rPr>
        <w:t>、偏离说明表</w:t>
      </w:r>
      <w:bookmarkEnd w:id="168"/>
      <w:bookmarkEnd w:id="169"/>
      <w:bookmarkEnd w:id="170"/>
      <w:bookmarkEnd w:id="171"/>
      <w:bookmarkEnd w:id="172"/>
      <w:bookmarkEnd w:id="173"/>
    </w:p>
    <w:p>
      <w:pPr>
        <w:adjustRightInd w:val="0"/>
        <w:snapToGrid w:val="0"/>
        <w:rPr>
          <w:rFonts w:hint="eastAsia" w:asciiTheme="minorEastAsia" w:hAnsiTheme="minorEastAsia" w:eastAsiaTheme="minorEastAsia" w:cstheme="minorEastAsia"/>
          <w:color w:val="auto"/>
          <w:szCs w:val="21"/>
        </w:rPr>
      </w:pPr>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74"/>
        <w:gridCol w:w="344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2874"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采购需求</w:t>
            </w:r>
          </w:p>
        </w:tc>
        <w:tc>
          <w:tcPr>
            <w:tcW w:w="3449"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报价响应</w:t>
            </w:r>
          </w:p>
        </w:tc>
        <w:tc>
          <w:tcPr>
            <w:tcW w:w="1675" w:type="dxa"/>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lang w:eastAsia="zh-CN"/>
              </w:rPr>
            </w:pPr>
            <w:r>
              <w:rPr>
                <w:rFonts w:hint="eastAsia" w:asciiTheme="minorEastAsia" w:hAnsiTheme="minorEastAsia" w:eastAsiaTheme="minorEastAsia" w:cstheme="minorEastAsia"/>
                <w:b/>
                <w:color w:val="auto"/>
                <w:szCs w:val="21"/>
              </w:rPr>
              <w:t>技术</w:t>
            </w:r>
            <w:r>
              <w:rPr>
                <w:rFonts w:hint="eastAsia" w:asciiTheme="minorEastAsia" w:hAnsiTheme="minorEastAsia" w:eastAsiaTheme="minorEastAsia" w:cstheme="minorEastAsia"/>
                <w:b/>
                <w:color w:val="auto"/>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lang w:eastAsia="zh-CN"/>
              </w:rPr>
            </w:pPr>
            <w:r>
              <w:rPr>
                <w:rFonts w:hint="eastAsia" w:asciiTheme="minorEastAsia" w:hAnsiTheme="minorEastAsia" w:eastAsiaTheme="minorEastAsia" w:cstheme="minorEastAsia"/>
                <w:b/>
                <w:color w:val="auto"/>
                <w:szCs w:val="21"/>
              </w:rPr>
              <w:t>商务</w:t>
            </w:r>
            <w:r>
              <w:rPr>
                <w:rFonts w:hint="eastAsia" w:asciiTheme="minorEastAsia" w:hAnsiTheme="minorEastAsia" w:eastAsiaTheme="minorEastAsia" w:cstheme="minorEastAsia"/>
                <w:b/>
                <w:color w:val="auto"/>
                <w:szCs w:val="21"/>
                <w:lang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C0C0C0"/>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w:t>
            </w:r>
            <w:r>
              <w:rPr>
                <w:rFonts w:hint="eastAsia" w:asciiTheme="minorEastAsia" w:hAnsiTheme="minorEastAsia" w:eastAsiaTheme="minorEastAsia" w:cstheme="minorEastAsia"/>
                <w:b/>
                <w:color w:val="auto"/>
                <w:szCs w:val="21"/>
                <w:lang w:val="en-US" w:eastAsia="zh-CN"/>
              </w:rPr>
              <w:t>性</w:t>
            </w:r>
            <w:r>
              <w:rPr>
                <w:rFonts w:hint="eastAsia" w:asciiTheme="minorEastAsia" w:hAnsiTheme="minorEastAsia" w:eastAsiaTheme="minorEastAsia" w:cstheme="minorEastAsia"/>
                <w:b/>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9071" w:type="dxa"/>
            <w:gridSpan w:val="4"/>
            <w:shd w:val="clear" w:color="auto" w:fill="D7D7D7" w:themeFill="background1" w:themeFillShade="D8"/>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szCs w:val="21"/>
                <w:shd w:val="clear" w:fill="D7D7D7" w:themeFill="background1" w:themeFillShade="D8"/>
                <w:lang w:val="en-US" w:eastAsia="zh-CN"/>
              </w:rPr>
              <w:t>符合性</w:t>
            </w:r>
            <w:r>
              <w:rPr>
                <w:rFonts w:hint="eastAsia" w:asciiTheme="minorEastAsia" w:hAnsiTheme="minorEastAsia" w:eastAsiaTheme="minorEastAsia" w:cstheme="minorEastAsia"/>
                <w:b/>
                <w:color w:val="auto"/>
                <w:szCs w:val="21"/>
                <w:shd w:val="clear" w:fill="D7D7D7" w:themeFill="background1" w:themeFillShade="D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073"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87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344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675"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bl>
    <w:p>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p>
      <w:pPr>
        <w:numPr>
          <w:ilvl w:val="7"/>
          <w:numId w:val="43"/>
        </w:numPr>
        <w:tabs>
          <w:tab w:val="left" w:pos="540"/>
        </w:tabs>
        <w:adjustRightInd w:val="0"/>
        <w:snapToGrid w:val="0"/>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供应商应对竞争性磋商采购文件的各项要求，逐条说明竞争性磋商响应文件做出的实质性响应，并申明竞争性磋商响应文件的偏离和例外。优于竞争性磋商采购文件要求的为正偏离，不满足的为负偏离。</w:t>
      </w:r>
    </w:p>
    <w:p>
      <w:pPr>
        <w:numPr>
          <w:ilvl w:val="7"/>
          <w:numId w:val="43"/>
        </w:numPr>
        <w:tabs>
          <w:tab w:val="left" w:pos="540"/>
        </w:tabs>
        <w:adjustRightInd w:val="0"/>
        <w:snapToGrid w:val="0"/>
        <w:ind w:left="540" w:hanging="54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对有具体参数要求的指标，磋商供应商必须提供所投产品的具体参数值。如果仅注明“符合”，“满足”或简单复制竞争性磋商采购文件要求，将可能导致报价被拒绝。</w:t>
      </w:r>
    </w:p>
    <w:p>
      <w:pPr>
        <w:adjustRightInd w:val="0"/>
        <w:snapToGrid w:val="0"/>
        <w:ind w:firstLine="420"/>
        <w:rPr>
          <w:rFonts w:hint="eastAsia" w:asciiTheme="minorEastAsia" w:hAnsiTheme="minorEastAsia" w:eastAsiaTheme="minorEastAsia" w:cstheme="minorEastAsia"/>
          <w:color w:val="auto"/>
          <w:szCs w:val="21"/>
        </w:rPr>
      </w:pPr>
    </w:p>
    <w:p>
      <w:pPr>
        <w:adjustRightInd w:val="0"/>
        <w:snapToGrid w:val="0"/>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rPr>
          <w:rFonts w:hint="eastAsia" w:asciiTheme="minorEastAsia" w:hAnsiTheme="minorEastAsia" w:eastAsiaTheme="minorEastAsia" w:cstheme="minorEastAsia"/>
          <w:b/>
          <w:color w:val="auto"/>
          <w:kern w:val="0"/>
          <w:szCs w:val="21"/>
        </w:rPr>
      </w:pP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color w:val="auto"/>
          <w:kern w:val="0"/>
          <w:szCs w:val="21"/>
        </w:rPr>
        <w:br w:type="page"/>
      </w:r>
      <w:bookmarkStart w:id="174" w:name="_Toc28283"/>
      <w:bookmarkStart w:id="175" w:name="_Toc479184134"/>
      <w:bookmarkStart w:id="176" w:name="_Toc32060"/>
      <w:bookmarkStart w:id="177" w:name="_Toc362935521"/>
      <w:bookmarkStart w:id="178" w:name="_Toc432149013"/>
      <w:bookmarkStart w:id="179" w:name="_Toc18816"/>
      <w:r>
        <w:rPr>
          <w:rFonts w:hint="eastAsia" w:asciiTheme="minorEastAsia" w:hAnsiTheme="minorEastAsia" w:eastAsiaTheme="minorEastAsia" w:cstheme="minorEastAsia"/>
          <w:b/>
          <w:color w:val="auto"/>
          <w:kern w:val="0"/>
          <w:szCs w:val="21"/>
        </w:rPr>
        <w:t>十</w:t>
      </w:r>
      <w:r>
        <w:rPr>
          <w:rFonts w:hint="eastAsia" w:asciiTheme="minorEastAsia" w:hAnsiTheme="minorEastAsia" w:eastAsiaTheme="minorEastAsia" w:cstheme="minorEastAsia"/>
          <w:b/>
          <w:color w:val="auto"/>
          <w:kern w:val="0"/>
          <w:szCs w:val="21"/>
          <w:lang w:eastAsia="zh-CN"/>
        </w:rPr>
        <w:t>一</w:t>
      </w:r>
      <w:r>
        <w:rPr>
          <w:rFonts w:hint="eastAsia" w:asciiTheme="minorEastAsia" w:hAnsiTheme="minorEastAsia" w:eastAsiaTheme="minorEastAsia" w:cstheme="minorEastAsia"/>
          <w:b/>
          <w:color w:val="auto"/>
          <w:kern w:val="0"/>
          <w:szCs w:val="21"/>
        </w:rPr>
        <w:t>、</w:t>
      </w:r>
      <w:r>
        <w:rPr>
          <w:rFonts w:hint="eastAsia" w:asciiTheme="minorEastAsia" w:hAnsiTheme="minorEastAsia" w:eastAsiaTheme="minorEastAsia" w:cstheme="minorEastAsia"/>
          <w:b/>
          <w:bCs/>
          <w:color w:val="auto"/>
          <w:szCs w:val="21"/>
        </w:rPr>
        <w:t>类似业绩一览表</w:t>
      </w:r>
      <w:bookmarkEnd w:id="174"/>
      <w:bookmarkEnd w:id="175"/>
      <w:bookmarkEnd w:id="176"/>
      <w:bookmarkEnd w:id="177"/>
      <w:bookmarkEnd w:id="178"/>
      <w:r>
        <w:rPr>
          <w:rFonts w:hint="eastAsia" w:asciiTheme="minorEastAsia" w:hAnsiTheme="minorEastAsia" w:eastAsiaTheme="minorEastAsia" w:cstheme="minorEastAsia"/>
          <w:b/>
          <w:bCs/>
          <w:color w:val="auto"/>
          <w:szCs w:val="21"/>
        </w:rPr>
        <w:br w:type="textWrapping"/>
      </w:r>
      <w:bookmarkEnd w:id="179"/>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项目编号：</w:t>
      </w:r>
    </w:p>
    <w:tbl>
      <w:tblPr>
        <w:tblStyle w:val="2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330"/>
        <w:gridCol w:w="771"/>
        <w:gridCol w:w="964"/>
        <w:gridCol w:w="768"/>
        <w:gridCol w:w="756"/>
        <w:gridCol w:w="1176"/>
        <w:gridCol w:w="1212"/>
        <w:gridCol w:w="1019"/>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pacing w:val="-6"/>
                <w:szCs w:val="21"/>
                <w:lang w:val="en-US" w:eastAsia="zh-CN"/>
              </w:rPr>
            </w:pPr>
            <w:r>
              <w:rPr>
                <w:rFonts w:hint="eastAsia" w:asciiTheme="minorEastAsia" w:hAnsiTheme="minorEastAsia" w:eastAsiaTheme="minorEastAsia" w:cstheme="minorEastAsia"/>
                <w:color w:val="auto"/>
                <w:spacing w:val="-6"/>
                <w:szCs w:val="21"/>
                <w:lang w:val="en-US" w:eastAsia="zh-CN"/>
              </w:rPr>
              <w:t>序号</w:t>
            </w:r>
          </w:p>
        </w:tc>
        <w:tc>
          <w:tcPr>
            <w:tcW w:w="1330"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w:t>
            </w:r>
            <w:r>
              <w:rPr>
                <w:rFonts w:hint="eastAsia" w:asciiTheme="minorEastAsia" w:hAnsiTheme="minorEastAsia" w:eastAsiaTheme="minorEastAsia" w:cstheme="minorEastAsia"/>
                <w:color w:val="auto"/>
                <w:szCs w:val="21"/>
                <w:lang w:val="en-US" w:eastAsia="zh-CN"/>
              </w:rPr>
              <w:t>名称</w:t>
            </w:r>
          </w:p>
        </w:tc>
        <w:tc>
          <w:tcPr>
            <w:tcW w:w="771"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业主单位</w:t>
            </w:r>
          </w:p>
        </w:tc>
        <w:tc>
          <w:tcPr>
            <w:tcW w:w="964"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合同签订</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rPr>
              <w:t>时间</w:t>
            </w:r>
          </w:p>
        </w:tc>
        <w:tc>
          <w:tcPr>
            <w:tcW w:w="768"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合同金额</w:t>
            </w:r>
          </w:p>
        </w:tc>
        <w:tc>
          <w:tcPr>
            <w:tcW w:w="75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项目</w:t>
            </w:r>
            <w:r>
              <w:rPr>
                <w:rFonts w:hint="eastAsia" w:asciiTheme="minorEastAsia" w:hAnsiTheme="minorEastAsia" w:eastAsiaTheme="minorEastAsia" w:cstheme="minorEastAsia"/>
                <w:color w:val="auto"/>
                <w:szCs w:val="21"/>
                <w:lang w:val="en-US" w:eastAsia="zh-CN"/>
              </w:rPr>
              <w:t>负责人</w:t>
            </w:r>
          </w:p>
        </w:tc>
        <w:tc>
          <w:tcPr>
            <w:tcW w:w="1176"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业主单位联系人及电话</w:t>
            </w:r>
          </w:p>
        </w:tc>
        <w:tc>
          <w:tcPr>
            <w:tcW w:w="121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成交公告网页链接（如有）</w:t>
            </w:r>
          </w:p>
        </w:tc>
        <w:tc>
          <w:tcPr>
            <w:tcW w:w="101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是否投</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入使用</w:t>
            </w:r>
          </w:p>
        </w:tc>
        <w:tc>
          <w:tcPr>
            <w:tcW w:w="599"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2" w:type="dxa"/>
            <w:vAlign w:val="center"/>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w:t>
            </w:r>
          </w:p>
        </w:tc>
        <w:tc>
          <w:tcPr>
            <w:tcW w:w="1330"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71"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964"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68"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75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176"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212"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101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c>
          <w:tcPr>
            <w:tcW w:w="599" w:type="dxa"/>
          </w:tcPr>
          <w:p>
            <w:pPr>
              <w:adjustRightInd w:val="0"/>
              <w:snapToGrid w:val="0"/>
              <w:spacing w:before="31" w:beforeLines="10" w:after="31" w:afterLines="10"/>
              <w:ind w:left="21" w:leftChars="10" w:right="21" w:rightChars="10"/>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w:t>
      </w:r>
    </w:p>
    <w:p>
      <w:pPr>
        <w:spacing w:line="360" w:lineRule="auto"/>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1.附</w:t>
      </w:r>
      <w:r>
        <w:rPr>
          <w:rFonts w:hint="eastAsia" w:asciiTheme="minorEastAsia" w:hAnsiTheme="minorEastAsia" w:eastAsiaTheme="minorEastAsia" w:cstheme="minorEastAsia"/>
          <w:color w:val="auto"/>
          <w:szCs w:val="21"/>
          <w:lang w:val="en-US" w:eastAsia="zh-CN"/>
        </w:rPr>
        <w:t>磋商</w:t>
      </w:r>
      <w:r>
        <w:rPr>
          <w:rFonts w:hint="eastAsia" w:asciiTheme="minorEastAsia" w:hAnsiTheme="minorEastAsia" w:eastAsiaTheme="minorEastAsia" w:cstheme="minorEastAsia"/>
          <w:color w:val="auto"/>
          <w:szCs w:val="21"/>
        </w:rPr>
        <w:t>供应商承担类似项目的情况填入本表中</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提供业绩合同等评分标准要求的相关</w:t>
      </w:r>
      <w:r>
        <w:rPr>
          <w:rFonts w:hint="eastAsia" w:asciiTheme="minorEastAsia" w:hAnsiTheme="minorEastAsia" w:eastAsiaTheme="minorEastAsia" w:cstheme="minorEastAsia"/>
          <w:color w:val="auto"/>
          <w:szCs w:val="21"/>
        </w:rPr>
        <w:t>证明材料。 无证明材料的内容评审时将不予考虑。</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lang w:val="en-US" w:eastAsia="zh-CN"/>
        </w:rPr>
        <w:t>2.公开竞标成交的类似业绩，还应提供成交/成交公告网页链接。</w:t>
      </w:r>
    </w:p>
    <w:p>
      <w:pPr>
        <w:spacing w:line="360" w:lineRule="auto"/>
        <w:rPr>
          <w:rFonts w:hint="eastAsia" w:asciiTheme="minorEastAsia" w:hAnsiTheme="minorEastAsia" w:eastAsiaTheme="minorEastAsia" w:cstheme="minorEastAsia"/>
          <w:color w:val="auto"/>
          <w:szCs w:val="21"/>
        </w:rPr>
      </w:pPr>
      <w:bookmarkStart w:id="180" w:name="_Toc454806053"/>
      <w:bookmarkStart w:id="181" w:name="_Toc460258118"/>
      <w:r>
        <w:rPr>
          <w:rFonts w:hint="eastAsia" w:asciiTheme="minorEastAsia" w:hAnsiTheme="minorEastAsia" w:eastAsiaTheme="minorEastAsia" w:cstheme="minorEastAsia"/>
          <w:b/>
          <w:bCs/>
          <w:color w:val="auto"/>
          <w:sz w:val="24"/>
        </w:rPr>
        <w:br w:type="textWrapping"/>
      </w:r>
      <w:r>
        <w:rPr>
          <w:rFonts w:hint="eastAsia" w:asciiTheme="minorEastAsia" w:hAnsiTheme="minorEastAsia" w:eastAsiaTheme="minorEastAsia" w:cstheme="minorEastAsia"/>
          <w:b/>
          <w:bCs/>
          <w:color w:val="auto"/>
          <w:sz w:val="24"/>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 w:val="24"/>
        </w:rPr>
        <w:br w:type="page"/>
      </w:r>
      <w:bookmarkStart w:id="182" w:name="_Toc8374"/>
      <w:bookmarkStart w:id="183" w:name="_Toc30455"/>
      <w:bookmarkStart w:id="184" w:name="_Toc4834"/>
      <w:bookmarkStart w:id="185" w:name="_Toc479184135"/>
      <w:r>
        <w:rPr>
          <w:rFonts w:hint="eastAsia" w:asciiTheme="minorEastAsia" w:hAnsiTheme="minorEastAsia" w:eastAsiaTheme="minorEastAsia" w:cstheme="minorEastAsia"/>
          <w:b/>
          <w:bCs/>
          <w:color w:val="auto"/>
          <w:szCs w:val="21"/>
        </w:rPr>
        <w:t>十</w:t>
      </w:r>
      <w:r>
        <w:rPr>
          <w:rFonts w:hint="eastAsia" w:asciiTheme="minorEastAsia" w:hAnsiTheme="minorEastAsia" w:eastAsiaTheme="minorEastAsia" w:cstheme="minorEastAsia"/>
          <w:b/>
          <w:bCs/>
          <w:color w:val="auto"/>
          <w:szCs w:val="21"/>
          <w:lang w:val="en-US" w:eastAsia="zh-CN"/>
        </w:rPr>
        <w:t>二</w:t>
      </w:r>
      <w:r>
        <w:rPr>
          <w:rFonts w:hint="eastAsia" w:asciiTheme="minorEastAsia" w:hAnsiTheme="minorEastAsia" w:eastAsiaTheme="minorEastAsia" w:cstheme="minorEastAsia"/>
          <w:b/>
          <w:bCs/>
          <w:color w:val="auto"/>
          <w:szCs w:val="21"/>
        </w:rPr>
        <w:t>、拟投入项目组人员一览表</w:t>
      </w:r>
      <w:bookmarkEnd w:id="180"/>
      <w:bookmarkEnd w:id="181"/>
      <w:bookmarkEnd w:id="182"/>
      <w:bookmarkEnd w:id="183"/>
      <w:bookmarkEnd w:id="184"/>
      <w:bookmarkEnd w:id="185"/>
    </w:p>
    <w:p>
      <w:pPr>
        <w:adjustRightInd w:val="0"/>
        <w:snapToGrid w:val="0"/>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adjustRightInd w:val="0"/>
        <w:snapToGrid w:val="0"/>
        <w:spacing w:line="360" w:lineRule="auto"/>
        <w:ind w:left="-181" w:leftChars="-86" w:firstLine="180" w:firstLineChars="8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项目编号：</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34"/>
        <w:gridCol w:w="2208"/>
        <w:gridCol w:w="850"/>
        <w:gridCol w:w="693"/>
        <w:gridCol w:w="877"/>
        <w:gridCol w:w="877"/>
        <w:gridCol w:w="138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姓名</w:t>
            </w: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在本项目中</w:t>
            </w:r>
            <w:r>
              <w:rPr>
                <w:rFonts w:hint="eastAsia" w:asciiTheme="minorEastAsia" w:hAnsiTheme="minorEastAsia" w:eastAsiaTheme="minorEastAsia" w:cstheme="minorEastAsia"/>
                <w:color w:val="auto"/>
                <w:szCs w:val="21"/>
                <w:lang w:val="en-US" w:eastAsia="zh-CN"/>
              </w:rPr>
              <w:t>担</w:t>
            </w:r>
            <w:r>
              <w:rPr>
                <w:rFonts w:hint="eastAsia" w:asciiTheme="minorEastAsia" w:hAnsiTheme="minorEastAsia" w:eastAsiaTheme="minorEastAsia" w:cstheme="minorEastAsia"/>
                <w:color w:val="auto"/>
                <w:szCs w:val="21"/>
              </w:rPr>
              <w:t>当职位</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年龄</w:t>
            </w: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学历</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职务</w:t>
            </w: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职称</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从业经历</w:t>
            </w: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项目负责人</w:t>
            </w: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83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2208"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5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9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7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71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说明：附拟投入项目组人员</w:t>
      </w:r>
      <w:r>
        <w:rPr>
          <w:rFonts w:hint="eastAsia" w:asciiTheme="minorEastAsia" w:hAnsiTheme="minorEastAsia" w:eastAsiaTheme="minorEastAsia" w:cstheme="minorEastAsia"/>
          <w:color w:val="auto"/>
          <w:szCs w:val="21"/>
          <w:lang w:val="en-US" w:eastAsia="zh-CN"/>
        </w:rPr>
        <w:t>身份证、劳动合同、社保证明、</w:t>
      </w:r>
      <w:r>
        <w:rPr>
          <w:rFonts w:hint="eastAsia"/>
          <w:color w:val="auto"/>
        </w:rPr>
        <w:t>职称证书</w:t>
      </w:r>
      <w:r>
        <w:rPr>
          <w:rFonts w:hint="eastAsia"/>
          <w:color w:val="auto"/>
          <w:lang w:eastAsia="zh-CN"/>
        </w:rPr>
        <w:t>、</w:t>
      </w:r>
      <w:r>
        <w:rPr>
          <w:rFonts w:hint="eastAsia"/>
          <w:color w:val="auto"/>
        </w:rPr>
        <w:t>学历证书</w:t>
      </w:r>
      <w:r>
        <w:rPr>
          <w:rFonts w:hint="eastAsia" w:asciiTheme="minorEastAsia" w:hAnsiTheme="minorEastAsia" w:eastAsiaTheme="minorEastAsia" w:cstheme="minorEastAsia"/>
          <w:color w:val="auto"/>
          <w:szCs w:val="21"/>
        </w:rPr>
        <w:t>等</w:t>
      </w:r>
      <w:r>
        <w:rPr>
          <w:rFonts w:hint="eastAsia" w:asciiTheme="minorEastAsia" w:hAnsiTheme="minorEastAsia" w:eastAsiaTheme="minorEastAsia" w:cstheme="minorEastAsia"/>
          <w:color w:val="auto"/>
          <w:szCs w:val="21"/>
          <w:lang w:val="en-US" w:eastAsia="zh-CN"/>
        </w:rPr>
        <w:t>评分标准要求的其他相关</w:t>
      </w:r>
      <w:r>
        <w:rPr>
          <w:rFonts w:hint="eastAsia" w:asciiTheme="minorEastAsia" w:hAnsiTheme="minorEastAsia" w:eastAsiaTheme="minorEastAsia" w:cstheme="minorEastAsia"/>
          <w:color w:val="auto"/>
          <w:szCs w:val="21"/>
        </w:rPr>
        <w:t>证明材料。无证明材料的内容评审时将不予考虑。</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kern w:val="0"/>
          <w:szCs w:val="21"/>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br w:type="page"/>
      </w:r>
      <w:bookmarkStart w:id="186" w:name="_Toc10429"/>
      <w:bookmarkStart w:id="187" w:name="_Toc422466737"/>
      <w:bookmarkStart w:id="188" w:name="_Toc479184136"/>
      <w:bookmarkStart w:id="189" w:name="_Toc8711"/>
      <w:bookmarkStart w:id="190" w:name="_Toc432149014"/>
      <w:bookmarkStart w:id="191" w:name="_Toc26838"/>
      <w:r>
        <w:rPr>
          <w:rFonts w:hint="eastAsia" w:asciiTheme="minorEastAsia" w:hAnsiTheme="minorEastAsia" w:eastAsiaTheme="minorEastAsia" w:cstheme="minorEastAsia"/>
          <w:b/>
          <w:bCs/>
          <w:color w:val="auto"/>
          <w:kern w:val="0"/>
          <w:szCs w:val="21"/>
        </w:rPr>
        <w:t>十</w:t>
      </w:r>
      <w:r>
        <w:rPr>
          <w:rFonts w:hint="eastAsia" w:asciiTheme="minorEastAsia" w:hAnsiTheme="minorEastAsia" w:eastAsiaTheme="minorEastAsia" w:cstheme="minorEastAsia"/>
          <w:b/>
          <w:bCs/>
          <w:color w:val="auto"/>
          <w:kern w:val="0"/>
          <w:szCs w:val="21"/>
          <w:lang w:val="en-US" w:eastAsia="zh-CN"/>
        </w:rPr>
        <w:t>三</w:t>
      </w: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b/>
          <w:bCs/>
          <w:color w:val="auto"/>
          <w:szCs w:val="21"/>
        </w:rPr>
        <w:t>供应商的资格声明</w:t>
      </w:r>
      <w:bookmarkEnd w:id="186"/>
      <w:bookmarkEnd w:id="187"/>
      <w:bookmarkEnd w:id="188"/>
      <w:bookmarkEnd w:id="189"/>
      <w:bookmarkEnd w:id="190"/>
      <w:bookmarkEnd w:id="191"/>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1.名称及基本情况：</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（1）供应商名称：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（2）地址：</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邮箱：</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电话：</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传真：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（3）成立或注册日期：</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（4）公司性质：</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（5）法定代表人或主要负责人：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（6）员工人数：</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（7）注册资本：</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（8）实收资本：</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（9）上年末资产负债率：</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1）固定资产</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原值：</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净值：</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2）流动资产：</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3）长期负债：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4）短期负债：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2．与报价服务内容有关的情况：</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（1）供应商提供此响应服务内容的经验（包括年限、项目业主、额定能力、商业运营的起始日期等）；</w:t>
      </w:r>
    </w:p>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（2）服务网点分布（可另行附表）：</w:t>
      </w:r>
    </w:p>
    <w:tbl>
      <w:tblPr>
        <w:tblStyle w:val="2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37"/>
        <w:gridCol w:w="22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服务网点名称和地址</w:t>
            </w:r>
          </w:p>
        </w:tc>
        <w:tc>
          <w:tcPr>
            <w:tcW w:w="1737"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主要服务范围</w:t>
            </w:r>
          </w:p>
        </w:tc>
        <w:tc>
          <w:tcPr>
            <w:tcW w:w="2269"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服务人员数</w:t>
            </w:r>
          </w:p>
        </w:tc>
        <w:tc>
          <w:tcPr>
            <w:tcW w:w="2268" w:type="dxa"/>
            <w:vAlign w:val="center"/>
          </w:tcPr>
          <w:p>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73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8" w:type="dxa"/>
            <w:vAlign w:val="center"/>
          </w:tcPr>
          <w:p>
            <w:pPr>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79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1737"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9" w:type="dxa"/>
            <w:vAlign w:val="center"/>
          </w:tcPr>
          <w:p>
            <w:pPr>
              <w:spacing w:line="360" w:lineRule="auto"/>
              <w:jc w:val="center"/>
              <w:rPr>
                <w:rFonts w:hint="eastAsia" w:asciiTheme="minorEastAsia" w:hAnsiTheme="minorEastAsia" w:eastAsiaTheme="minorEastAsia" w:cstheme="minorEastAsia"/>
                <w:color w:val="auto"/>
                <w:szCs w:val="21"/>
              </w:rPr>
            </w:pPr>
          </w:p>
        </w:tc>
        <w:tc>
          <w:tcPr>
            <w:tcW w:w="2268" w:type="dxa"/>
            <w:vAlign w:val="center"/>
          </w:tcPr>
          <w:p>
            <w:pPr>
              <w:spacing w:line="360" w:lineRule="auto"/>
              <w:jc w:val="center"/>
              <w:rPr>
                <w:rFonts w:hint="eastAsia" w:asciiTheme="minorEastAsia" w:hAnsiTheme="minorEastAsia" w:eastAsiaTheme="minorEastAsia" w:cstheme="minorEastAsia"/>
                <w:color w:val="auto"/>
                <w:szCs w:val="21"/>
              </w:rPr>
            </w:pPr>
          </w:p>
        </w:tc>
      </w:tr>
    </w:tbl>
    <w:p>
      <w:pP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3．供应商认为需要声明的其他情况：</w:t>
      </w:r>
    </w:p>
    <w:p>
      <w:pPr>
        <w:ind w:firstLine="210" w:firstLineChars="1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兹证明上述声明是真实的、正确的，并提供了全部能提供的资料和数据，我们同意遵照</w:t>
      </w:r>
      <w:r>
        <w:rPr>
          <w:rFonts w:hint="eastAsia" w:asciiTheme="minorEastAsia" w:hAnsiTheme="minorEastAsia" w:eastAsiaTheme="minorEastAsia" w:cstheme="minorEastAsia"/>
          <w:bCs/>
          <w:color w:val="auto"/>
          <w:szCs w:val="21"/>
          <w:u w:val="single"/>
        </w:rPr>
        <w:t>采购代理机构</w:t>
      </w:r>
      <w:r>
        <w:rPr>
          <w:rFonts w:hint="eastAsia" w:asciiTheme="minorEastAsia" w:hAnsiTheme="minorEastAsia" w:eastAsiaTheme="minorEastAsia" w:cstheme="minorEastAsia"/>
          <w:bCs/>
          <w:color w:val="auto"/>
          <w:szCs w:val="21"/>
        </w:rPr>
        <w:t>要求出示的有关证明文件。</w:t>
      </w:r>
    </w:p>
    <w:p>
      <w:pPr>
        <w:spacing w:line="360" w:lineRule="auto"/>
        <w:ind w:firstLine="210" w:firstLineChars="100"/>
        <w:rPr>
          <w:rFonts w:hint="eastAsia" w:asciiTheme="minorEastAsia" w:hAnsiTheme="minorEastAsia" w:eastAsiaTheme="minorEastAsia" w:cstheme="minorEastAsia"/>
          <w:bCs/>
          <w:color w:val="auto"/>
          <w:szCs w:val="21"/>
        </w:rPr>
      </w:pP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电      话：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传      真：</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kern w:val="0"/>
          <w:szCs w:val="21"/>
        </w:rPr>
        <w:br w:type="page"/>
      </w:r>
      <w:bookmarkStart w:id="192" w:name="_Toc103"/>
      <w:bookmarkStart w:id="193" w:name="_Toc17331"/>
      <w:bookmarkStart w:id="194" w:name="_Toc450827823"/>
      <w:bookmarkStart w:id="195" w:name="_Toc17527"/>
      <w:bookmarkStart w:id="196" w:name="_Toc479184137"/>
      <w:bookmarkStart w:id="197" w:name="_Toc259028731"/>
      <w:r>
        <w:rPr>
          <w:rFonts w:hint="eastAsia" w:asciiTheme="minorEastAsia" w:hAnsiTheme="minorEastAsia" w:eastAsiaTheme="minorEastAsia" w:cstheme="minorEastAsia"/>
          <w:b/>
          <w:bCs/>
          <w:color w:val="auto"/>
          <w:kern w:val="0"/>
          <w:szCs w:val="21"/>
        </w:rPr>
        <w:t>十</w:t>
      </w:r>
      <w:r>
        <w:rPr>
          <w:rFonts w:hint="eastAsia" w:asciiTheme="minorEastAsia" w:hAnsiTheme="minorEastAsia" w:eastAsiaTheme="minorEastAsia" w:cstheme="minorEastAsia"/>
          <w:b/>
          <w:bCs/>
          <w:color w:val="auto"/>
          <w:kern w:val="0"/>
          <w:szCs w:val="21"/>
          <w:lang w:val="en-US" w:eastAsia="zh-CN"/>
        </w:rPr>
        <w:t>四</w:t>
      </w:r>
      <w:r>
        <w:rPr>
          <w:rFonts w:hint="eastAsia" w:asciiTheme="minorEastAsia" w:hAnsiTheme="minorEastAsia" w:eastAsiaTheme="minorEastAsia" w:cstheme="minorEastAsia"/>
          <w:b/>
          <w:bCs/>
          <w:color w:val="auto"/>
          <w:kern w:val="0"/>
          <w:szCs w:val="21"/>
        </w:rPr>
        <w:t>、</w:t>
      </w:r>
      <w:r>
        <w:rPr>
          <w:rFonts w:hint="eastAsia" w:asciiTheme="minorEastAsia" w:hAnsiTheme="minorEastAsia" w:eastAsiaTheme="minorEastAsia" w:cstheme="minorEastAsia"/>
          <w:b/>
          <w:bCs/>
          <w:color w:val="auto"/>
          <w:szCs w:val="21"/>
        </w:rPr>
        <w:t>资格证明文件</w:t>
      </w:r>
      <w:bookmarkEnd w:id="192"/>
      <w:bookmarkEnd w:id="193"/>
      <w:bookmarkEnd w:id="194"/>
      <w:bookmarkEnd w:id="195"/>
      <w:bookmarkEnd w:id="196"/>
      <w:bookmarkEnd w:id="197"/>
    </w:p>
    <w:p>
      <w:pPr>
        <w:rPr>
          <w:rFonts w:hint="eastAsia" w:asciiTheme="minorEastAsia" w:hAnsiTheme="minorEastAsia" w:eastAsiaTheme="minorEastAsia" w:cstheme="minorEastAsia"/>
          <w:color w:val="auto"/>
          <w:szCs w:val="21"/>
        </w:rPr>
      </w:pPr>
    </w:p>
    <w:p>
      <w:pP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提供第</w:t>
      </w:r>
      <w:r>
        <w:rPr>
          <w:rFonts w:hint="eastAsia" w:asciiTheme="minorEastAsia" w:hAnsiTheme="minorEastAsia" w:eastAsiaTheme="minorEastAsia" w:cstheme="minorEastAsia"/>
          <w:color w:val="auto"/>
          <w:szCs w:val="21"/>
          <w:lang w:val="en-US" w:eastAsia="zh-CN"/>
        </w:rPr>
        <w:t>一</w:t>
      </w:r>
      <w:r>
        <w:rPr>
          <w:rFonts w:hint="eastAsia" w:asciiTheme="minorEastAsia" w:hAnsiTheme="minorEastAsia" w:eastAsiaTheme="minorEastAsia" w:cstheme="minorEastAsia"/>
          <w:color w:val="auto"/>
          <w:szCs w:val="21"/>
        </w:rPr>
        <w:t>章</w:t>
      </w:r>
      <w:r>
        <w:rPr>
          <w:rFonts w:hint="eastAsia" w:asciiTheme="minorEastAsia" w:hAnsiTheme="minorEastAsia" w:eastAsiaTheme="minorEastAsia" w:cstheme="minorEastAsia"/>
          <w:color w:val="auto"/>
          <w:szCs w:val="21"/>
          <w:lang w:val="en-US" w:eastAsia="zh-CN"/>
        </w:rPr>
        <w:t>第二款</w:t>
      </w:r>
      <w:r>
        <w:rPr>
          <w:rFonts w:hint="eastAsia" w:asciiTheme="minorEastAsia" w:hAnsiTheme="minorEastAsia" w:eastAsiaTheme="minorEastAsia" w:cstheme="minorEastAsia"/>
          <w:color w:val="auto"/>
          <w:szCs w:val="21"/>
        </w:rPr>
        <w:t>资格要求</w:t>
      </w:r>
      <w:r>
        <w:rPr>
          <w:rFonts w:hint="eastAsia" w:asciiTheme="minorEastAsia" w:hAnsiTheme="minorEastAsia" w:eastAsiaTheme="minorEastAsia" w:cstheme="minorEastAsia"/>
          <w:color w:val="auto"/>
          <w:szCs w:val="21"/>
          <w:lang w:val="en-US" w:eastAsia="zh-CN"/>
        </w:rPr>
        <w:t>的</w:t>
      </w:r>
      <w:r>
        <w:rPr>
          <w:rFonts w:hint="eastAsia" w:asciiTheme="minorEastAsia" w:hAnsiTheme="minorEastAsia" w:eastAsiaTheme="minorEastAsia" w:cstheme="minorEastAsia"/>
          <w:color w:val="auto"/>
          <w:szCs w:val="21"/>
        </w:rPr>
        <w:t>资格证明文件的</w:t>
      </w:r>
      <w:r>
        <w:rPr>
          <w:rFonts w:hint="eastAsia" w:asciiTheme="minorEastAsia" w:hAnsiTheme="minorEastAsia" w:eastAsiaTheme="minorEastAsia" w:cstheme="minorEastAsia"/>
          <w:color w:val="auto"/>
          <w:szCs w:val="21"/>
          <w:lang w:val="en-US" w:eastAsia="zh-CN"/>
        </w:rPr>
        <w:t>真彩扫描件</w:t>
      </w:r>
      <w:r>
        <w:rPr>
          <w:rFonts w:hint="eastAsia" w:asciiTheme="minorEastAsia" w:hAnsiTheme="minorEastAsia" w:eastAsiaTheme="minorEastAsia" w:cstheme="minorEastAsia"/>
          <w:color w:val="auto"/>
          <w:szCs w:val="21"/>
          <w:lang w:eastAsia="zh-CN"/>
        </w:rPr>
        <w:t>。</w:t>
      </w:r>
    </w:p>
    <w:p>
      <w:pPr>
        <w:rPr>
          <w:rFonts w:hint="eastAsia" w:asciiTheme="minorEastAsia" w:hAnsiTheme="minorEastAsia" w:eastAsiaTheme="minorEastAsia" w:cstheme="minorEastAsia"/>
          <w:color w:val="auto"/>
          <w:szCs w:val="21"/>
        </w:rPr>
      </w:pPr>
    </w:p>
    <w:p>
      <w:pPr>
        <w:adjustRightInd w:val="0"/>
        <w:snapToGrid w:val="0"/>
        <w:spacing w:line="360" w:lineRule="auto"/>
        <w:ind w:left="-88" w:leftChars="-42"/>
        <w:jc w:val="center"/>
        <w:rPr>
          <w:rFonts w:hint="eastAsia" w:asciiTheme="minorEastAsia" w:hAnsiTheme="minorEastAsia" w:eastAsiaTheme="minorEastAsia" w:cstheme="minorEastAsia"/>
          <w:color w:val="auto"/>
          <w:szCs w:val="21"/>
        </w:rPr>
      </w:pPr>
    </w:p>
    <w:p>
      <w:pPr>
        <w:spacing w:line="360" w:lineRule="auto"/>
        <w:ind w:left="168" w:leftChars="80"/>
        <w:jc w:val="center"/>
        <w:outlineLvl w:val="9"/>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p>
    <w:p>
      <w:pPr>
        <w:spacing w:line="360" w:lineRule="auto"/>
        <w:ind w:left="168" w:leftChars="80"/>
        <w:jc w:val="center"/>
        <w:outlineLvl w:val="9"/>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br w:type="textWrapping"/>
      </w:r>
      <w:r>
        <w:rPr>
          <w:rFonts w:hint="eastAsia" w:asciiTheme="minorEastAsia" w:hAnsiTheme="minorEastAsia" w:eastAsiaTheme="minorEastAsia" w:cstheme="minorEastAsia"/>
          <w:bCs/>
          <w:color w:val="auto"/>
          <w:szCs w:val="21"/>
        </w:rPr>
        <w:br w:type="textWrapping"/>
      </w:r>
      <w:bookmarkStart w:id="198" w:name="_Toc358447587"/>
      <w:bookmarkStart w:id="199" w:name="_Toc18555"/>
      <w:bookmarkStart w:id="200" w:name="_Toc290207179"/>
      <w:bookmarkStart w:id="201" w:name="_Toc364868916"/>
      <w:bookmarkStart w:id="202" w:name="_Toc5793"/>
      <w:bookmarkStart w:id="203" w:name="_Toc32187"/>
      <w:bookmarkStart w:id="204" w:name="_Toc427239751"/>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bCs/>
          <w:color w:val="auto"/>
          <w:kern w:val="0"/>
          <w:szCs w:val="21"/>
        </w:rPr>
      </w:pPr>
      <w:bookmarkStart w:id="205" w:name="_Toc6332"/>
      <w:r>
        <w:rPr>
          <w:rFonts w:hint="eastAsia" w:asciiTheme="minorEastAsia" w:hAnsiTheme="minorEastAsia" w:eastAsiaTheme="minorEastAsia" w:cstheme="minorEastAsia"/>
          <w:b/>
          <w:bCs/>
          <w:color w:val="auto"/>
          <w:kern w:val="0"/>
          <w:szCs w:val="21"/>
          <w:lang w:val="en-US" w:eastAsia="zh-CN"/>
        </w:rPr>
        <w:t>十五、</w:t>
      </w:r>
      <w:bookmarkEnd w:id="198"/>
      <w:bookmarkEnd w:id="199"/>
      <w:bookmarkEnd w:id="200"/>
      <w:bookmarkEnd w:id="201"/>
      <w:bookmarkEnd w:id="202"/>
      <w:bookmarkEnd w:id="203"/>
      <w:bookmarkEnd w:id="204"/>
      <w:bookmarkStart w:id="206" w:name="_Toc29785"/>
      <w:bookmarkStart w:id="207" w:name="_Toc27229"/>
      <w:bookmarkStart w:id="208" w:name="_Toc460258123"/>
      <w:bookmarkStart w:id="209" w:name="_Toc479184138"/>
      <w:r>
        <w:rPr>
          <w:rFonts w:hint="eastAsia" w:asciiTheme="minorEastAsia" w:hAnsiTheme="minorEastAsia" w:eastAsiaTheme="minorEastAsia" w:cstheme="minorEastAsia"/>
          <w:b/>
          <w:bCs/>
          <w:color w:val="auto"/>
          <w:kern w:val="0"/>
          <w:szCs w:val="21"/>
        </w:rPr>
        <w:t>报价技术文件</w:t>
      </w:r>
      <w:bookmarkEnd w:id="205"/>
      <w:bookmarkEnd w:id="206"/>
      <w:bookmarkEnd w:id="207"/>
      <w:bookmarkEnd w:id="208"/>
      <w:bookmarkEnd w:id="209"/>
    </w:p>
    <w:p>
      <w:pPr>
        <w:rPr>
          <w:rFonts w:hint="eastAsia" w:asciiTheme="minorEastAsia" w:hAnsiTheme="minorEastAsia" w:eastAsiaTheme="minorEastAsia" w:cstheme="minorEastAsia"/>
          <w:color w:val="auto"/>
          <w:szCs w:val="21"/>
        </w:rPr>
      </w:pPr>
    </w:p>
    <w:p>
      <w:pPr>
        <w:pStyle w:val="97"/>
        <w:spacing w:line="360" w:lineRule="auto"/>
        <w:ind w:firstLine="420" w:firstLineChars="200"/>
        <w:jc w:val="left"/>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由供应商自行编制，目录清晰、内容详尽、易于理解和评审并富有建设性的技术方案将在评审时具有优势。</w:t>
      </w:r>
    </w:p>
    <w:p>
      <w:pPr>
        <w:adjustRightInd w:val="0"/>
        <w:snapToGrid w:val="0"/>
        <w:spacing w:line="360" w:lineRule="auto"/>
        <w:ind w:left="-88" w:leftChars="-42" w:firstLine="422" w:firstLineChars="200"/>
        <w:jc w:val="left"/>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以下内容仅供参考，格式自拟。</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项目概况及对本项目总体要求的理解</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项目实施方案</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项目重点及难点解析</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质量控制措施</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进度控制措施</w:t>
      </w:r>
    </w:p>
    <w:p>
      <w:pPr>
        <w:numPr>
          <w:ilvl w:val="1"/>
          <w:numId w:val="44"/>
        </w:numPr>
        <w:tabs>
          <w:tab w:val="left" w:pos="640"/>
          <w:tab w:val="clear" w:pos="0"/>
        </w:tabs>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对本项目的合理化建议</w:t>
      </w:r>
    </w:p>
    <w:p>
      <w:pPr>
        <w:tabs>
          <w:tab w:val="left" w:pos="540"/>
        </w:tabs>
        <w:autoSpaceDE w:val="0"/>
        <w:autoSpaceDN w:val="0"/>
        <w:adjustRightInd w:val="0"/>
        <w:spacing w:line="360" w:lineRule="auto"/>
        <w:jc w:val="center"/>
        <w:outlineLvl w:val="1"/>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br w:type="page"/>
      </w:r>
      <w:bookmarkStart w:id="210" w:name="_Toc355802499"/>
      <w:bookmarkStart w:id="211" w:name="_Toc2101"/>
      <w:bookmarkStart w:id="212" w:name="_Toc422466739"/>
      <w:bookmarkStart w:id="213" w:name="_Toc479184140"/>
      <w:bookmarkStart w:id="214" w:name="_Toc432149016"/>
      <w:bookmarkStart w:id="215" w:name="_Toc8098"/>
      <w:bookmarkStart w:id="216" w:name="_Toc12119"/>
      <w:bookmarkStart w:id="217" w:name="_Toc22465"/>
      <w:bookmarkStart w:id="218" w:name="_Toc356836516"/>
      <w:bookmarkStart w:id="219" w:name="_Toc26126"/>
      <w:r>
        <w:rPr>
          <w:rFonts w:hint="eastAsia" w:asciiTheme="minorEastAsia" w:hAnsiTheme="minorEastAsia" w:eastAsiaTheme="minorEastAsia" w:cstheme="minorEastAsia"/>
          <w:b/>
          <w:color w:val="auto"/>
        </w:rPr>
        <w:t>十</w:t>
      </w:r>
      <w:r>
        <w:rPr>
          <w:rFonts w:hint="eastAsia" w:asciiTheme="minorEastAsia" w:hAnsiTheme="minorEastAsia" w:eastAsiaTheme="minorEastAsia" w:cstheme="minorEastAsia"/>
          <w:b/>
          <w:color w:val="auto"/>
          <w:lang w:val="en-US" w:eastAsia="zh-CN"/>
        </w:rPr>
        <w:t>六</w:t>
      </w:r>
      <w:r>
        <w:rPr>
          <w:rFonts w:hint="eastAsia" w:asciiTheme="minorEastAsia" w:hAnsiTheme="minorEastAsia" w:eastAsiaTheme="minorEastAsia" w:cstheme="minorEastAsia"/>
          <w:b/>
          <w:color w:val="auto"/>
        </w:rPr>
        <w:t>、中小企业声明函</w:t>
      </w:r>
      <w:bookmarkEnd w:id="210"/>
      <w:bookmarkEnd w:id="211"/>
      <w:bookmarkEnd w:id="212"/>
      <w:bookmarkEnd w:id="213"/>
      <w:bookmarkEnd w:id="214"/>
      <w:bookmarkEnd w:id="215"/>
      <w:bookmarkEnd w:id="216"/>
      <w:bookmarkEnd w:id="217"/>
      <w:bookmarkEnd w:id="218"/>
      <w:r>
        <w:rPr>
          <w:rFonts w:hint="eastAsia" w:asciiTheme="minorEastAsia" w:hAnsiTheme="minorEastAsia" w:eastAsiaTheme="minorEastAsia" w:cstheme="minorEastAsia"/>
          <w:b/>
          <w:color w:val="auto"/>
          <w:lang w:val="zh-CN"/>
        </w:rPr>
        <w:t>（若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19"/>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本公司郑重声明，根据《政府采购促进中小企业发展暂行办法》（财库[2011]181号）的规定，本公司为</w:t>
      </w:r>
      <w:bookmarkStart w:id="220" w:name="OLE_LINK5"/>
      <w:r>
        <w:rPr>
          <w:rFonts w:hint="eastAsia" w:asciiTheme="minorEastAsia" w:hAnsiTheme="minorEastAsia" w:eastAsiaTheme="minorEastAsia" w:cstheme="minorEastAsia"/>
          <w:color w:val="auto"/>
          <w:spacing w:val="6"/>
          <w:szCs w:val="21"/>
        </w:rPr>
        <w:t>______（请填写：中型、小型、微型）企业</w:t>
      </w:r>
      <w:bookmarkEnd w:id="220"/>
      <w:r>
        <w:rPr>
          <w:rFonts w:hint="eastAsia" w:asciiTheme="minorEastAsia" w:hAnsiTheme="minorEastAsia" w:eastAsiaTheme="minorEastAsia" w:cstheme="minorEastAsia"/>
          <w:color w:val="auto"/>
          <w:spacing w:val="6"/>
          <w:szCs w:val="21"/>
        </w:rPr>
        <w:t>。即，本公司同时满足以下条件：</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2.本公司参加______单位的______项目采购活动提供本企业制造的货物，由本企业承担工程、提供服务，或者提供其他______（请填写：中型、小型、微型）企业____（制造商名称）/__（产地）（填写此次响应所供主要货物制造商名称或价值最高的货物制造商名称及生产产地）制造的货物。本条所称货物不包括使用大型企业注册商标的货物。</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本公司对上述声明的真实性负责。如有虚假，将依法承担相应责任。</w:t>
      </w:r>
    </w:p>
    <w:p>
      <w:pPr>
        <w:spacing w:line="360" w:lineRule="auto"/>
        <w:ind w:firstLine="444" w:firstLineChars="200"/>
        <w:rPr>
          <w:rFonts w:hint="eastAsia" w:asciiTheme="minorEastAsia" w:hAnsiTheme="minorEastAsia" w:eastAsiaTheme="minorEastAsia" w:cstheme="minorEastAsia"/>
          <w:color w:val="auto"/>
          <w:spacing w:val="6"/>
          <w:szCs w:val="21"/>
        </w:rPr>
      </w:pPr>
      <w:r>
        <w:rPr>
          <w:rFonts w:hint="eastAsia" w:asciiTheme="minorEastAsia" w:hAnsiTheme="minorEastAsia" w:eastAsiaTheme="minorEastAsia" w:cstheme="minorEastAsia"/>
          <w:color w:val="auto"/>
          <w:spacing w:val="6"/>
          <w:szCs w:val="21"/>
        </w:rPr>
        <w:t>附证明材料：</w:t>
      </w:r>
    </w:p>
    <w:p>
      <w:pPr>
        <w:numPr>
          <w:ilvl w:val="0"/>
          <w:numId w:val="45"/>
        </w:numPr>
        <w:spacing w:line="360" w:lineRule="auto"/>
        <w:ind w:firstLine="446" w:firstLineChars="200"/>
        <w:rPr>
          <w:rFonts w:hint="eastAsia" w:asciiTheme="minorEastAsia" w:hAnsiTheme="minorEastAsia" w:eastAsiaTheme="minorEastAsia" w:cstheme="minorEastAsia"/>
          <w:b/>
          <w:bCs/>
          <w:color w:val="auto"/>
          <w:spacing w:val="6"/>
          <w:szCs w:val="21"/>
          <w:lang w:val="en-US" w:eastAsia="zh-CN"/>
        </w:rPr>
      </w:pPr>
      <w:r>
        <w:rPr>
          <w:rFonts w:hint="eastAsia" w:asciiTheme="minorEastAsia" w:hAnsiTheme="minorEastAsia" w:eastAsiaTheme="minorEastAsia" w:cstheme="minorEastAsia"/>
          <w:b/>
          <w:bCs/>
          <w:color w:val="auto"/>
          <w:spacing w:val="6"/>
          <w:szCs w:val="21"/>
          <w:lang w:val="en-US" w:eastAsia="zh-CN"/>
        </w:rPr>
        <w:t>提供</w:t>
      </w:r>
      <w:r>
        <w:rPr>
          <w:rFonts w:hint="eastAsia" w:asciiTheme="minorEastAsia" w:hAnsiTheme="minorEastAsia" w:eastAsiaTheme="minorEastAsia" w:cstheme="minorEastAsia"/>
          <w:b/>
          <w:bCs/>
          <w:color w:val="auto"/>
          <w:spacing w:val="6"/>
          <w:szCs w:val="21"/>
        </w:rPr>
        <w:t>供应商企业规模、年产值、员工数量及制造商企业规模、年产值、员工数量等数据资</w:t>
      </w:r>
      <w:r>
        <w:rPr>
          <w:rFonts w:hint="eastAsia" w:asciiTheme="minorEastAsia" w:hAnsiTheme="minorEastAsia" w:eastAsiaTheme="minorEastAsia" w:cstheme="minorEastAsia"/>
          <w:b/>
          <w:bCs/>
          <w:color w:val="auto"/>
          <w:spacing w:val="6"/>
          <w:szCs w:val="21"/>
          <w:lang w:val="en-US" w:eastAsia="zh-CN"/>
        </w:rPr>
        <w:t>料。</w:t>
      </w:r>
    </w:p>
    <w:p>
      <w:pPr>
        <w:numPr>
          <w:ilvl w:val="0"/>
          <w:numId w:val="45"/>
        </w:numPr>
        <w:spacing w:line="360" w:lineRule="auto"/>
        <w:ind w:firstLine="446" w:firstLineChars="200"/>
        <w:rPr>
          <w:rFonts w:hint="eastAsia"/>
          <w:color w:val="auto"/>
          <w:lang w:val="en-US" w:eastAsia="zh-CN"/>
        </w:rPr>
      </w:pPr>
      <w:r>
        <w:rPr>
          <w:rFonts w:hint="eastAsia" w:asciiTheme="minorEastAsia" w:hAnsiTheme="minorEastAsia" w:eastAsiaTheme="minorEastAsia" w:cstheme="minorEastAsia"/>
          <w:b/>
          <w:bCs/>
          <w:color w:val="auto"/>
          <w:spacing w:val="6"/>
          <w:szCs w:val="21"/>
          <w:lang w:val="en-US" w:eastAsia="zh-CN"/>
        </w:rPr>
        <w:t>供应商非所投货物制造商的，还应当提供货物制造商的中小企业声明函，否则在评审时不予考虑。</w:t>
      </w:r>
    </w:p>
    <w:p>
      <w:pPr>
        <w:numPr>
          <w:ilvl w:val="0"/>
          <w:numId w:val="0"/>
        </w:numPr>
        <w:spacing w:line="360" w:lineRule="auto"/>
        <w:ind w:firstLine="444"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lang w:val="en-US" w:eastAsia="zh-CN"/>
        </w:rPr>
        <w:t>备注：未提供证明材料或材料不全的不予折扣。</w:t>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pacing w:val="6"/>
          <w:szCs w:val="21"/>
          <w:lang w:val="en-US" w:eastAsia="zh-CN"/>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rPr>
          <w:rFonts w:hint="eastAsia" w:asciiTheme="minorEastAsia" w:hAnsiTheme="minorEastAsia" w:eastAsiaTheme="minorEastAsia" w:cstheme="minorEastAsia"/>
          <w:color w:val="auto"/>
          <w:spacing w:val="6"/>
          <w:szCs w:val="21"/>
          <w:lang w:val="en-US" w:eastAsia="zh-CN"/>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spacing w:line="360" w:lineRule="auto"/>
        <w:ind w:firstLine="444" w:firstLineChars="200"/>
        <w:rPr>
          <w:rFonts w:hint="eastAsia" w:asciiTheme="minorEastAsia" w:hAnsiTheme="minorEastAsia" w:eastAsiaTheme="minorEastAsia" w:cstheme="minorEastAsia"/>
          <w:color w:val="auto"/>
          <w:spacing w:val="6"/>
          <w:szCs w:val="21"/>
        </w:rPr>
      </w:pPr>
    </w:p>
    <w:p>
      <w:pPr>
        <w:autoSpaceDE w:val="0"/>
        <w:autoSpaceDN w:val="0"/>
        <w:adjustRightInd w:val="0"/>
        <w:jc w:val="righ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rPr>
        <w:t xml:space="preserve">              </w:t>
      </w:r>
    </w:p>
    <w:bookmarkEnd w:id="120"/>
    <w:bookmarkEnd w:id="121"/>
    <w:bookmarkEnd w:id="122"/>
    <w:bookmarkEnd w:id="123"/>
    <w:p>
      <w:pPr>
        <w:numPr>
          <w:ilvl w:val="0"/>
          <w:numId w:val="0"/>
        </w:numPr>
        <w:adjustRightInd w:val="0"/>
        <w:snapToGrid w:val="0"/>
        <w:jc w:val="center"/>
        <w:outlineLvl w:val="1"/>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spacing w:val="6"/>
          <w:szCs w:val="21"/>
        </w:rPr>
        <w:br w:type="page"/>
      </w:r>
      <w:bookmarkStart w:id="221" w:name="_Toc26897"/>
      <w:bookmarkStart w:id="222" w:name="_Toc476839034"/>
      <w:bookmarkStart w:id="223" w:name="_Toc4320"/>
      <w:bookmarkStart w:id="224" w:name="_Toc30406"/>
      <w:bookmarkStart w:id="225" w:name="_Toc7229"/>
      <w:bookmarkStart w:id="226" w:name="_Toc479184141"/>
      <w:r>
        <w:rPr>
          <w:rFonts w:hint="eastAsia" w:asciiTheme="minorEastAsia" w:hAnsiTheme="minorEastAsia" w:eastAsiaTheme="minorEastAsia" w:cstheme="minorEastAsia"/>
          <w:b/>
          <w:bCs/>
          <w:color w:val="auto"/>
          <w:spacing w:val="6"/>
          <w:szCs w:val="21"/>
          <w:lang w:val="en-US" w:eastAsia="zh-CN"/>
        </w:rPr>
        <w:t>十七、</w:t>
      </w:r>
      <w:r>
        <w:rPr>
          <w:rFonts w:hint="eastAsia" w:asciiTheme="minorEastAsia" w:hAnsiTheme="minorEastAsia" w:eastAsiaTheme="minorEastAsia" w:cstheme="minorEastAsia"/>
          <w:b/>
          <w:bCs/>
          <w:color w:val="auto"/>
          <w:lang w:val="zh-CN"/>
        </w:rPr>
        <w:t>监狱企业证</w:t>
      </w:r>
      <w:r>
        <w:rPr>
          <w:rFonts w:hint="eastAsia" w:asciiTheme="minorEastAsia" w:hAnsiTheme="minorEastAsia" w:eastAsiaTheme="minorEastAsia" w:cstheme="minorEastAsia"/>
          <w:b/>
          <w:color w:val="auto"/>
          <w:lang w:val="zh-CN"/>
        </w:rPr>
        <w:t>明文</w:t>
      </w:r>
      <w:r>
        <w:rPr>
          <w:rFonts w:hint="eastAsia" w:asciiTheme="minorEastAsia" w:hAnsiTheme="minorEastAsia" w:eastAsiaTheme="minorEastAsia" w:cstheme="minorEastAsia"/>
          <w:b/>
          <w:color w:val="auto"/>
        </w:rPr>
        <w:t>件</w:t>
      </w:r>
      <w:r>
        <w:rPr>
          <w:rFonts w:hint="eastAsia" w:asciiTheme="minorEastAsia" w:hAnsiTheme="minorEastAsia" w:eastAsiaTheme="minorEastAsia" w:cstheme="minorEastAsia"/>
          <w:b/>
          <w:color w:val="auto"/>
          <w:lang w:val="zh-CN"/>
        </w:rPr>
        <w:t>（若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21"/>
    </w:p>
    <w:p>
      <w:pPr>
        <w:numPr>
          <w:ilvl w:val="0"/>
          <w:numId w:val="0"/>
        </w:numPr>
        <w:adjustRightInd w:val="0"/>
        <w:snapToGrid w:val="0"/>
        <w:jc w:val="center"/>
        <w:outlineLvl w:val="9"/>
        <w:rPr>
          <w:rFonts w:hint="eastAsia" w:asciiTheme="minorEastAsia" w:hAnsiTheme="minorEastAsia" w:eastAsiaTheme="minorEastAsia" w:cstheme="minorEastAsia"/>
          <w:color w:val="auto"/>
          <w:spacing w:val="6"/>
          <w:szCs w:val="21"/>
        </w:rPr>
      </w:pPr>
    </w:p>
    <w:p>
      <w:pPr>
        <w:numPr>
          <w:ilvl w:val="0"/>
          <w:numId w:val="0"/>
        </w:numPr>
        <w:spacing w:line="360" w:lineRule="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pacing w:val="6"/>
          <w:szCs w:val="21"/>
        </w:rPr>
        <w:t>供应商如是监狱企业，提供相关证明文件。</w:t>
      </w: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color w:val="auto"/>
          <w:szCs w:val="21"/>
        </w:rPr>
        <w:t>磋商供应商授权代表</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spacing w:line="360" w:lineRule="auto"/>
        <w:outlineLvl w:val="9"/>
        <w:rPr>
          <w:rFonts w:hint="eastAsia"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磋商</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color w:val="auto"/>
          <w:szCs w:val="21"/>
        </w:rPr>
        <w:t>名称（</w:t>
      </w:r>
      <w:r>
        <w:rPr>
          <w:rFonts w:hint="eastAsia" w:asciiTheme="minorEastAsia" w:hAnsiTheme="minorEastAsia" w:eastAsiaTheme="minorEastAsia" w:cstheme="minorEastAsia"/>
          <w:color w:val="auto"/>
          <w:szCs w:val="21"/>
          <w:lang w:val="en-US" w:eastAsia="zh-CN"/>
        </w:rPr>
        <w:t xml:space="preserve">盖章 </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 xml:space="preserve">                                     </w:t>
      </w:r>
    </w:p>
    <w:p>
      <w:pPr>
        <w:numPr>
          <w:ilvl w:val="0"/>
          <w:numId w:val="0"/>
        </w:numPr>
        <w:adjustRightInd w:val="0"/>
        <w:snapToGrid w:val="0"/>
        <w:jc w:val="both"/>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 xml:space="preserve">时                 </w:t>
      </w:r>
      <w:r>
        <w:rPr>
          <w:rFonts w:hint="eastAsia" w:asciiTheme="minorEastAsia" w:hAnsiTheme="minorEastAsia" w:eastAsiaTheme="minorEastAsia" w:cstheme="minorEastAsia"/>
          <w:color w:val="auto"/>
          <w:szCs w:val="21"/>
        </w:rPr>
        <w:t>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日</w:t>
      </w:r>
    </w:p>
    <w:p>
      <w:pPr>
        <w:numPr>
          <w:ilvl w:val="0"/>
          <w:numId w:val="0"/>
        </w:numPr>
        <w:adjustRightInd w:val="0"/>
        <w:snapToGrid w:val="0"/>
        <w:jc w:val="both"/>
        <w:outlineLvl w:val="9"/>
        <w:rPr>
          <w:rFonts w:hint="eastAsia" w:asciiTheme="minorEastAsia" w:hAnsiTheme="minorEastAsia" w:eastAsiaTheme="minorEastAsia" w:cstheme="minorEastAsia"/>
          <w:color w:val="auto"/>
          <w:spacing w:val="6"/>
          <w:szCs w:val="21"/>
        </w:rPr>
      </w:pPr>
    </w:p>
    <w:p>
      <w:pPr>
        <w:numPr>
          <w:ilvl w:val="0"/>
          <w:numId w:val="0"/>
        </w:numPr>
        <w:adjustRightInd w:val="0"/>
        <w:snapToGrid w:val="0"/>
        <w:jc w:val="both"/>
        <w:outlineLvl w:val="9"/>
        <w:rPr>
          <w:rFonts w:hint="eastAsia" w:asciiTheme="minorEastAsia" w:hAnsiTheme="minorEastAsia" w:eastAsiaTheme="minorEastAsia" w:cstheme="minorEastAsia"/>
          <w:color w:val="auto"/>
          <w:spacing w:val="6"/>
          <w:szCs w:val="21"/>
        </w:rPr>
      </w:pPr>
    </w:p>
    <w:p>
      <w:pPr>
        <w:outlineLvl w:val="9"/>
        <w:rPr>
          <w:rFonts w:hint="eastAsia"/>
          <w:color w:val="auto"/>
        </w:rPr>
      </w:pP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r>
        <w:rPr>
          <w:rFonts w:hint="eastAsia"/>
          <w:color w:val="auto"/>
        </w:rPr>
        <w:br w:type="textWrapping"/>
      </w:r>
    </w:p>
    <w:p>
      <w:pPr>
        <w:numPr>
          <w:ilvl w:val="0"/>
          <w:numId w:val="0"/>
        </w:numPr>
        <w:adjustRightInd w:val="0"/>
        <w:snapToGrid w:val="0"/>
        <w:jc w:val="center"/>
        <w:outlineLvl w:val="1"/>
        <w:rPr>
          <w:rFonts w:hint="eastAsia" w:asciiTheme="minorEastAsia" w:hAnsiTheme="minorEastAsia" w:eastAsiaTheme="minorEastAsia" w:cstheme="minorEastAsia"/>
          <w:b/>
          <w:color w:val="auto"/>
          <w:lang w:val="zh-CN"/>
        </w:rPr>
      </w:pPr>
      <w:bookmarkStart w:id="227" w:name="_Toc21843"/>
      <w:r>
        <w:rPr>
          <w:rFonts w:hint="eastAsia" w:asciiTheme="minorEastAsia" w:hAnsiTheme="minorEastAsia" w:eastAsiaTheme="minorEastAsia" w:cstheme="minorEastAsia"/>
          <w:color w:val="auto"/>
          <w:spacing w:val="6"/>
          <w:szCs w:val="21"/>
        </w:rPr>
        <w:br w:type="textWrapping"/>
      </w:r>
      <w:r>
        <w:rPr>
          <w:rFonts w:hint="eastAsia" w:asciiTheme="minorEastAsia" w:hAnsiTheme="minorEastAsia" w:eastAsiaTheme="minorEastAsia" w:cstheme="minorEastAsia"/>
          <w:b/>
          <w:color w:val="auto"/>
          <w:lang w:val="en-US" w:eastAsia="zh-CN"/>
        </w:rPr>
        <w:t>十八</w:t>
      </w:r>
      <w:r>
        <w:rPr>
          <w:rFonts w:hint="eastAsia" w:asciiTheme="minorEastAsia" w:hAnsiTheme="minorEastAsia" w:eastAsiaTheme="minorEastAsia" w:cstheme="minorEastAsia"/>
          <w:b/>
          <w:color w:val="auto"/>
        </w:rPr>
        <w:t>、</w:t>
      </w:r>
      <w:r>
        <w:rPr>
          <w:rFonts w:hint="eastAsia" w:asciiTheme="minorEastAsia" w:hAnsiTheme="minorEastAsia" w:eastAsiaTheme="minorEastAsia" w:cstheme="minorEastAsia"/>
          <w:b/>
          <w:color w:val="auto"/>
          <w:lang w:val="zh-CN"/>
        </w:rPr>
        <w:t>残疾人福利性单位声明函（若</w:t>
      </w:r>
      <w:r>
        <w:rPr>
          <w:rFonts w:hint="eastAsia" w:asciiTheme="minorEastAsia" w:hAnsiTheme="minorEastAsia" w:eastAsiaTheme="minorEastAsia" w:cstheme="minorEastAsia"/>
          <w:b/>
          <w:color w:val="auto"/>
          <w:lang w:val="en-US" w:eastAsia="zh-CN"/>
        </w:rPr>
        <w:t>符合</w:t>
      </w:r>
      <w:r>
        <w:rPr>
          <w:rFonts w:hint="eastAsia" w:asciiTheme="minorEastAsia" w:hAnsiTheme="minorEastAsia" w:eastAsiaTheme="minorEastAsia" w:cstheme="minorEastAsia"/>
          <w:b/>
          <w:color w:val="auto"/>
          <w:lang w:val="zh-CN"/>
        </w:rPr>
        <w:t>）</w:t>
      </w:r>
      <w:bookmarkEnd w:id="227"/>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郑重声明，根据《财政部民政部中国残疾人联合会关于促进残疾人就业政府采购政策的通知》（财库〔2017〕141号）的规定，本单位为符合条件的残疾人福利性单位（详见“残疾人福利性单位应当满足的条件”）。</w:t>
      </w:r>
    </w:p>
    <w:p>
      <w:pPr>
        <w:pStyle w:val="14"/>
        <w:spacing w:line="360" w:lineRule="auto"/>
        <w:ind w:firstLine="415" w:firstLineChars="198"/>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本单位授权</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w:t>
      </w:r>
      <w:r>
        <w:rPr>
          <w:rFonts w:hint="eastAsia" w:asciiTheme="minorEastAsia" w:hAnsiTheme="minorEastAsia" w:eastAsiaTheme="minorEastAsia" w:cstheme="minorEastAsia"/>
          <w:color w:val="auto"/>
          <w:sz w:val="21"/>
          <w:u w:val="single"/>
          <w:lang w:val="en-US" w:eastAsia="zh-CN"/>
        </w:rPr>
        <w:t>供应商</w:t>
      </w:r>
      <w:r>
        <w:rPr>
          <w:rFonts w:hint="eastAsia" w:asciiTheme="minorEastAsia" w:hAnsiTheme="minorEastAsia" w:eastAsiaTheme="minorEastAsia" w:cstheme="minorEastAsia"/>
          <w:color w:val="auto"/>
          <w:sz w:val="21"/>
          <w:u w:val="single"/>
        </w:rPr>
        <w:t xml:space="preserve">） </w:t>
      </w:r>
      <w:r>
        <w:rPr>
          <w:rFonts w:hint="eastAsia" w:asciiTheme="minorEastAsia" w:hAnsiTheme="minorEastAsia" w:eastAsiaTheme="minorEastAsia" w:cstheme="minorEastAsia"/>
          <w:color w:val="auto"/>
          <w:sz w:val="21"/>
        </w:rPr>
        <w:t>参加</w:t>
      </w:r>
      <w:r>
        <w:rPr>
          <w:rFonts w:hint="eastAsia" w:asciiTheme="minorEastAsia" w:hAnsiTheme="minorEastAsia" w:eastAsiaTheme="minorEastAsia" w:cstheme="minorEastAsia"/>
          <w:color w:val="auto"/>
          <w:sz w:val="21"/>
          <w:u w:val="single"/>
          <w:lang w:val="en-US" w:eastAsia="zh-CN"/>
        </w:rPr>
        <w:t xml:space="preserve">     </w:t>
      </w:r>
      <w:r>
        <w:rPr>
          <w:rFonts w:hint="eastAsia" w:asciiTheme="minorEastAsia" w:hAnsiTheme="minorEastAsia" w:eastAsiaTheme="minorEastAsia" w:cstheme="minorEastAsia"/>
          <w:color w:val="auto"/>
          <w:sz w:val="21"/>
          <w:u w:val="single"/>
        </w:rPr>
        <w:t>（采购人）</w:t>
      </w:r>
      <w:r>
        <w:rPr>
          <w:rFonts w:hint="eastAsia" w:asciiTheme="minorEastAsia" w:hAnsiTheme="minorEastAsia" w:eastAsiaTheme="minorEastAsia" w:cstheme="minorEastAsia"/>
          <w:color w:val="auto"/>
          <w:sz w:val="21"/>
        </w:rPr>
        <w:t>的</w:t>
      </w:r>
      <w:r>
        <w:rPr>
          <w:rFonts w:hint="eastAsia" w:asciiTheme="minorEastAsia" w:hAnsiTheme="minorEastAsia" w:eastAsiaTheme="minorEastAsia" w:cstheme="minorEastAsia"/>
          <w:color w:val="auto"/>
          <w:sz w:val="21"/>
          <w:u w:val="single"/>
        </w:rPr>
        <w:t>    </w:t>
      </w:r>
      <w:r>
        <w:rPr>
          <w:rFonts w:hint="eastAsia" w:asciiTheme="minorEastAsia" w:hAnsiTheme="minorEastAsia" w:eastAsiaTheme="minorEastAsia" w:cstheme="minorEastAsia"/>
          <w:color w:val="auto"/>
          <w:sz w:val="21"/>
        </w:rPr>
        <w:t>项目（项目编号：_____）采购活动提供本单位制造的货物（由本单位承担工程/提供服务）</w:t>
      </w:r>
      <w:r>
        <w:rPr>
          <w:rFonts w:hint="eastAsia" w:asciiTheme="minorEastAsia" w:hAnsiTheme="minorEastAsia" w:eastAsiaTheme="minorEastAsia" w:cstheme="minorEastAsia"/>
          <w:color w:val="auto"/>
          <w:sz w:val="21"/>
          <w:lang w:eastAsia="zh-CN"/>
        </w:rPr>
        <w:t>。或者提供其他残疾人福利性单位制造的货物（不包括使用非残疾人福利性单位注册商标的货物）。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本单位对上述声明的真实性负责。如有虚假，将依法承担相应责任。</w:t>
      </w:r>
    </w:p>
    <w:p>
      <w:pPr>
        <w:pStyle w:val="14"/>
        <w:spacing w:line="360" w:lineRule="auto"/>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bCs/>
          <w:color w:val="auto"/>
          <w:sz w:val="21"/>
        </w:rPr>
        <w:t>说明：</w:t>
      </w:r>
      <w:r>
        <w:rPr>
          <w:rFonts w:hint="eastAsia" w:asciiTheme="minorEastAsia" w:hAnsiTheme="minorEastAsia" w:eastAsiaTheme="minorEastAsia" w:cstheme="minorEastAsia"/>
          <w:color w:val="auto"/>
          <w:sz w:val="21"/>
        </w:rPr>
        <w:t>1、</w:t>
      </w:r>
      <w:r>
        <w:rPr>
          <w:rFonts w:hint="eastAsia" w:asciiTheme="minorEastAsia" w:hAnsiTheme="minorEastAsia" w:eastAsiaTheme="minorEastAsia" w:cstheme="minorEastAsia"/>
          <w:color w:val="auto"/>
          <w:sz w:val="21"/>
          <w:lang w:val="en-US" w:eastAsia="zh-CN"/>
        </w:rPr>
        <w:t>供应商</w:t>
      </w:r>
      <w:r>
        <w:rPr>
          <w:rFonts w:hint="eastAsia" w:asciiTheme="minorEastAsia" w:hAnsiTheme="minorEastAsia" w:eastAsiaTheme="minorEastAsia" w:cstheme="minorEastAsia"/>
          <w:color w:val="auto"/>
          <w:sz w:val="21"/>
        </w:rPr>
        <w:t>所投货物为自己制造的，也应按本声明函格式填写。</w:t>
      </w:r>
    </w:p>
    <w:p>
      <w:pPr>
        <w:pStyle w:val="14"/>
        <w:spacing w:line="360" w:lineRule="auto"/>
        <w:ind w:left="1033" w:leftChars="342" w:hanging="315" w:hangingChars="150"/>
        <w:jc w:val="left"/>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2、组成联合体的大中型企业和其他自然人、法人或者其他组织，与残疾人福利性单位之间不得存在投资关系。</w:t>
      </w:r>
    </w:p>
    <w:p>
      <w:pPr>
        <w:pStyle w:val="14"/>
        <w:spacing w:line="360" w:lineRule="auto"/>
        <w:ind w:left="1033" w:leftChars="342" w:hanging="315" w:hangingChars="15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1"/>
        </w:rPr>
        <w:t>3、如以联合体方式参与本项目响应的供应商，则应由联合体双方签字盖章。</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制造商（</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制造商法定代表人（签字）：</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磋商供应商法定代表人</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时                 间：           年          月          日</w:t>
      </w:r>
    </w:p>
    <w:p>
      <w:p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br w:type="textWrapping"/>
      </w:r>
      <w:r>
        <w:rPr>
          <w:rFonts w:hint="eastAsia" w:asciiTheme="minorEastAsia" w:hAnsiTheme="minorEastAsia" w:eastAsiaTheme="minorEastAsia" w:cstheme="minorEastAsia"/>
          <w:b w:val="0"/>
          <w:bCs w:val="0"/>
          <w:color w:val="auto"/>
          <w:szCs w:val="21"/>
          <w:lang w:val="zh-CN"/>
        </w:rPr>
        <w:t>备注：享受政府采购支持政策的残疾人福利性单位应当同时满足以下条件：</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安置的残疾人占本单位在职职工人数的比例不低于 25%（含 25%），并且安置的残疾人人数不少于 10 人（含 10 人）；</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依法与安置的每位残疾人签订了一年以上（含一年）的劳动合同或服务协议；</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为安置的每位残疾人按月足额缴纳了基本养老保险、基本医疗保险、失业保险、工伤保险和生育保险等社会保险费；</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通过银行等金融机构向安置的每位残疾人，按月支付了不低于单位所在区县适用的经省级人民政府批准的月最低工资标准的工资；</w:t>
      </w:r>
    </w:p>
    <w:p>
      <w:pPr>
        <w:numPr>
          <w:ilvl w:val="0"/>
          <w:numId w:val="46"/>
        </w:numPr>
        <w:spacing w:before="100" w:beforeAutospacing="1" w:after="100" w:afterAutospacing="1" w:line="240" w:lineRule="auto"/>
        <w:jc w:val="both"/>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numPr>
          <w:ilvl w:val="0"/>
          <w:numId w:val="0"/>
        </w:numPr>
        <w:spacing w:before="100" w:beforeAutospacing="1" w:after="100" w:afterAutospacing="1" w:line="360" w:lineRule="auto"/>
        <w:jc w:val="center"/>
        <w:outlineLvl w:val="1"/>
        <w:rPr>
          <w:rFonts w:hint="eastAsia" w:asciiTheme="minorEastAsia" w:hAnsiTheme="minorEastAsia" w:eastAsiaTheme="minorEastAsia" w:cstheme="minorEastAsia"/>
          <w:bCs/>
          <w:color w:val="auto"/>
          <w:szCs w:val="21"/>
          <w:u w:val="single"/>
        </w:rPr>
      </w:pPr>
      <w:bookmarkStart w:id="228" w:name="_Toc20002"/>
      <w:r>
        <w:rPr>
          <w:rFonts w:hint="eastAsia" w:asciiTheme="minorEastAsia" w:hAnsiTheme="minorEastAsia" w:eastAsiaTheme="minorEastAsia" w:cstheme="minorEastAsia"/>
          <w:b/>
          <w:color w:val="auto"/>
          <w:lang w:val="en-US" w:eastAsia="zh-CN"/>
        </w:rPr>
        <w:t>十九、节能环保产品证明材料（若符合）</w:t>
      </w:r>
      <w:bookmarkEnd w:id="228"/>
    </w:p>
    <w:p>
      <w:pPr>
        <w:adjustRightInd w:val="0"/>
        <w:snapToGrid w:val="0"/>
        <w:spacing w:line="240" w:lineRule="auto"/>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项目名称：                         </w:t>
      </w:r>
    </w:p>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项目编号：</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1</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节能产品：</w:t>
      </w:r>
    </w:p>
    <w:tbl>
      <w:tblPr>
        <w:tblStyle w:val="26"/>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109"/>
        <w:gridCol w:w="1370"/>
        <w:gridCol w:w="639"/>
        <w:gridCol w:w="639"/>
        <w:gridCol w:w="639"/>
        <w:gridCol w:w="1383"/>
        <w:gridCol w:w="130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设备名称</w:t>
            </w: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品牌</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型号</w:t>
            </w: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数量</w:t>
            </w: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单价（万元）</w:t>
            </w: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总价（万元）</w:t>
            </w: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属强制采购或优先采购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0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10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70"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63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4"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numPr>
          <w:ilvl w:val="0"/>
          <w:numId w:val="0"/>
        </w:numPr>
        <w:spacing w:before="100" w:beforeAutospacing="1" w:after="100" w:afterAutospacing="1" w:line="240" w:lineRule="auto"/>
        <w:jc w:val="left"/>
        <w:outlineLvl w:val="9"/>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环保产品：</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06"/>
        <w:gridCol w:w="1613"/>
        <w:gridCol w:w="849"/>
        <w:gridCol w:w="849"/>
        <w:gridCol w:w="849"/>
        <w:gridCol w:w="148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设备名称</w:t>
            </w: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val="en-US" w:eastAsia="zh-CN"/>
              </w:rPr>
              <w:t>制造商名称</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品牌</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型号</w:t>
            </w: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数量</w:t>
            </w: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单价（万元）</w:t>
            </w: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1306"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613"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84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487"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c>
          <w:tcPr>
            <w:tcW w:w="1389" w:type="dxa"/>
            <w:vAlign w:val="center"/>
          </w:tcPr>
          <w:p>
            <w:pPr>
              <w:adjustRightInd w:val="0"/>
              <w:snapToGrid w:val="0"/>
              <w:spacing w:line="360" w:lineRule="auto"/>
              <w:jc w:val="center"/>
              <w:rPr>
                <w:rFonts w:hint="eastAsia" w:asciiTheme="minorEastAsia" w:hAnsiTheme="minorEastAsia" w:eastAsiaTheme="minorEastAsia" w:cstheme="minorEastAsia"/>
                <w:color w:val="auto"/>
                <w:szCs w:val="21"/>
              </w:rPr>
            </w:pPr>
          </w:p>
        </w:tc>
      </w:tr>
    </w:tbl>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color w:val="auto"/>
          <w:szCs w:val="21"/>
          <w:lang w:val="en-US" w:eastAsia="zh-CN"/>
        </w:rPr>
        <w:t>注</w:t>
      </w:r>
      <w:r>
        <w:rPr>
          <w:rFonts w:hint="eastAsia" w:asciiTheme="minorEastAsia" w:hAnsiTheme="minorEastAsia" w:eastAsiaTheme="minorEastAsia" w:cstheme="minorEastAsia"/>
          <w:color w:val="auto"/>
          <w:szCs w:val="21"/>
        </w:rPr>
        <w:t>：供应商所提供产品如为节能环保产品，则应按本磋商文件第</w:t>
      </w:r>
      <w:r>
        <w:rPr>
          <w:rFonts w:hint="eastAsia" w:asciiTheme="minorEastAsia" w:hAnsiTheme="minorEastAsia" w:eastAsiaTheme="minorEastAsia" w:cstheme="minorEastAsia"/>
          <w:color w:val="auto"/>
          <w:szCs w:val="21"/>
          <w:lang w:val="en-US" w:eastAsia="zh-CN"/>
        </w:rPr>
        <w:t>四</w:t>
      </w:r>
      <w:r>
        <w:rPr>
          <w:rFonts w:hint="eastAsia" w:asciiTheme="minorEastAsia" w:hAnsiTheme="minorEastAsia" w:eastAsiaTheme="minorEastAsia" w:cstheme="minorEastAsia"/>
          <w:color w:val="auto"/>
          <w:szCs w:val="21"/>
        </w:rPr>
        <w:t>章</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lang w:val="en-US" w:eastAsia="zh-CN"/>
        </w:rPr>
        <w:t>政策支持</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提供相关证明材料，并将节能、环保产品分别列入上表中，未填写本表或未提供有效认证证书的不给予价格扣除。</w:t>
      </w:r>
      <w:r>
        <w:rPr>
          <w:rFonts w:hint="eastAsia" w:asciiTheme="minorEastAsia" w:hAnsiTheme="minorEastAsia" w:eastAsiaTheme="minorEastAsia" w:cstheme="minorEastAsia"/>
          <w:color w:val="auto"/>
          <w:szCs w:val="21"/>
        </w:rPr>
        <w:br w:type="textWrapping"/>
      </w:r>
      <w:r>
        <w:rPr>
          <w:rFonts w:hint="eastAsia" w:asciiTheme="minorEastAsia" w:hAnsiTheme="minorEastAsia" w:eastAsiaTheme="minorEastAsia" w:cstheme="minorEastAsia"/>
          <w:color w:val="auto"/>
          <w:szCs w:val="21"/>
        </w:rPr>
        <w:br w:type="textWrapping"/>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 w:val="0"/>
          <w:bCs w:val="0"/>
          <w:color w:val="auto"/>
          <w:szCs w:val="21"/>
          <w:lang w:val="zh-CN"/>
        </w:rPr>
        <w:t>时                 间：           年          月          日</w:t>
      </w:r>
      <w:r>
        <w:rPr>
          <w:rFonts w:hint="eastAsia" w:asciiTheme="minorEastAsia" w:hAnsiTheme="minorEastAsia" w:eastAsiaTheme="minorEastAsia" w:cstheme="minorEastAsia"/>
          <w:color w:val="auto"/>
          <w:szCs w:val="21"/>
        </w:rPr>
        <w:t xml:space="preserve"> </w:t>
      </w:r>
    </w:p>
    <w:p>
      <w:pPr>
        <w:numPr>
          <w:ilvl w:val="0"/>
          <w:numId w:val="0"/>
        </w:numPr>
        <w:spacing w:before="100" w:beforeAutospacing="1" w:after="100" w:afterAutospacing="1" w:line="360" w:lineRule="auto"/>
        <w:outlineLvl w:val="9"/>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u w:val="single"/>
        </w:rPr>
        <w:br w:type="textWrapping"/>
      </w:r>
    </w:p>
    <w:p>
      <w:pPr>
        <w:adjustRightInd w:val="0"/>
        <w:snapToGrid w:val="0"/>
        <w:spacing w:line="360" w:lineRule="auto"/>
        <w:jc w:val="center"/>
        <w:outlineLvl w:val="1"/>
        <w:rPr>
          <w:rFonts w:hint="eastAsia" w:asciiTheme="minorEastAsia" w:hAnsiTheme="minorEastAsia" w:eastAsiaTheme="minorEastAsia" w:cstheme="minorEastAsia"/>
          <w:b/>
          <w:color w:val="auto"/>
        </w:rPr>
      </w:pPr>
      <w:bookmarkStart w:id="229" w:name="_Toc4769"/>
      <w:r>
        <w:rPr>
          <w:rFonts w:hint="eastAsia" w:asciiTheme="minorEastAsia" w:hAnsiTheme="minorEastAsia" w:eastAsiaTheme="minorEastAsia" w:cstheme="minorEastAsia"/>
          <w:b/>
          <w:bCs/>
          <w:color w:val="auto"/>
          <w:spacing w:val="6"/>
          <w:szCs w:val="21"/>
          <w:lang w:val="en-US" w:eastAsia="zh-CN"/>
        </w:rPr>
        <w:t>二十</w:t>
      </w:r>
      <w:r>
        <w:rPr>
          <w:rFonts w:hint="eastAsia" w:asciiTheme="minorEastAsia" w:hAnsiTheme="minorEastAsia" w:eastAsiaTheme="minorEastAsia" w:cstheme="minorEastAsia"/>
          <w:b/>
          <w:bCs/>
          <w:color w:val="auto"/>
          <w:spacing w:val="6"/>
          <w:szCs w:val="21"/>
        </w:rPr>
        <w:t>、</w:t>
      </w:r>
      <w:r>
        <w:rPr>
          <w:rFonts w:hint="eastAsia" w:asciiTheme="minorEastAsia" w:hAnsiTheme="minorEastAsia" w:eastAsiaTheme="minorEastAsia" w:cstheme="minorEastAsia"/>
          <w:b/>
          <w:color w:val="auto"/>
        </w:rPr>
        <w:t>无重大违法记录声明</w:t>
      </w:r>
      <w:bookmarkEnd w:id="222"/>
      <w:bookmarkEnd w:id="223"/>
      <w:bookmarkEnd w:id="224"/>
      <w:bookmarkEnd w:id="225"/>
      <w:bookmarkEnd w:id="226"/>
      <w:bookmarkEnd w:id="229"/>
    </w:p>
    <w:p>
      <w:pPr>
        <w:spacing w:line="480" w:lineRule="auto"/>
        <w:jc w:val="center"/>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lang w:eastAsia="zh-CN"/>
        </w:rPr>
        <w:t>（</w:t>
      </w:r>
      <w:r>
        <w:rPr>
          <w:rFonts w:hint="eastAsia" w:asciiTheme="minorEastAsia" w:hAnsiTheme="minorEastAsia" w:eastAsiaTheme="minorEastAsia" w:cstheme="minorEastAsia"/>
          <w:b/>
          <w:bCs/>
          <w:color w:val="auto"/>
          <w:kern w:val="0"/>
          <w:sz w:val="24"/>
        </w:rPr>
        <w:t>磋商供应商应</w:t>
      </w:r>
      <w:r>
        <w:rPr>
          <w:rFonts w:hint="eastAsia" w:asciiTheme="minorEastAsia" w:hAnsiTheme="minorEastAsia" w:eastAsiaTheme="minorEastAsia" w:cstheme="minorEastAsia"/>
          <w:b/>
          <w:bCs/>
          <w:color w:val="auto"/>
          <w:kern w:val="0"/>
          <w:sz w:val="24"/>
          <w:lang w:val="en-US" w:eastAsia="zh-CN"/>
        </w:rPr>
        <w:t>在此基础上，</w:t>
      </w:r>
      <w:r>
        <w:rPr>
          <w:rFonts w:hint="eastAsia" w:asciiTheme="minorEastAsia" w:hAnsiTheme="minorEastAsia" w:eastAsiaTheme="minorEastAsia" w:cstheme="minorEastAsia"/>
          <w:b/>
          <w:bCs/>
          <w:color w:val="auto"/>
          <w:kern w:val="0"/>
          <w:sz w:val="24"/>
        </w:rPr>
        <w:t>根据本单位实际情况进行声明</w:t>
      </w:r>
      <w:r>
        <w:rPr>
          <w:rFonts w:hint="eastAsia" w:asciiTheme="minorEastAsia" w:hAnsiTheme="minorEastAsia" w:eastAsiaTheme="minorEastAsia" w:cstheme="minorEastAsia"/>
          <w:b/>
          <w:bCs/>
          <w:color w:val="auto"/>
          <w:kern w:val="0"/>
          <w:sz w:val="24"/>
          <w:lang w:eastAsia="zh-CN"/>
        </w:rPr>
        <w:t>）</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采购人和采购代理机构：</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rPr>
        <w:t>我方在此声明，我方在参加本</w:t>
      </w:r>
      <w:r>
        <w:rPr>
          <w:rFonts w:hint="eastAsia" w:asciiTheme="minorEastAsia" w:hAnsiTheme="minorEastAsia" w:eastAsiaTheme="minorEastAsia" w:cstheme="minorEastAsia"/>
          <w:color w:val="auto"/>
          <w:kern w:val="0"/>
          <w:szCs w:val="21"/>
          <w:shd w:val="clear" w:color="auto" w:fill="FFFFFF"/>
        </w:rPr>
        <w:t>次政府采购活动前三年内，在经营活动中没有以下重大违法记录：</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1.我方因违法经营被追究过刑事责任；</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2.我方因违法经营被责令停产停业、吊销许可证或者执照；</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3.我方因违法经营被处以较大数额罚款等行政处罚。</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w:t>
      </w:r>
      <w:r>
        <w:rPr>
          <w:rFonts w:hint="eastAsia" w:asciiTheme="minorEastAsia" w:hAnsiTheme="minorEastAsia" w:eastAsiaTheme="minorEastAsia" w:cstheme="minorEastAsia"/>
          <w:color w:val="auto"/>
          <w:kern w:val="0"/>
          <w:szCs w:val="21"/>
          <w:shd w:val="clear" w:color="auto" w:fill="FFFFFF"/>
          <w:lang w:eastAsia="zh-CN"/>
        </w:rPr>
        <w:t>成交</w:t>
      </w:r>
      <w:r>
        <w:rPr>
          <w:rFonts w:hint="eastAsia" w:asciiTheme="minorEastAsia" w:hAnsiTheme="minorEastAsia" w:eastAsiaTheme="minorEastAsia" w:cstheme="minorEastAsia"/>
          <w:color w:val="auto"/>
          <w:kern w:val="0"/>
          <w:szCs w:val="21"/>
          <w:shd w:val="clear" w:color="auto" w:fill="FFFFFF"/>
        </w:rPr>
        <w:t>、成交所引起的一切法律后果。</w:t>
      </w:r>
    </w:p>
    <w:p>
      <w:pPr>
        <w:spacing w:line="48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特此声明！</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 </w:t>
      </w:r>
    </w:p>
    <w:p>
      <w:pPr>
        <w:spacing w:line="48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kern w:val="0"/>
          <w:szCs w:val="21"/>
          <w:shd w:val="clear" w:color="auto" w:fill="FFFFFF"/>
        </w:rPr>
        <w:t>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磋商供应商法定代表人</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磋商供应商授权代表</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签字</w:t>
      </w:r>
      <w:r>
        <w:rPr>
          <w:rFonts w:hint="eastAsia" w:asciiTheme="minorEastAsia" w:hAnsiTheme="minorEastAsia" w:eastAsiaTheme="minorEastAsia" w:cstheme="minorEastAsia"/>
          <w:b w:val="0"/>
          <w:bCs w:val="0"/>
          <w:color w:val="auto"/>
          <w:szCs w:val="21"/>
          <w:lang w:val="zh-CN" w:eastAsia="zh-CN"/>
        </w:rPr>
        <w:t>）</w:t>
      </w:r>
      <w:r>
        <w:rPr>
          <w:rFonts w:hint="eastAsia" w:asciiTheme="minorEastAsia" w:hAnsiTheme="minorEastAsia" w:eastAsiaTheme="minorEastAsia" w:cstheme="minorEastAsia"/>
          <w:b w:val="0"/>
          <w:bCs w:val="0"/>
          <w:color w:val="auto"/>
          <w:szCs w:val="21"/>
          <w:lang w:val="zh-CN"/>
        </w:rPr>
        <w:t xml:space="preserve">：                        </w:t>
      </w:r>
    </w:p>
    <w:p>
      <w:pPr>
        <w:spacing w:before="100" w:beforeAutospacing="1" w:after="100" w:afterAutospacing="1" w:line="240" w:lineRule="auto"/>
        <w:jc w:val="left"/>
        <w:rPr>
          <w:rFonts w:hint="eastAsia" w:asciiTheme="minorEastAsia" w:hAnsiTheme="minorEastAsia" w:eastAsiaTheme="minorEastAsia" w:cstheme="minorEastAsia"/>
          <w:b w:val="0"/>
          <w:bCs w:val="0"/>
          <w:color w:val="auto"/>
          <w:szCs w:val="21"/>
          <w:lang w:val="zh-CN"/>
        </w:rPr>
      </w:pPr>
      <w:r>
        <w:rPr>
          <w:rFonts w:hint="eastAsia" w:asciiTheme="minorEastAsia" w:hAnsiTheme="minorEastAsia" w:eastAsiaTheme="minorEastAsia" w:cstheme="minorEastAsia"/>
          <w:b w:val="0"/>
          <w:bCs w:val="0"/>
          <w:color w:val="auto"/>
          <w:szCs w:val="21"/>
          <w:lang w:val="zh-CN"/>
        </w:rPr>
        <w:t>磋商供应商名称（</w:t>
      </w:r>
      <w:r>
        <w:rPr>
          <w:rFonts w:hint="eastAsia" w:asciiTheme="minorEastAsia" w:hAnsiTheme="minorEastAsia" w:eastAsiaTheme="minorEastAsia" w:cstheme="minorEastAsia"/>
          <w:b w:val="0"/>
          <w:bCs w:val="0"/>
          <w:color w:val="auto"/>
          <w:szCs w:val="21"/>
          <w:lang w:val="en-US" w:eastAsia="zh-CN"/>
        </w:rPr>
        <w:t>盖章</w:t>
      </w:r>
      <w:r>
        <w:rPr>
          <w:rFonts w:hint="eastAsia" w:asciiTheme="minorEastAsia" w:hAnsiTheme="minorEastAsia" w:eastAsiaTheme="minorEastAsia" w:cstheme="minorEastAsia"/>
          <w:b w:val="0"/>
          <w:bCs w:val="0"/>
          <w:color w:val="auto"/>
          <w:szCs w:val="21"/>
          <w:lang w:val="zh-CN"/>
        </w:rPr>
        <w:t xml:space="preserve">）：                                     </w:t>
      </w:r>
    </w:p>
    <w:p>
      <w:pPr>
        <w:spacing w:line="360" w:lineRule="auto"/>
        <w:rPr>
          <w:rFonts w:hint="eastAsia" w:asciiTheme="minorEastAsia" w:hAnsiTheme="minorEastAsia" w:eastAsiaTheme="minorEastAsia" w:cstheme="minorEastAsia"/>
          <w:color w:val="auto"/>
          <w:kern w:val="0"/>
          <w:szCs w:val="21"/>
          <w:shd w:val="clear" w:color="auto" w:fill="FFFFFF"/>
        </w:rPr>
      </w:pPr>
      <w:r>
        <w:rPr>
          <w:rFonts w:hint="eastAsia" w:asciiTheme="minorEastAsia" w:hAnsiTheme="minorEastAsia" w:eastAsiaTheme="minorEastAsia" w:cstheme="minorEastAsia"/>
          <w:b w:val="0"/>
          <w:bCs w:val="0"/>
          <w:color w:val="auto"/>
          <w:szCs w:val="21"/>
          <w:lang w:val="zh-CN"/>
        </w:rPr>
        <w:t>时                 间：           年          月          日</w:t>
      </w:r>
      <w:r>
        <w:rPr>
          <w:rFonts w:hint="eastAsia" w:asciiTheme="minorEastAsia" w:hAnsiTheme="minorEastAsia" w:eastAsiaTheme="minorEastAsia" w:cstheme="minorEastAsia"/>
          <w:color w:val="auto"/>
          <w:szCs w:val="21"/>
        </w:rPr>
        <w:t xml:space="preserve"> </w:t>
      </w:r>
    </w:p>
    <w:p>
      <w:pPr>
        <w:spacing w:line="360" w:lineRule="auto"/>
        <w:ind w:firstLine="420" w:firstLineChars="200"/>
        <w:rPr>
          <w:rFonts w:hint="eastAsia" w:asciiTheme="minorEastAsia" w:hAnsiTheme="minorEastAsia" w:eastAsiaTheme="minorEastAsia" w:cstheme="minorEastAsia"/>
          <w:color w:val="auto"/>
          <w:kern w:val="0"/>
          <w:szCs w:val="21"/>
          <w:shd w:val="clear" w:color="auto" w:fill="FFFFFF"/>
        </w:rPr>
      </w:pPr>
      <w:r>
        <w:rPr>
          <w:rFonts w:hint="eastAsia" w:asciiTheme="minorEastAsia" w:hAnsiTheme="minorEastAsia" w:eastAsiaTheme="minorEastAsia" w:cstheme="minorEastAsia"/>
          <w:color w:val="auto"/>
          <w:kern w:val="0"/>
          <w:szCs w:val="21"/>
          <w:shd w:val="clear" w:color="auto" w:fill="FFFFFF"/>
        </w:rPr>
        <w:t>注：发生的诉讼和仲裁情况仅限于供应商败诉的，且与经营活动有关的案件，不包括调解结案的案件。与经营活动有关，但尚未裁决或终审判决的案件请单独另附《情况说明》（说明内容：案件当事人、基本案情）。</w:t>
      </w:r>
      <w:r>
        <w:rPr>
          <w:rFonts w:hint="eastAsia" w:asciiTheme="minorEastAsia" w:hAnsiTheme="minorEastAsia" w:eastAsiaTheme="minorEastAsia" w:cstheme="minorEastAsia"/>
          <w:color w:val="auto"/>
          <w:kern w:val="0"/>
          <w:szCs w:val="21"/>
          <w:shd w:val="clear" w:color="auto" w:fill="FFFFFF"/>
        </w:rPr>
        <w:br w:type="textWrapping"/>
      </w:r>
    </w:p>
    <w:p>
      <w:pPr>
        <w:jc w:val="center"/>
        <w:outlineLvl w:val="1"/>
        <w:rPr>
          <w:rFonts w:hint="eastAsia" w:asciiTheme="minorEastAsia" w:hAnsiTheme="minorEastAsia" w:eastAsiaTheme="minorEastAsia" w:cstheme="minorEastAsia"/>
          <w:color w:val="auto"/>
          <w:spacing w:val="6"/>
          <w:szCs w:val="21"/>
        </w:rPr>
      </w:pPr>
      <w:bookmarkStart w:id="230" w:name="_Toc10829"/>
      <w:bookmarkStart w:id="231" w:name="_Toc16716"/>
      <w:r>
        <w:rPr>
          <w:rFonts w:hint="eastAsia" w:asciiTheme="minorEastAsia" w:hAnsiTheme="minorEastAsia" w:eastAsiaTheme="minorEastAsia" w:cstheme="minorEastAsia"/>
          <w:color w:val="auto"/>
          <w:kern w:val="0"/>
          <w:szCs w:val="21"/>
          <w:shd w:val="clear" w:color="auto" w:fill="FFFFFF"/>
        </w:rPr>
        <w:br w:type="textWrapping"/>
      </w:r>
      <w:r>
        <w:rPr>
          <w:rFonts w:hint="eastAsia" w:asciiTheme="minorEastAsia" w:hAnsiTheme="minorEastAsia" w:eastAsiaTheme="minorEastAsia" w:cstheme="minorEastAsia"/>
          <w:b/>
          <w:bCs/>
          <w:color w:val="auto"/>
          <w:kern w:val="0"/>
          <w:szCs w:val="21"/>
          <w:shd w:val="clear" w:color="auto" w:fill="FFFFFF"/>
          <w:lang w:val="en-US" w:eastAsia="zh-CN"/>
        </w:rPr>
        <w:t>二十一</w:t>
      </w:r>
      <w:r>
        <w:rPr>
          <w:rFonts w:hint="eastAsia" w:asciiTheme="minorEastAsia" w:hAnsiTheme="minorEastAsia" w:eastAsiaTheme="minorEastAsia" w:cstheme="minorEastAsia"/>
          <w:b/>
          <w:bCs/>
          <w:color w:val="auto"/>
          <w:kern w:val="0"/>
          <w:szCs w:val="21"/>
          <w:shd w:val="clear" w:color="auto" w:fill="FFFFFF"/>
        </w:rPr>
        <w:t>、磋商供应商认为应该提交的其它文件（格式自拟）</w:t>
      </w:r>
      <w:bookmarkEnd w:id="230"/>
      <w:bookmarkEnd w:id="231"/>
    </w:p>
    <w:sectPr>
      <w:footerReference r:id="rId7" w:type="default"/>
      <w:type w:val="continuous"/>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0"/>
      </w:rPr>
    </w:pPr>
    <w:r>
      <w:fldChar w:fldCharType="begin"/>
    </w:r>
    <w:r>
      <w:rPr>
        <w:rStyle w:val="30"/>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46</w:t>
    </w:r>
    <w: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PowerPlusWaterMarkObject2" o:spid="_x0000_s2049" o:spt="136" type="#_x0000_t136" style="position:absolute;left:0pt;height:200.25pt;width:600.75pt;mso-position-horizontal:center;mso-position-horizontal-relative:page;mso-position-vertical:center;mso-position-vertical-relative:page;rotation:20643840f;z-index:-251659264;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EA7B7"/>
    <w:multiLevelType w:val="singleLevel"/>
    <w:tmpl w:val="C95EA7B7"/>
    <w:lvl w:ilvl="0" w:tentative="0">
      <w:start w:val="1"/>
      <w:numFmt w:val="decimal"/>
      <w:suff w:val="nothing"/>
      <w:lvlText w:val="%1、"/>
      <w:lvlJc w:val="left"/>
    </w:lvl>
  </w:abstractNum>
  <w:abstractNum w:abstractNumId="1">
    <w:nsid w:val="D757A492"/>
    <w:multiLevelType w:val="singleLevel"/>
    <w:tmpl w:val="D757A492"/>
    <w:lvl w:ilvl="0" w:tentative="0">
      <w:start w:val="1"/>
      <w:numFmt w:val="decimal"/>
      <w:suff w:val="space"/>
      <w:lvlText w:val="%1）"/>
      <w:lvlJc w:val="left"/>
    </w:lvl>
  </w:abstractNum>
  <w:abstractNum w:abstractNumId="2">
    <w:nsid w:val="FF4B8943"/>
    <w:multiLevelType w:val="singleLevel"/>
    <w:tmpl w:val="FF4B8943"/>
    <w:lvl w:ilvl="0" w:tentative="0">
      <w:start w:val="1"/>
      <w:numFmt w:val="decimal"/>
      <w:suff w:val="nothing"/>
      <w:lvlText w:val="（%1）"/>
      <w:lvlJc w:val="left"/>
    </w:lvl>
  </w:abstractNum>
  <w:abstractNum w:abstractNumId="3">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5">
    <w:nsid w:val="044F5BAD"/>
    <w:multiLevelType w:val="singleLevel"/>
    <w:tmpl w:val="044F5BAD"/>
    <w:lvl w:ilvl="0" w:tentative="0">
      <w:start w:val="1"/>
      <w:numFmt w:val="decimal"/>
      <w:suff w:val="nothing"/>
      <w:lvlText w:val="（%1）"/>
      <w:lvlJc w:val="left"/>
    </w:lvl>
  </w:abstractNum>
  <w:abstractNum w:abstractNumId="6">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10152ABE"/>
    <w:multiLevelType w:val="multilevel"/>
    <w:tmpl w:val="10152AB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0"/>
        </w:tabs>
        <w:ind w:left="0" w:firstLine="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56E5987"/>
    <w:multiLevelType w:val="multilevel"/>
    <w:tmpl w:val="156E5987"/>
    <w:lvl w:ilvl="0" w:tentative="0">
      <w:start w:val="19"/>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15907297"/>
    <w:multiLevelType w:val="multilevel"/>
    <w:tmpl w:val="15907297"/>
    <w:lvl w:ilvl="0" w:tentative="0">
      <w:start w:val="1"/>
      <w:numFmt w:val="decimal"/>
      <w:pStyle w:val="79"/>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pStyle w:val="91"/>
      <w:lvlText w:val="%1.%2.%3"/>
      <w:lvlJc w:val="left"/>
      <w:pPr>
        <w:tabs>
          <w:tab w:val="left" w:pos="720"/>
        </w:tabs>
        <w:ind w:left="720" w:hanging="153"/>
      </w:pPr>
      <w:rPr>
        <w:rFonts w:hint="eastAsia"/>
      </w:rPr>
    </w:lvl>
    <w:lvl w:ilvl="3" w:tentative="0">
      <w:start w:val="1"/>
      <w:numFmt w:val="decimal"/>
      <w:pStyle w:val="78"/>
      <w:lvlText w:val="%1.%2.%3.%4"/>
      <w:lvlJc w:val="left"/>
      <w:pPr>
        <w:tabs>
          <w:tab w:val="left" w:pos="864"/>
        </w:tabs>
        <w:ind w:left="864" w:hanging="13"/>
      </w:pPr>
      <w:rPr>
        <w:rFonts w:hint="eastAsia"/>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159114E6"/>
    <w:multiLevelType w:val="multilevel"/>
    <w:tmpl w:val="159114E6"/>
    <w:lvl w:ilvl="0" w:tentative="0">
      <w:start w:val="14"/>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179B3BE8"/>
    <w:multiLevelType w:val="multilevel"/>
    <w:tmpl w:val="179B3BE8"/>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1E84619A"/>
    <w:multiLevelType w:val="singleLevel"/>
    <w:tmpl w:val="1E84619A"/>
    <w:lvl w:ilvl="0" w:tentative="0">
      <w:start w:val="1"/>
      <w:numFmt w:val="decimal"/>
      <w:suff w:val="nothing"/>
      <w:lvlText w:val="%1、"/>
      <w:lvlJc w:val="left"/>
    </w:lvl>
  </w:abstractNum>
  <w:abstractNum w:abstractNumId="17">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8">
    <w:nsid w:val="277F6DC9"/>
    <w:multiLevelType w:val="multilevel"/>
    <w:tmpl w:val="277F6DC9"/>
    <w:lvl w:ilvl="0" w:tentative="0">
      <w:start w:val="1"/>
      <w:numFmt w:val="decimal"/>
      <w:lvlText w:val="%1."/>
      <w:lvlJc w:val="left"/>
      <w:pPr>
        <w:tabs>
          <w:tab w:val="left" w:pos="990"/>
        </w:tabs>
        <w:ind w:left="99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9">
    <w:nsid w:val="2AA957BB"/>
    <w:multiLevelType w:val="multilevel"/>
    <w:tmpl w:val="2AA957BB"/>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292"/>
      </w:pPr>
      <w:rPr>
        <w:rFonts w:hint="eastAsia"/>
      </w:rPr>
    </w:lvl>
    <w:lvl w:ilvl="2" w:tentative="0">
      <w:start w:val="1"/>
      <w:numFmt w:val="decimal"/>
      <w:lvlText w:val="%1.%2.%3"/>
      <w:lvlJc w:val="left"/>
      <w:pPr>
        <w:tabs>
          <w:tab w:val="left" w:pos="720"/>
        </w:tabs>
        <w:ind w:left="720" w:hanging="153"/>
      </w:pPr>
      <w:rPr>
        <w:rFonts w:hint="eastAsia"/>
      </w:rPr>
    </w:lvl>
    <w:lvl w:ilvl="3" w:tentative="0">
      <w:start w:val="1"/>
      <w:numFmt w:val="bullet"/>
      <w:pStyle w:val="85"/>
      <w:lvlText w:val=""/>
      <w:lvlJc w:val="left"/>
      <w:pPr>
        <w:tabs>
          <w:tab w:val="left" w:pos="1271"/>
        </w:tabs>
        <w:ind w:left="1271" w:hanging="420"/>
      </w:pPr>
      <w:rPr>
        <w:rFonts w:hint="default" w:ascii="Wingdings" w:hAnsi="Wingdings"/>
      </w:rPr>
    </w:lvl>
    <w:lvl w:ilvl="4" w:tentative="0">
      <w:start w:val="1"/>
      <w:numFmt w:val="decimal"/>
      <w:lvlText w:val="%1.%2.%3.%4.%5"/>
      <w:lvlJc w:val="left"/>
      <w:pPr>
        <w:tabs>
          <w:tab w:val="left" w:pos="1008"/>
        </w:tabs>
        <w:ind w:left="1008" w:firstLine="126"/>
      </w:pPr>
      <w:rPr>
        <w:rFonts w:hint="eastAsia"/>
        <w:b/>
      </w:rPr>
    </w:lvl>
    <w:lvl w:ilvl="5" w:tentative="0">
      <w:start w:val="1"/>
      <w:numFmt w:val="decimal"/>
      <w:lvlText w:val="%1.%2.%3.%4.%5.%6"/>
      <w:lvlJc w:val="left"/>
      <w:pPr>
        <w:tabs>
          <w:tab w:val="left" w:pos="1152"/>
        </w:tabs>
        <w:ind w:left="1152" w:firstLine="266"/>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2C7A7351"/>
    <w:multiLevelType w:val="multilevel"/>
    <w:tmpl w:val="2C7A7351"/>
    <w:lvl w:ilvl="0" w:tentative="0">
      <w:start w:val="21"/>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35135A59"/>
    <w:multiLevelType w:val="multilevel"/>
    <w:tmpl w:val="35135A59"/>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3">
    <w:nsid w:val="359C51AA"/>
    <w:multiLevelType w:val="multilevel"/>
    <w:tmpl w:val="359C51AA"/>
    <w:lvl w:ilvl="0" w:tentative="0">
      <w:start w:val="18"/>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4">
    <w:nsid w:val="44274878"/>
    <w:multiLevelType w:val="multilevel"/>
    <w:tmpl w:val="44274878"/>
    <w:lvl w:ilvl="0" w:tentative="0">
      <w:start w:val="27"/>
      <w:numFmt w:val="decimal"/>
      <w:lvlText w:val="%1"/>
      <w:lvlJc w:val="left"/>
      <w:pPr>
        <w:ind w:left="360" w:hanging="360"/>
      </w:pPr>
      <w:rPr>
        <w:rFonts w:hint="default"/>
      </w:rPr>
    </w:lvl>
    <w:lvl w:ilvl="1" w:tentative="0">
      <w:start w:val="1"/>
      <w:numFmt w:val="decimal"/>
      <w:isLgl/>
      <w:lvlText w:val="%1.%2"/>
      <w:lvlJc w:val="left"/>
      <w:pPr>
        <w:ind w:left="510" w:hanging="510"/>
      </w:pPr>
      <w:rPr>
        <w:rFonts w:hint="default"/>
      </w:rPr>
    </w:lvl>
    <w:lvl w:ilvl="2" w:tentative="0">
      <w:start w:val="1"/>
      <w:numFmt w:val="decimal"/>
      <w:isLgl/>
      <w:lvlText w:val="%1.%2.%3"/>
      <w:lvlJc w:val="left"/>
      <w:pPr>
        <w:ind w:left="510" w:hanging="510"/>
      </w:pPr>
      <w:rPr>
        <w:rFonts w:hint="default"/>
      </w:rPr>
    </w:lvl>
    <w:lvl w:ilvl="3" w:tentative="0">
      <w:start w:val="1"/>
      <w:numFmt w:val="decimal"/>
      <w:isLgl/>
      <w:lvlText w:val="%1.%2.%3.%4"/>
      <w:lvlJc w:val="left"/>
      <w:pPr>
        <w:ind w:left="510" w:hanging="510"/>
      </w:pPr>
      <w:rPr>
        <w:rFonts w:hint="default"/>
      </w:rPr>
    </w:lvl>
    <w:lvl w:ilvl="4" w:tentative="0">
      <w:start w:val="1"/>
      <w:numFmt w:val="decimal"/>
      <w:isLgl/>
      <w:lvlText w:val="%1.%2.%3.%4.%5"/>
      <w:lvlJc w:val="left"/>
      <w:pPr>
        <w:ind w:left="510" w:hanging="510"/>
      </w:pPr>
      <w:rPr>
        <w:rFonts w:hint="default"/>
      </w:rPr>
    </w:lvl>
    <w:lvl w:ilvl="5" w:tentative="0">
      <w:start w:val="1"/>
      <w:numFmt w:val="decimal"/>
      <w:isLgl/>
      <w:lvlText w:val="%1.%2.%3.%4.%5.%6"/>
      <w:lvlJc w:val="left"/>
      <w:pPr>
        <w:ind w:left="510" w:hanging="510"/>
      </w:pPr>
      <w:rPr>
        <w:rFonts w:hint="default"/>
      </w:rPr>
    </w:lvl>
    <w:lvl w:ilvl="6" w:tentative="0">
      <w:start w:val="1"/>
      <w:numFmt w:val="decimal"/>
      <w:isLgl/>
      <w:lvlText w:val="%1.%2.%3.%4.%5.%6.%7"/>
      <w:lvlJc w:val="left"/>
      <w:pPr>
        <w:ind w:left="510" w:hanging="510"/>
      </w:pPr>
      <w:rPr>
        <w:rFonts w:hint="default"/>
      </w:rPr>
    </w:lvl>
    <w:lvl w:ilvl="7" w:tentative="0">
      <w:start w:val="1"/>
      <w:numFmt w:val="decimal"/>
      <w:isLgl/>
      <w:lvlText w:val="%1.%2.%3.%4.%5.%6.%7.%8"/>
      <w:lvlJc w:val="left"/>
      <w:pPr>
        <w:ind w:left="510" w:hanging="510"/>
      </w:pPr>
      <w:rPr>
        <w:rFonts w:hint="default"/>
      </w:rPr>
    </w:lvl>
    <w:lvl w:ilvl="8" w:tentative="0">
      <w:start w:val="1"/>
      <w:numFmt w:val="decimal"/>
      <w:isLgl/>
      <w:lvlText w:val="%1.%2.%3.%4.%5.%6.%7.%8.%9"/>
      <w:lvlJc w:val="left"/>
      <w:pPr>
        <w:ind w:left="510" w:hanging="510"/>
      </w:pPr>
      <w:rPr>
        <w:rFonts w:hint="default"/>
      </w:rPr>
    </w:lvl>
  </w:abstractNum>
  <w:abstractNum w:abstractNumId="25">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46C95EB7"/>
    <w:multiLevelType w:val="multilevel"/>
    <w:tmpl w:val="46C95EB7"/>
    <w:lvl w:ilvl="0" w:tentative="0">
      <w:start w:val="1"/>
      <w:numFmt w:val="decimal"/>
      <w:lvlText w:val="%1、"/>
      <w:lvlJc w:val="left"/>
      <w:pPr>
        <w:tabs>
          <w:tab w:val="left" w:pos="1305"/>
        </w:tabs>
        <w:ind w:left="1305" w:hanging="360"/>
      </w:pPr>
      <w:rPr>
        <w:rFonts w:hint="default"/>
      </w:rPr>
    </w:lvl>
    <w:lvl w:ilvl="1" w:tentative="0">
      <w:start w:val="1"/>
      <w:numFmt w:val="japaneseCounting"/>
      <w:lvlText w:val="%2、"/>
      <w:lvlJc w:val="left"/>
      <w:pPr>
        <w:tabs>
          <w:tab w:val="left" w:pos="1305"/>
        </w:tabs>
        <w:ind w:left="1305" w:hanging="465"/>
      </w:pPr>
      <w:rPr>
        <w:rFonts w:hint="default" w:cs="黑体"/>
      </w:rPr>
    </w:lvl>
    <w:lvl w:ilvl="2" w:tentative="0">
      <w:start w:val="1"/>
      <w:numFmt w:val="decimal"/>
      <w:lvlText w:val="%3)"/>
      <w:lvlJc w:val="left"/>
      <w:pPr>
        <w:tabs>
          <w:tab w:val="left" w:pos="1500"/>
        </w:tabs>
        <w:ind w:left="1500" w:hanging="240"/>
      </w:pPr>
      <w:rPr>
        <w:rFonts w:hint="default"/>
      </w:rPr>
    </w:lvl>
    <w:lvl w:ilvl="3" w:tentative="0">
      <w:start w:val="1"/>
      <w:numFmt w:val="decimal"/>
      <w:lvlText w:val="%4）"/>
      <w:lvlJc w:val="left"/>
      <w:pPr>
        <w:tabs>
          <w:tab w:val="left" w:pos="2040"/>
        </w:tabs>
        <w:ind w:left="2040" w:hanging="360"/>
      </w:pPr>
      <w:rPr>
        <w:rFonts w:hint="default"/>
      </w:rPr>
    </w:lvl>
    <w:lvl w:ilvl="4" w:tentative="0">
      <w:start w:val="4"/>
      <w:numFmt w:val="decimal"/>
      <w:lvlText w:val="%5．"/>
      <w:lvlJc w:val="left"/>
      <w:pPr>
        <w:tabs>
          <w:tab w:val="left" w:pos="2460"/>
        </w:tabs>
        <w:ind w:left="2460" w:hanging="360"/>
      </w:pPr>
      <w:rPr>
        <w:rFonts w:hint="default"/>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7">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28">
    <w:nsid w:val="4B331C36"/>
    <w:multiLevelType w:val="multilevel"/>
    <w:tmpl w:val="4B331C36"/>
    <w:lvl w:ilvl="0" w:tentative="0">
      <w:start w:val="1"/>
      <w:numFmt w:val="japaneseCounting"/>
      <w:pStyle w:val="90"/>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4F7C056F"/>
    <w:multiLevelType w:val="multilevel"/>
    <w:tmpl w:val="4F7C056F"/>
    <w:lvl w:ilvl="0" w:tentative="0">
      <w:start w:val="17"/>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0">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32">
    <w:nsid w:val="57063C4C"/>
    <w:multiLevelType w:val="singleLevel"/>
    <w:tmpl w:val="57063C4C"/>
    <w:lvl w:ilvl="0" w:tentative="0">
      <w:start w:val="1"/>
      <w:numFmt w:val="decimal"/>
      <w:suff w:val="nothing"/>
      <w:lvlText w:val="%1．"/>
      <w:lvlJc w:val="left"/>
      <w:pPr>
        <w:ind w:left="26" w:firstLine="400"/>
      </w:pPr>
      <w:rPr>
        <w:rFonts w:hint="default"/>
      </w:rPr>
    </w:lvl>
  </w:abstractNum>
  <w:abstractNum w:abstractNumId="33">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5">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6">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8">
    <w:nsid w:val="6CEA2025"/>
    <w:multiLevelType w:val="multilevel"/>
    <w:tmpl w:val="6CEA2025"/>
    <w:lvl w:ilvl="0" w:tentative="0">
      <w:start w:val="1"/>
      <w:numFmt w:val="none"/>
      <w:pStyle w:val="67"/>
      <w:suff w:val="nothing"/>
      <w:lvlText w:val="%1"/>
      <w:lvlJc w:val="left"/>
      <w:pPr>
        <w:ind w:left="0" w:firstLine="0"/>
      </w:pPr>
      <w:rPr>
        <w:rFonts w:hint="default" w:ascii="Times New Roman" w:hAnsi="Times New Roman"/>
        <w:b/>
        <w:i w:val="0"/>
        <w:sz w:val="21"/>
      </w:rPr>
    </w:lvl>
    <w:lvl w:ilvl="1" w:tentative="0">
      <w:start w:val="1"/>
      <w:numFmt w:val="decimal"/>
      <w:pStyle w:val="70"/>
      <w:suff w:val="nothing"/>
      <w:lvlText w:val="%1%2　"/>
      <w:lvlJc w:val="left"/>
      <w:pPr>
        <w:ind w:left="180" w:firstLine="0"/>
      </w:pPr>
      <w:rPr>
        <w:rFonts w:hint="eastAsia" w:ascii="黑体" w:hAnsi="Times New Roman" w:eastAsia="黑体"/>
        <w:b/>
        <w:i w:val="0"/>
        <w:sz w:val="24"/>
        <w:szCs w:val="24"/>
      </w:rPr>
    </w:lvl>
    <w:lvl w:ilvl="2" w:tentative="0">
      <w:start w:val="1"/>
      <w:numFmt w:val="decimal"/>
      <w:pStyle w:val="76"/>
      <w:suff w:val="nothing"/>
      <w:lvlText w:val="%1%2.%3　"/>
      <w:lvlJc w:val="left"/>
      <w:pPr>
        <w:ind w:left="720" w:firstLine="0"/>
      </w:pPr>
      <w:rPr>
        <w:rFonts w:hint="eastAsia" w:ascii="黑体" w:hAnsi="Times New Roman" w:eastAsia="黑体"/>
        <w:b w:val="0"/>
        <w:i w:val="0"/>
        <w:sz w:val="21"/>
      </w:rPr>
    </w:lvl>
    <w:lvl w:ilvl="3" w:tentative="0">
      <w:start w:val="1"/>
      <w:numFmt w:val="decimal"/>
      <w:pStyle w:val="75"/>
      <w:suff w:val="nothing"/>
      <w:lvlText w:val="%1%2.4.%4　"/>
      <w:lvlJc w:val="left"/>
      <w:pPr>
        <w:ind w:left="420" w:firstLine="0"/>
      </w:pPr>
      <w:rPr>
        <w:rFonts w:hint="eastAsia" w:ascii="黑体" w:hAnsi="Times New Roman" w:eastAsia="黑体"/>
        <w:b w:val="0"/>
        <w:i w:val="0"/>
        <w:sz w:val="21"/>
      </w:rPr>
    </w:lvl>
    <w:lvl w:ilvl="4" w:tentative="0">
      <w:start w:val="1"/>
      <w:numFmt w:val="decimal"/>
      <w:pStyle w:val="82"/>
      <w:suff w:val="nothing"/>
      <w:lvlText w:val="5.%12.5.%5　"/>
      <w:lvlJc w:val="left"/>
      <w:pPr>
        <w:ind w:left="42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6F113A89"/>
    <w:multiLevelType w:val="multilevel"/>
    <w:tmpl w:val="6F113A89"/>
    <w:lvl w:ilvl="0" w:tentative="0">
      <w:start w:val="16"/>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600"/>
        </w:tabs>
        <w:ind w:left="600" w:hanging="600"/>
      </w:pPr>
      <w:rPr>
        <w:rFonts w:hint="default"/>
      </w:rPr>
    </w:lvl>
    <w:lvl w:ilvl="3" w:tentative="0">
      <w:start w:val="1"/>
      <w:numFmt w:val="decimal"/>
      <w:lvlText w:val="%1.%2.%3.%4"/>
      <w:lvlJc w:val="left"/>
      <w:pPr>
        <w:tabs>
          <w:tab w:val="left" w:pos="600"/>
        </w:tabs>
        <w:ind w:left="600" w:hanging="600"/>
      </w:pPr>
      <w:rPr>
        <w:rFonts w:hint="default"/>
      </w:rPr>
    </w:lvl>
    <w:lvl w:ilvl="4" w:tentative="0">
      <w:start w:val="1"/>
      <w:numFmt w:val="decimal"/>
      <w:lvlText w:val="%1.%2.%3.%4.%5"/>
      <w:lvlJc w:val="left"/>
      <w:pPr>
        <w:tabs>
          <w:tab w:val="left" w:pos="600"/>
        </w:tabs>
        <w:ind w:left="600" w:hanging="600"/>
      </w:pPr>
      <w:rPr>
        <w:rFonts w:hint="default"/>
      </w:rPr>
    </w:lvl>
    <w:lvl w:ilvl="5" w:tentative="0">
      <w:start w:val="1"/>
      <w:numFmt w:val="decimal"/>
      <w:lvlText w:val="%1.%2.%3.%4.%5.%6"/>
      <w:lvlJc w:val="left"/>
      <w:pPr>
        <w:tabs>
          <w:tab w:val="left" w:pos="600"/>
        </w:tabs>
        <w:ind w:left="600" w:hanging="600"/>
      </w:pPr>
      <w:rPr>
        <w:rFonts w:hint="default"/>
      </w:rPr>
    </w:lvl>
    <w:lvl w:ilvl="6" w:tentative="0">
      <w:start w:val="1"/>
      <w:numFmt w:val="decimal"/>
      <w:lvlText w:val="%1.%2.%3.%4.%5.%6.%7"/>
      <w:lvlJc w:val="left"/>
      <w:pPr>
        <w:tabs>
          <w:tab w:val="left" w:pos="600"/>
        </w:tabs>
        <w:ind w:left="600" w:hanging="600"/>
      </w:pPr>
      <w:rPr>
        <w:rFonts w:hint="default"/>
      </w:rPr>
    </w:lvl>
    <w:lvl w:ilvl="7" w:tentative="0">
      <w:start w:val="1"/>
      <w:numFmt w:val="decimal"/>
      <w:lvlText w:val="%1.%2.%3.%4.%5.%6.%7.%8"/>
      <w:lvlJc w:val="left"/>
      <w:pPr>
        <w:tabs>
          <w:tab w:val="left" w:pos="600"/>
        </w:tabs>
        <w:ind w:left="600" w:hanging="600"/>
      </w:pPr>
      <w:rPr>
        <w:rFonts w:hint="default"/>
      </w:rPr>
    </w:lvl>
    <w:lvl w:ilvl="8" w:tentative="0">
      <w:start w:val="1"/>
      <w:numFmt w:val="decimal"/>
      <w:lvlText w:val="%1.%2.%3.%4.%5.%6.%7.%8.%9"/>
      <w:lvlJc w:val="left"/>
      <w:pPr>
        <w:tabs>
          <w:tab w:val="left" w:pos="600"/>
        </w:tabs>
        <w:ind w:left="600" w:hanging="600"/>
      </w:pPr>
      <w:rPr>
        <w:rFonts w:hint="default"/>
      </w:rPr>
    </w:lvl>
  </w:abstractNum>
  <w:abstractNum w:abstractNumId="40">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1">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62D7317"/>
    <w:multiLevelType w:val="multilevel"/>
    <w:tmpl w:val="762D7317"/>
    <w:lvl w:ilvl="0" w:tentative="0">
      <w:start w:val="22"/>
      <w:numFmt w:val="decimal"/>
      <w:lvlText w:val="%1"/>
      <w:lvlJc w:val="left"/>
      <w:pPr>
        <w:tabs>
          <w:tab w:val="left" w:pos="480"/>
        </w:tabs>
        <w:ind w:left="480" w:hanging="480"/>
      </w:pPr>
      <w:rPr>
        <w:rFonts w:hint="default"/>
      </w:rPr>
    </w:lvl>
    <w:lvl w:ilvl="1" w:tentative="0">
      <w:start w:val="1"/>
      <w:numFmt w:val="decimal"/>
      <w:lvlText w:val="%1.%2"/>
      <w:lvlJc w:val="left"/>
      <w:pPr>
        <w:tabs>
          <w:tab w:val="left" w:pos="840"/>
        </w:tabs>
        <w:ind w:left="840" w:hanging="48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3">
    <w:nsid w:val="7D1440D7"/>
    <w:multiLevelType w:val="multilevel"/>
    <w:tmpl w:val="7D1440D7"/>
    <w:lvl w:ilvl="0" w:tentative="0">
      <w:start w:val="1"/>
      <w:numFmt w:val="decimal"/>
      <w:lvlText w:val="%1）"/>
      <w:lvlJc w:val="left"/>
      <w:pPr>
        <w:tabs>
          <w:tab w:val="left" w:pos="2040"/>
        </w:tabs>
        <w:ind w:left="2040" w:hanging="360"/>
      </w:pPr>
      <w:rPr>
        <w:rFonts w:hint="default"/>
      </w:rPr>
    </w:lvl>
    <w:lvl w:ilvl="1" w:tentative="0">
      <w:start w:val="3"/>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rPr>
        <w:b w:val="0"/>
        <w:sz w:val="21"/>
        <w:szCs w:val="21"/>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5">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38"/>
  </w:num>
  <w:num w:numId="2">
    <w:abstractNumId w:val="11"/>
  </w:num>
  <w:num w:numId="3">
    <w:abstractNumId w:val="19"/>
  </w:num>
  <w:num w:numId="4">
    <w:abstractNumId w:val="28"/>
  </w:num>
  <w:num w:numId="5">
    <w:abstractNumId w:val="14"/>
  </w:num>
  <w:num w:numId="6">
    <w:abstractNumId w:val="13"/>
  </w:num>
  <w:num w:numId="7">
    <w:abstractNumId w:val="2"/>
  </w:num>
  <w:num w:numId="8">
    <w:abstractNumId w:val="32"/>
  </w:num>
  <w:num w:numId="9">
    <w:abstractNumId w:val="16"/>
  </w:num>
  <w:num w:numId="10">
    <w:abstractNumId w:val="9"/>
  </w:num>
  <w:num w:numId="11">
    <w:abstractNumId w:val="15"/>
  </w:num>
  <w:num w:numId="12">
    <w:abstractNumId w:val="34"/>
  </w:num>
  <w:num w:numId="13">
    <w:abstractNumId w:val="44"/>
  </w:num>
  <w:num w:numId="14">
    <w:abstractNumId w:val="45"/>
  </w:num>
  <w:num w:numId="15">
    <w:abstractNumId w:val="27"/>
  </w:num>
  <w:num w:numId="16">
    <w:abstractNumId w:val="30"/>
  </w:num>
  <w:num w:numId="17">
    <w:abstractNumId w:val="33"/>
  </w:num>
  <w:num w:numId="18">
    <w:abstractNumId w:val="35"/>
  </w:num>
  <w:num w:numId="19">
    <w:abstractNumId w:val="4"/>
  </w:num>
  <w:num w:numId="20">
    <w:abstractNumId w:val="37"/>
  </w:num>
  <w:num w:numId="21">
    <w:abstractNumId w:val="6"/>
  </w:num>
  <w:num w:numId="22">
    <w:abstractNumId w:val="25"/>
  </w:num>
  <w:num w:numId="23">
    <w:abstractNumId w:val="21"/>
  </w:num>
  <w:num w:numId="24">
    <w:abstractNumId w:val="40"/>
  </w:num>
  <w:num w:numId="25">
    <w:abstractNumId w:val="12"/>
  </w:num>
  <w:num w:numId="26">
    <w:abstractNumId w:val="26"/>
  </w:num>
  <w:num w:numId="27">
    <w:abstractNumId w:val="8"/>
  </w:num>
  <w:num w:numId="28">
    <w:abstractNumId w:val="39"/>
  </w:num>
  <w:num w:numId="29">
    <w:abstractNumId w:val="43"/>
  </w:num>
  <w:num w:numId="30">
    <w:abstractNumId w:val="29"/>
  </w:num>
  <w:num w:numId="31">
    <w:abstractNumId w:val="23"/>
  </w:num>
  <w:num w:numId="32">
    <w:abstractNumId w:val="10"/>
  </w:num>
  <w:num w:numId="33">
    <w:abstractNumId w:val="20"/>
  </w:num>
  <w:num w:numId="34">
    <w:abstractNumId w:val="42"/>
  </w:num>
  <w:num w:numId="35">
    <w:abstractNumId w:val="24"/>
  </w:num>
  <w:num w:numId="36">
    <w:abstractNumId w:val="1"/>
  </w:num>
  <w:num w:numId="37">
    <w:abstractNumId w:val="41"/>
  </w:num>
  <w:num w:numId="38">
    <w:abstractNumId w:val="36"/>
  </w:num>
  <w:num w:numId="39">
    <w:abstractNumId w:val="17"/>
  </w:num>
  <w:num w:numId="40">
    <w:abstractNumId w:val="31"/>
  </w:num>
  <w:num w:numId="41">
    <w:abstractNumId w:val="3"/>
  </w:num>
  <w:num w:numId="42">
    <w:abstractNumId w:val="18"/>
  </w:num>
  <w:num w:numId="43">
    <w:abstractNumId w:val="22"/>
  </w:num>
  <w:num w:numId="44">
    <w:abstractNumId w:val="7"/>
  </w:num>
  <w:num w:numId="45">
    <w:abstractNumId w:val="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68"/>
    <w:rsid w:val="000033B9"/>
    <w:rsid w:val="000047AE"/>
    <w:rsid w:val="00004A24"/>
    <w:rsid w:val="00004EFB"/>
    <w:rsid w:val="00007E56"/>
    <w:rsid w:val="0001587C"/>
    <w:rsid w:val="00015F4D"/>
    <w:rsid w:val="000215F4"/>
    <w:rsid w:val="00022666"/>
    <w:rsid w:val="00023392"/>
    <w:rsid w:val="000239A8"/>
    <w:rsid w:val="00024103"/>
    <w:rsid w:val="000253AD"/>
    <w:rsid w:val="0002669A"/>
    <w:rsid w:val="00026C24"/>
    <w:rsid w:val="00027066"/>
    <w:rsid w:val="0003059B"/>
    <w:rsid w:val="0003259A"/>
    <w:rsid w:val="0003403B"/>
    <w:rsid w:val="00034188"/>
    <w:rsid w:val="00034401"/>
    <w:rsid w:val="00034C37"/>
    <w:rsid w:val="00034DD0"/>
    <w:rsid w:val="00036612"/>
    <w:rsid w:val="00040CD1"/>
    <w:rsid w:val="00041FF2"/>
    <w:rsid w:val="00042D58"/>
    <w:rsid w:val="00043B68"/>
    <w:rsid w:val="00044766"/>
    <w:rsid w:val="00045299"/>
    <w:rsid w:val="00047217"/>
    <w:rsid w:val="00052BAD"/>
    <w:rsid w:val="00054956"/>
    <w:rsid w:val="000601EB"/>
    <w:rsid w:val="00060505"/>
    <w:rsid w:val="00061770"/>
    <w:rsid w:val="000637D5"/>
    <w:rsid w:val="00064234"/>
    <w:rsid w:val="00064EC5"/>
    <w:rsid w:val="00065B60"/>
    <w:rsid w:val="00066D4A"/>
    <w:rsid w:val="0006772A"/>
    <w:rsid w:val="0007168B"/>
    <w:rsid w:val="00073173"/>
    <w:rsid w:val="000738DC"/>
    <w:rsid w:val="000740E4"/>
    <w:rsid w:val="0007591B"/>
    <w:rsid w:val="000764B9"/>
    <w:rsid w:val="000808FD"/>
    <w:rsid w:val="00083858"/>
    <w:rsid w:val="00084E33"/>
    <w:rsid w:val="0008685D"/>
    <w:rsid w:val="000874D5"/>
    <w:rsid w:val="0008753B"/>
    <w:rsid w:val="000879E8"/>
    <w:rsid w:val="00087F0E"/>
    <w:rsid w:val="000927C7"/>
    <w:rsid w:val="000935C0"/>
    <w:rsid w:val="0009702B"/>
    <w:rsid w:val="00097DC4"/>
    <w:rsid w:val="000A08A5"/>
    <w:rsid w:val="000A1233"/>
    <w:rsid w:val="000A20A7"/>
    <w:rsid w:val="000A3F65"/>
    <w:rsid w:val="000A50F6"/>
    <w:rsid w:val="000A54F4"/>
    <w:rsid w:val="000A6C98"/>
    <w:rsid w:val="000B0404"/>
    <w:rsid w:val="000B0E4B"/>
    <w:rsid w:val="000B1147"/>
    <w:rsid w:val="000B1258"/>
    <w:rsid w:val="000B1404"/>
    <w:rsid w:val="000B25DE"/>
    <w:rsid w:val="000B27B8"/>
    <w:rsid w:val="000B3274"/>
    <w:rsid w:val="000B4D1A"/>
    <w:rsid w:val="000B6702"/>
    <w:rsid w:val="000C005A"/>
    <w:rsid w:val="000C114A"/>
    <w:rsid w:val="000C2471"/>
    <w:rsid w:val="000C3488"/>
    <w:rsid w:val="000C3DA3"/>
    <w:rsid w:val="000C420C"/>
    <w:rsid w:val="000C6D16"/>
    <w:rsid w:val="000C7ACA"/>
    <w:rsid w:val="000D017D"/>
    <w:rsid w:val="000D0DD2"/>
    <w:rsid w:val="000D3FD9"/>
    <w:rsid w:val="000D680D"/>
    <w:rsid w:val="000D75EB"/>
    <w:rsid w:val="000E044D"/>
    <w:rsid w:val="000E1552"/>
    <w:rsid w:val="000E1D32"/>
    <w:rsid w:val="000E2E3B"/>
    <w:rsid w:val="000E4823"/>
    <w:rsid w:val="000F09C3"/>
    <w:rsid w:val="000F25D9"/>
    <w:rsid w:val="000F2A59"/>
    <w:rsid w:val="000F661F"/>
    <w:rsid w:val="00100A0F"/>
    <w:rsid w:val="00101897"/>
    <w:rsid w:val="001025BD"/>
    <w:rsid w:val="00102981"/>
    <w:rsid w:val="00102DF0"/>
    <w:rsid w:val="00104978"/>
    <w:rsid w:val="001074B3"/>
    <w:rsid w:val="0010789F"/>
    <w:rsid w:val="001141C4"/>
    <w:rsid w:val="00114D60"/>
    <w:rsid w:val="001163B1"/>
    <w:rsid w:val="00116C7E"/>
    <w:rsid w:val="00124AA6"/>
    <w:rsid w:val="00125943"/>
    <w:rsid w:val="00127C5B"/>
    <w:rsid w:val="00134B30"/>
    <w:rsid w:val="00134FD7"/>
    <w:rsid w:val="0013620B"/>
    <w:rsid w:val="001408A8"/>
    <w:rsid w:val="00142545"/>
    <w:rsid w:val="0014282F"/>
    <w:rsid w:val="0014397E"/>
    <w:rsid w:val="00145432"/>
    <w:rsid w:val="001478B2"/>
    <w:rsid w:val="00150976"/>
    <w:rsid w:val="00150BBE"/>
    <w:rsid w:val="00150C35"/>
    <w:rsid w:val="00151409"/>
    <w:rsid w:val="00151CA6"/>
    <w:rsid w:val="00152FC8"/>
    <w:rsid w:val="00155948"/>
    <w:rsid w:val="001627D3"/>
    <w:rsid w:val="00162FE0"/>
    <w:rsid w:val="0016373B"/>
    <w:rsid w:val="00170342"/>
    <w:rsid w:val="00172C43"/>
    <w:rsid w:val="00173A77"/>
    <w:rsid w:val="0017427A"/>
    <w:rsid w:val="001744CA"/>
    <w:rsid w:val="001749AF"/>
    <w:rsid w:val="00175CFD"/>
    <w:rsid w:val="00175F5F"/>
    <w:rsid w:val="001777D8"/>
    <w:rsid w:val="0018039E"/>
    <w:rsid w:val="00181E47"/>
    <w:rsid w:val="001839B5"/>
    <w:rsid w:val="00185050"/>
    <w:rsid w:val="00185F86"/>
    <w:rsid w:val="00186CF1"/>
    <w:rsid w:val="00187F0E"/>
    <w:rsid w:val="00191399"/>
    <w:rsid w:val="00192611"/>
    <w:rsid w:val="001930D2"/>
    <w:rsid w:val="00194A27"/>
    <w:rsid w:val="00197EF1"/>
    <w:rsid w:val="001A02ED"/>
    <w:rsid w:val="001A1937"/>
    <w:rsid w:val="001A263A"/>
    <w:rsid w:val="001A2EB5"/>
    <w:rsid w:val="001A36FE"/>
    <w:rsid w:val="001A3E2E"/>
    <w:rsid w:val="001A4886"/>
    <w:rsid w:val="001A4FEF"/>
    <w:rsid w:val="001B0296"/>
    <w:rsid w:val="001B07C7"/>
    <w:rsid w:val="001B07DE"/>
    <w:rsid w:val="001B1154"/>
    <w:rsid w:val="001B20B0"/>
    <w:rsid w:val="001B727F"/>
    <w:rsid w:val="001B78A1"/>
    <w:rsid w:val="001C1736"/>
    <w:rsid w:val="001C1DA4"/>
    <w:rsid w:val="001C33E7"/>
    <w:rsid w:val="001C3B5D"/>
    <w:rsid w:val="001C4413"/>
    <w:rsid w:val="001C5A5B"/>
    <w:rsid w:val="001C6428"/>
    <w:rsid w:val="001C6B84"/>
    <w:rsid w:val="001D4194"/>
    <w:rsid w:val="001D4319"/>
    <w:rsid w:val="001D572B"/>
    <w:rsid w:val="001D7585"/>
    <w:rsid w:val="001E0C05"/>
    <w:rsid w:val="001E3837"/>
    <w:rsid w:val="001E3E08"/>
    <w:rsid w:val="001E3F69"/>
    <w:rsid w:val="001E56C2"/>
    <w:rsid w:val="001E63BF"/>
    <w:rsid w:val="001E744E"/>
    <w:rsid w:val="001F0E30"/>
    <w:rsid w:val="001F0E43"/>
    <w:rsid w:val="001F15DC"/>
    <w:rsid w:val="001F4124"/>
    <w:rsid w:val="001F44D4"/>
    <w:rsid w:val="001F6F7C"/>
    <w:rsid w:val="00202287"/>
    <w:rsid w:val="00203024"/>
    <w:rsid w:val="00204550"/>
    <w:rsid w:val="00205017"/>
    <w:rsid w:val="00205438"/>
    <w:rsid w:val="002062AF"/>
    <w:rsid w:val="002063F0"/>
    <w:rsid w:val="00207D04"/>
    <w:rsid w:val="00207DD9"/>
    <w:rsid w:val="00211F1C"/>
    <w:rsid w:val="00213D50"/>
    <w:rsid w:val="00220C09"/>
    <w:rsid w:val="00225358"/>
    <w:rsid w:val="002261E6"/>
    <w:rsid w:val="00226DC3"/>
    <w:rsid w:val="00227ED9"/>
    <w:rsid w:val="00230501"/>
    <w:rsid w:val="002339D1"/>
    <w:rsid w:val="00233ACA"/>
    <w:rsid w:val="00235704"/>
    <w:rsid w:val="002359B0"/>
    <w:rsid w:val="00235C97"/>
    <w:rsid w:val="00235F58"/>
    <w:rsid w:val="00235F62"/>
    <w:rsid w:val="00240060"/>
    <w:rsid w:val="00243A8A"/>
    <w:rsid w:val="00247965"/>
    <w:rsid w:val="002509F0"/>
    <w:rsid w:val="00251B5C"/>
    <w:rsid w:val="002530F4"/>
    <w:rsid w:val="00253653"/>
    <w:rsid w:val="00253BAC"/>
    <w:rsid w:val="0025542B"/>
    <w:rsid w:val="0025626F"/>
    <w:rsid w:val="00256A91"/>
    <w:rsid w:val="002603F9"/>
    <w:rsid w:val="002623C9"/>
    <w:rsid w:val="0026428F"/>
    <w:rsid w:val="002646B0"/>
    <w:rsid w:val="00265C3F"/>
    <w:rsid w:val="00267586"/>
    <w:rsid w:val="00267DB6"/>
    <w:rsid w:val="00270533"/>
    <w:rsid w:val="00271F95"/>
    <w:rsid w:val="002729C3"/>
    <w:rsid w:val="00273196"/>
    <w:rsid w:val="0027335E"/>
    <w:rsid w:val="002739FC"/>
    <w:rsid w:val="00273FBB"/>
    <w:rsid w:val="0027522F"/>
    <w:rsid w:val="002759DC"/>
    <w:rsid w:val="00280409"/>
    <w:rsid w:val="00281E10"/>
    <w:rsid w:val="002852EB"/>
    <w:rsid w:val="002861D3"/>
    <w:rsid w:val="00287848"/>
    <w:rsid w:val="00290E4C"/>
    <w:rsid w:val="00293D8B"/>
    <w:rsid w:val="002942BF"/>
    <w:rsid w:val="0029782F"/>
    <w:rsid w:val="0029786C"/>
    <w:rsid w:val="002A2523"/>
    <w:rsid w:val="002A4287"/>
    <w:rsid w:val="002A4B44"/>
    <w:rsid w:val="002A5FE4"/>
    <w:rsid w:val="002A6048"/>
    <w:rsid w:val="002A6253"/>
    <w:rsid w:val="002A62EA"/>
    <w:rsid w:val="002A647B"/>
    <w:rsid w:val="002A64F2"/>
    <w:rsid w:val="002A7BA2"/>
    <w:rsid w:val="002B18B4"/>
    <w:rsid w:val="002B1B84"/>
    <w:rsid w:val="002B1F08"/>
    <w:rsid w:val="002B2E16"/>
    <w:rsid w:val="002B4AA4"/>
    <w:rsid w:val="002B4E54"/>
    <w:rsid w:val="002B58F7"/>
    <w:rsid w:val="002C151B"/>
    <w:rsid w:val="002C1964"/>
    <w:rsid w:val="002C2691"/>
    <w:rsid w:val="002C2825"/>
    <w:rsid w:val="002C41E4"/>
    <w:rsid w:val="002C461D"/>
    <w:rsid w:val="002C4CD2"/>
    <w:rsid w:val="002C5671"/>
    <w:rsid w:val="002C57F2"/>
    <w:rsid w:val="002C62DA"/>
    <w:rsid w:val="002D44D6"/>
    <w:rsid w:val="002D4D2D"/>
    <w:rsid w:val="002D682B"/>
    <w:rsid w:val="002D78B4"/>
    <w:rsid w:val="002D79E1"/>
    <w:rsid w:val="002E034F"/>
    <w:rsid w:val="002E03D7"/>
    <w:rsid w:val="002E3B90"/>
    <w:rsid w:val="002E5B25"/>
    <w:rsid w:val="002E621E"/>
    <w:rsid w:val="002E6941"/>
    <w:rsid w:val="002E7568"/>
    <w:rsid w:val="002E7BCB"/>
    <w:rsid w:val="002F04D7"/>
    <w:rsid w:val="002F4524"/>
    <w:rsid w:val="002F4F9A"/>
    <w:rsid w:val="00300A17"/>
    <w:rsid w:val="00300DE8"/>
    <w:rsid w:val="00301075"/>
    <w:rsid w:val="00303733"/>
    <w:rsid w:val="00304C84"/>
    <w:rsid w:val="00306010"/>
    <w:rsid w:val="003072A8"/>
    <w:rsid w:val="00307CF7"/>
    <w:rsid w:val="00310E92"/>
    <w:rsid w:val="0031173B"/>
    <w:rsid w:val="00311C3E"/>
    <w:rsid w:val="003120D8"/>
    <w:rsid w:val="00312B4A"/>
    <w:rsid w:val="003219E3"/>
    <w:rsid w:val="00323623"/>
    <w:rsid w:val="00326087"/>
    <w:rsid w:val="0032719C"/>
    <w:rsid w:val="003278E1"/>
    <w:rsid w:val="00330A2D"/>
    <w:rsid w:val="00330B2E"/>
    <w:rsid w:val="00330B59"/>
    <w:rsid w:val="003328A4"/>
    <w:rsid w:val="00332C49"/>
    <w:rsid w:val="00333FA6"/>
    <w:rsid w:val="00335AF3"/>
    <w:rsid w:val="00337E74"/>
    <w:rsid w:val="00340003"/>
    <w:rsid w:val="00340409"/>
    <w:rsid w:val="00341769"/>
    <w:rsid w:val="00342802"/>
    <w:rsid w:val="003433E3"/>
    <w:rsid w:val="00343E09"/>
    <w:rsid w:val="003469C4"/>
    <w:rsid w:val="00346C9E"/>
    <w:rsid w:val="0034708C"/>
    <w:rsid w:val="0035254D"/>
    <w:rsid w:val="0035442F"/>
    <w:rsid w:val="003544F2"/>
    <w:rsid w:val="00360437"/>
    <w:rsid w:val="003614ED"/>
    <w:rsid w:val="0036151C"/>
    <w:rsid w:val="003636FC"/>
    <w:rsid w:val="00363B0E"/>
    <w:rsid w:val="0036524C"/>
    <w:rsid w:val="00365CE5"/>
    <w:rsid w:val="00366A63"/>
    <w:rsid w:val="00371F39"/>
    <w:rsid w:val="00371F92"/>
    <w:rsid w:val="00374C54"/>
    <w:rsid w:val="00377473"/>
    <w:rsid w:val="0037775F"/>
    <w:rsid w:val="003804FB"/>
    <w:rsid w:val="00382FC0"/>
    <w:rsid w:val="00383978"/>
    <w:rsid w:val="00384AB1"/>
    <w:rsid w:val="00385E6D"/>
    <w:rsid w:val="003861E9"/>
    <w:rsid w:val="003911FB"/>
    <w:rsid w:val="00392E5E"/>
    <w:rsid w:val="003939DC"/>
    <w:rsid w:val="00395273"/>
    <w:rsid w:val="0039777F"/>
    <w:rsid w:val="003A0645"/>
    <w:rsid w:val="003A0D8F"/>
    <w:rsid w:val="003A345A"/>
    <w:rsid w:val="003A3569"/>
    <w:rsid w:val="003A3BED"/>
    <w:rsid w:val="003A40C4"/>
    <w:rsid w:val="003A53FA"/>
    <w:rsid w:val="003A6DDF"/>
    <w:rsid w:val="003B229A"/>
    <w:rsid w:val="003B2550"/>
    <w:rsid w:val="003B2851"/>
    <w:rsid w:val="003B2E90"/>
    <w:rsid w:val="003B3303"/>
    <w:rsid w:val="003C0602"/>
    <w:rsid w:val="003C09A4"/>
    <w:rsid w:val="003C25C8"/>
    <w:rsid w:val="003C26BA"/>
    <w:rsid w:val="003C347E"/>
    <w:rsid w:val="003C40BC"/>
    <w:rsid w:val="003D2108"/>
    <w:rsid w:val="003D3DE1"/>
    <w:rsid w:val="003D43F4"/>
    <w:rsid w:val="003D4CCD"/>
    <w:rsid w:val="003E1DFB"/>
    <w:rsid w:val="003E3023"/>
    <w:rsid w:val="003E434A"/>
    <w:rsid w:val="003E5FD1"/>
    <w:rsid w:val="003F2162"/>
    <w:rsid w:val="003F2483"/>
    <w:rsid w:val="003F5780"/>
    <w:rsid w:val="003F5C2F"/>
    <w:rsid w:val="003F61E2"/>
    <w:rsid w:val="003F6EBF"/>
    <w:rsid w:val="0040035B"/>
    <w:rsid w:val="00400767"/>
    <w:rsid w:val="00400FF3"/>
    <w:rsid w:val="00401592"/>
    <w:rsid w:val="00401B39"/>
    <w:rsid w:val="00401F8D"/>
    <w:rsid w:val="00403EC7"/>
    <w:rsid w:val="00404737"/>
    <w:rsid w:val="00404AC0"/>
    <w:rsid w:val="0040715A"/>
    <w:rsid w:val="0041082C"/>
    <w:rsid w:val="00412EE9"/>
    <w:rsid w:val="00413598"/>
    <w:rsid w:val="00414D62"/>
    <w:rsid w:val="004151E7"/>
    <w:rsid w:val="0041672A"/>
    <w:rsid w:val="004168C6"/>
    <w:rsid w:val="00421282"/>
    <w:rsid w:val="004212E6"/>
    <w:rsid w:val="00421300"/>
    <w:rsid w:val="004225F2"/>
    <w:rsid w:val="00423062"/>
    <w:rsid w:val="00425599"/>
    <w:rsid w:val="00426AE9"/>
    <w:rsid w:val="004317F4"/>
    <w:rsid w:val="00431F70"/>
    <w:rsid w:val="004330C5"/>
    <w:rsid w:val="00435FDF"/>
    <w:rsid w:val="004417F5"/>
    <w:rsid w:val="00441812"/>
    <w:rsid w:val="00444B91"/>
    <w:rsid w:val="00444D72"/>
    <w:rsid w:val="00450A56"/>
    <w:rsid w:val="004529FE"/>
    <w:rsid w:val="00453191"/>
    <w:rsid w:val="004536D3"/>
    <w:rsid w:val="00454F59"/>
    <w:rsid w:val="004574D4"/>
    <w:rsid w:val="00460CF7"/>
    <w:rsid w:val="00462FA9"/>
    <w:rsid w:val="0046424E"/>
    <w:rsid w:val="004650B1"/>
    <w:rsid w:val="004654A9"/>
    <w:rsid w:val="00466CD9"/>
    <w:rsid w:val="00470049"/>
    <w:rsid w:val="00471C4F"/>
    <w:rsid w:val="00473C97"/>
    <w:rsid w:val="00474CAA"/>
    <w:rsid w:val="00475D91"/>
    <w:rsid w:val="00476316"/>
    <w:rsid w:val="004813F2"/>
    <w:rsid w:val="004840EA"/>
    <w:rsid w:val="004866AA"/>
    <w:rsid w:val="004877AD"/>
    <w:rsid w:val="00487B13"/>
    <w:rsid w:val="00487CDF"/>
    <w:rsid w:val="0049128D"/>
    <w:rsid w:val="00491BD8"/>
    <w:rsid w:val="0049242C"/>
    <w:rsid w:val="00492661"/>
    <w:rsid w:val="00494B84"/>
    <w:rsid w:val="004962D7"/>
    <w:rsid w:val="00497E9A"/>
    <w:rsid w:val="004A07F3"/>
    <w:rsid w:val="004A0A22"/>
    <w:rsid w:val="004A23AB"/>
    <w:rsid w:val="004A26B9"/>
    <w:rsid w:val="004A3BF6"/>
    <w:rsid w:val="004A3EC8"/>
    <w:rsid w:val="004A4250"/>
    <w:rsid w:val="004A4EB1"/>
    <w:rsid w:val="004A51E7"/>
    <w:rsid w:val="004A5714"/>
    <w:rsid w:val="004A583E"/>
    <w:rsid w:val="004A7813"/>
    <w:rsid w:val="004A7E77"/>
    <w:rsid w:val="004B1E35"/>
    <w:rsid w:val="004B3A16"/>
    <w:rsid w:val="004B3E63"/>
    <w:rsid w:val="004B4034"/>
    <w:rsid w:val="004B43E3"/>
    <w:rsid w:val="004B5BE2"/>
    <w:rsid w:val="004B673B"/>
    <w:rsid w:val="004B69BD"/>
    <w:rsid w:val="004B6BF2"/>
    <w:rsid w:val="004B7C76"/>
    <w:rsid w:val="004C01B4"/>
    <w:rsid w:val="004C36E8"/>
    <w:rsid w:val="004C3992"/>
    <w:rsid w:val="004C5ABD"/>
    <w:rsid w:val="004C7CF4"/>
    <w:rsid w:val="004D2C5A"/>
    <w:rsid w:val="004D3E0A"/>
    <w:rsid w:val="004D4E37"/>
    <w:rsid w:val="004D64B3"/>
    <w:rsid w:val="004D667C"/>
    <w:rsid w:val="004D674E"/>
    <w:rsid w:val="004D7E2E"/>
    <w:rsid w:val="004E0CE5"/>
    <w:rsid w:val="004E1FCE"/>
    <w:rsid w:val="004E5B0B"/>
    <w:rsid w:val="004E68F9"/>
    <w:rsid w:val="004F1700"/>
    <w:rsid w:val="004F1836"/>
    <w:rsid w:val="004F1C14"/>
    <w:rsid w:val="004F3520"/>
    <w:rsid w:val="004F463B"/>
    <w:rsid w:val="004F4AE7"/>
    <w:rsid w:val="004F4ED7"/>
    <w:rsid w:val="004F5FEC"/>
    <w:rsid w:val="004F62B8"/>
    <w:rsid w:val="0050076B"/>
    <w:rsid w:val="00502D31"/>
    <w:rsid w:val="00502FE2"/>
    <w:rsid w:val="00503A40"/>
    <w:rsid w:val="00503DBA"/>
    <w:rsid w:val="00504F72"/>
    <w:rsid w:val="00506AFD"/>
    <w:rsid w:val="00510CC0"/>
    <w:rsid w:val="00512066"/>
    <w:rsid w:val="00512E41"/>
    <w:rsid w:val="00513F7B"/>
    <w:rsid w:val="00514311"/>
    <w:rsid w:val="005149E1"/>
    <w:rsid w:val="00521C3F"/>
    <w:rsid w:val="00523722"/>
    <w:rsid w:val="00525EA0"/>
    <w:rsid w:val="0052675A"/>
    <w:rsid w:val="00530AC1"/>
    <w:rsid w:val="00530AEB"/>
    <w:rsid w:val="00531BAA"/>
    <w:rsid w:val="0053207C"/>
    <w:rsid w:val="00534A40"/>
    <w:rsid w:val="00535705"/>
    <w:rsid w:val="005366C2"/>
    <w:rsid w:val="00536974"/>
    <w:rsid w:val="00543F14"/>
    <w:rsid w:val="005522F1"/>
    <w:rsid w:val="005535DE"/>
    <w:rsid w:val="005538A7"/>
    <w:rsid w:val="0055465D"/>
    <w:rsid w:val="00554B6C"/>
    <w:rsid w:val="00554CD6"/>
    <w:rsid w:val="00555455"/>
    <w:rsid w:val="00555470"/>
    <w:rsid w:val="0055601F"/>
    <w:rsid w:val="00557813"/>
    <w:rsid w:val="00561D16"/>
    <w:rsid w:val="00564205"/>
    <w:rsid w:val="00567C36"/>
    <w:rsid w:val="00567F98"/>
    <w:rsid w:val="00570148"/>
    <w:rsid w:val="00570D42"/>
    <w:rsid w:val="00571337"/>
    <w:rsid w:val="00572087"/>
    <w:rsid w:val="00572729"/>
    <w:rsid w:val="00572851"/>
    <w:rsid w:val="00572CBA"/>
    <w:rsid w:val="00572F28"/>
    <w:rsid w:val="005730AB"/>
    <w:rsid w:val="0057497A"/>
    <w:rsid w:val="00575D74"/>
    <w:rsid w:val="00576EB0"/>
    <w:rsid w:val="00576FD7"/>
    <w:rsid w:val="00577616"/>
    <w:rsid w:val="00580693"/>
    <w:rsid w:val="005809F8"/>
    <w:rsid w:val="0058131F"/>
    <w:rsid w:val="005829E5"/>
    <w:rsid w:val="00583E5E"/>
    <w:rsid w:val="00590C4F"/>
    <w:rsid w:val="005913E3"/>
    <w:rsid w:val="005945E8"/>
    <w:rsid w:val="00595EB3"/>
    <w:rsid w:val="00596FB7"/>
    <w:rsid w:val="0059796C"/>
    <w:rsid w:val="005A07C7"/>
    <w:rsid w:val="005A1094"/>
    <w:rsid w:val="005A158B"/>
    <w:rsid w:val="005A18A8"/>
    <w:rsid w:val="005A5010"/>
    <w:rsid w:val="005A66DA"/>
    <w:rsid w:val="005B1331"/>
    <w:rsid w:val="005B34C8"/>
    <w:rsid w:val="005B3A1F"/>
    <w:rsid w:val="005B6422"/>
    <w:rsid w:val="005B6680"/>
    <w:rsid w:val="005B674D"/>
    <w:rsid w:val="005C1616"/>
    <w:rsid w:val="005C1B3A"/>
    <w:rsid w:val="005C4110"/>
    <w:rsid w:val="005C4B6B"/>
    <w:rsid w:val="005D08DC"/>
    <w:rsid w:val="005D2929"/>
    <w:rsid w:val="005D4A76"/>
    <w:rsid w:val="005D7313"/>
    <w:rsid w:val="005E02CE"/>
    <w:rsid w:val="005E1654"/>
    <w:rsid w:val="005E2A51"/>
    <w:rsid w:val="005E34B3"/>
    <w:rsid w:val="005E466A"/>
    <w:rsid w:val="005E6B54"/>
    <w:rsid w:val="005E754F"/>
    <w:rsid w:val="005F0A04"/>
    <w:rsid w:val="005F1228"/>
    <w:rsid w:val="005F33C9"/>
    <w:rsid w:val="005F3D99"/>
    <w:rsid w:val="005F5ED3"/>
    <w:rsid w:val="006001B3"/>
    <w:rsid w:val="00601AE5"/>
    <w:rsid w:val="0060350F"/>
    <w:rsid w:val="00603B97"/>
    <w:rsid w:val="00604B0F"/>
    <w:rsid w:val="00604C27"/>
    <w:rsid w:val="00605E39"/>
    <w:rsid w:val="00610024"/>
    <w:rsid w:val="00610A77"/>
    <w:rsid w:val="006134CF"/>
    <w:rsid w:val="00613E47"/>
    <w:rsid w:val="006146CA"/>
    <w:rsid w:val="00614F81"/>
    <w:rsid w:val="0061537F"/>
    <w:rsid w:val="006156F7"/>
    <w:rsid w:val="006158ED"/>
    <w:rsid w:val="006160A3"/>
    <w:rsid w:val="00616747"/>
    <w:rsid w:val="00617325"/>
    <w:rsid w:val="006177F7"/>
    <w:rsid w:val="0062159F"/>
    <w:rsid w:val="00623215"/>
    <w:rsid w:val="00624015"/>
    <w:rsid w:val="00624ABD"/>
    <w:rsid w:val="006256B1"/>
    <w:rsid w:val="006260DB"/>
    <w:rsid w:val="00626356"/>
    <w:rsid w:val="0062642C"/>
    <w:rsid w:val="00626EA7"/>
    <w:rsid w:val="00634D15"/>
    <w:rsid w:val="006351F3"/>
    <w:rsid w:val="00636117"/>
    <w:rsid w:val="00641E86"/>
    <w:rsid w:val="0064217E"/>
    <w:rsid w:val="00642979"/>
    <w:rsid w:val="00645283"/>
    <w:rsid w:val="006459D5"/>
    <w:rsid w:val="00646657"/>
    <w:rsid w:val="00646713"/>
    <w:rsid w:val="006477EE"/>
    <w:rsid w:val="00650533"/>
    <w:rsid w:val="00650FBC"/>
    <w:rsid w:val="0065141E"/>
    <w:rsid w:val="00653135"/>
    <w:rsid w:val="006536A2"/>
    <w:rsid w:val="006545B0"/>
    <w:rsid w:val="00654CED"/>
    <w:rsid w:val="00660348"/>
    <w:rsid w:val="006604C1"/>
    <w:rsid w:val="0066378A"/>
    <w:rsid w:val="006674BB"/>
    <w:rsid w:val="00667F16"/>
    <w:rsid w:val="00670FAB"/>
    <w:rsid w:val="00671072"/>
    <w:rsid w:val="00671594"/>
    <w:rsid w:val="0067167B"/>
    <w:rsid w:val="00671E63"/>
    <w:rsid w:val="006762CB"/>
    <w:rsid w:val="0067778A"/>
    <w:rsid w:val="006808BD"/>
    <w:rsid w:val="0068114C"/>
    <w:rsid w:val="00682105"/>
    <w:rsid w:val="0068216D"/>
    <w:rsid w:val="00682453"/>
    <w:rsid w:val="0068470E"/>
    <w:rsid w:val="00685219"/>
    <w:rsid w:val="0068527F"/>
    <w:rsid w:val="00685D09"/>
    <w:rsid w:val="006870B3"/>
    <w:rsid w:val="006879A5"/>
    <w:rsid w:val="00692797"/>
    <w:rsid w:val="00692D08"/>
    <w:rsid w:val="006938E5"/>
    <w:rsid w:val="00693DC5"/>
    <w:rsid w:val="00694BD6"/>
    <w:rsid w:val="006979DD"/>
    <w:rsid w:val="006979ED"/>
    <w:rsid w:val="006A04CE"/>
    <w:rsid w:val="006A06C3"/>
    <w:rsid w:val="006A197B"/>
    <w:rsid w:val="006A24E0"/>
    <w:rsid w:val="006A349B"/>
    <w:rsid w:val="006A4EB4"/>
    <w:rsid w:val="006B070B"/>
    <w:rsid w:val="006B1662"/>
    <w:rsid w:val="006B212E"/>
    <w:rsid w:val="006B3A4C"/>
    <w:rsid w:val="006B411E"/>
    <w:rsid w:val="006B42FC"/>
    <w:rsid w:val="006B4EC8"/>
    <w:rsid w:val="006B5102"/>
    <w:rsid w:val="006C0618"/>
    <w:rsid w:val="006C11E1"/>
    <w:rsid w:val="006C1B17"/>
    <w:rsid w:val="006C1FBB"/>
    <w:rsid w:val="006C5486"/>
    <w:rsid w:val="006C6067"/>
    <w:rsid w:val="006C667E"/>
    <w:rsid w:val="006D001D"/>
    <w:rsid w:val="006D04DA"/>
    <w:rsid w:val="006D171A"/>
    <w:rsid w:val="006D1ABC"/>
    <w:rsid w:val="006D4C38"/>
    <w:rsid w:val="006D65EF"/>
    <w:rsid w:val="006D7C32"/>
    <w:rsid w:val="006E0B77"/>
    <w:rsid w:val="006E2B1D"/>
    <w:rsid w:val="006E3DDC"/>
    <w:rsid w:val="006E4106"/>
    <w:rsid w:val="006E43A8"/>
    <w:rsid w:val="006E506B"/>
    <w:rsid w:val="006E5F4F"/>
    <w:rsid w:val="006E6948"/>
    <w:rsid w:val="006E7106"/>
    <w:rsid w:val="006E7519"/>
    <w:rsid w:val="006F04AD"/>
    <w:rsid w:val="006F1B49"/>
    <w:rsid w:val="006F571B"/>
    <w:rsid w:val="006F7746"/>
    <w:rsid w:val="0070076E"/>
    <w:rsid w:val="007018B6"/>
    <w:rsid w:val="00702B2E"/>
    <w:rsid w:val="007031A3"/>
    <w:rsid w:val="00703AC7"/>
    <w:rsid w:val="007060C5"/>
    <w:rsid w:val="00707CF9"/>
    <w:rsid w:val="00707D6D"/>
    <w:rsid w:val="00707DBC"/>
    <w:rsid w:val="00714FB9"/>
    <w:rsid w:val="00717640"/>
    <w:rsid w:val="0072062D"/>
    <w:rsid w:val="007242CF"/>
    <w:rsid w:val="007245AA"/>
    <w:rsid w:val="00725281"/>
    <w:rsid w:val="0072778E"/>
    <w:rsid w:val="00727E0F"/>
    <w:rsid w:val="00731178"/>
    <w:rsid w:val="007312BC"/>
    <w:rsid w:val="0073210B"/>
    <w:rsid w:val="00732911"/>
    <w:rsid w:val="00737A9A"/>
    <w:rsid w:val="0074030C"/>
    <w:rsid w:val="007440C9"/>
    <w:rsid w:val="00744474"/>
    <w:rsid w:val="00744AF1"/>
    <w:rsid w:val="00745998"/>
    <w:rsid w:val="0074606E"/>
    <w:rsid w:val="00746605"/>
    <w:rsid w:val="00747D48"/>
    <w:rsid w:val="00750AD7"/>
    <w:rsid w:val="00752756"/>
    <w:rsid w:val="00753955"/>
    <w:rsid w:val="007540A6"/>
    <w:rsid w:val="00755C30"/>
    <w:rsid w:val="0075697C"/>
    <w:rsid w:val="00756CDD"/>
    <w:rsid w:val="00757482"/>
    <w:rsid w:val="00760970"/>
    <w:rsid w:val="00763507"/>
    <w:rsid w:val="00763BB1"/>
    <w:rsid w:val="00767104"/>
    <w:rsid w:val="007671A0"/>
    <w:rsid w:val="007704EF"/>
    <w:rsid w:val="00770A6C"/>
    <w:rsid w:val="007749F0"/>
    <w:rsid w:val="0077591C"/>
    <w:rsid w:val="00775959"/>
    <w:rsid w:val="00776424"/>
    <w:rsid w:val="00776942"/>
    <w:rsid w:val="00777FB3"/>
    <w:rsid w:val="007804D2"/>
    <w:rsid w:val="00780BC2"/>
    <w:rsid w:val="00781507"/>
    <w:rsid w:val="00781ABE"/>
    <w:rsid w:val="007836C9"/>
    <w:rsid w:val="00785C0A"/>
    <w:rsid w:val="007864D7"/>
    <w:rsid w:val="00791159"/>
    <w:rsid w:val="00791934"/>
    <w:rsid w:val="0079516C"/>
    <w:rsid w:val="00797750"/>
    <w:rsid w:val="007A196A"/>
    <w:rsid w:val="007A25EF"/>
    <w:rsid w:val="007A294B"/>
    <w:rsid w:val="007B3F0C"/>
    <w:rsid w:val="007B3F75"/>
    <w:rsid w:val="007B6DA5"/>
    <w:rsid w:val="007B732F"/>
    <w:rsid w:val="007C0895"/>
    <w:rsid w:val="007C1124"/>
    <w:rsid w:val="007C1383"/>
    <w:rsid w:val="007C1FED"/>
    <w:rsid w:val="007C31C0"/>
    <w:rsid w:val="007C3714"/>
    <w:rsid w:val="007C48B8"/>
    <w:rsid w:val="007C5ABA"/>
    <w:rsid w:val="007D050F"/>
    <w:rsid w:val="007D21B0"/>
    <w:rsid w:val="007D24DD"/>
    <w:rsid w:val="007D3CB1"/>
    <w:rsid w:val="007D45A7"/>
    <w:rsid w:val="007D6D18"/>
    <w:rsid w:val="007D72D3"/>
    <w:rsid w:val="007E5890"/>
    <w:rsid w:val="007F1C25"/>
    <w:rsid w:val="007F3188"/>
    <w:rsid w:val="007F3E56"/>
    <w:rsid w:val="007F41A7"/>
    <w:rsid w:val="007F626E"/>
    <w:rsid w:val="007F63EE"/>
    <w:rsid w:val="007F6D9D"/>
    <w:rsid w:val="007F79E9"/>
    <w:rsid w:val="007F7E37"/>
    <w:rsid w:val="00801928"/>
    <w:rsid w:val="00801FC4"/>
    <w:rsid w:val="00802723"/>
    <w:rsid w:val="00802A21"/>
    <w:rsid w:val="008030F0"/>
    <w:rsid w:val="008041E8"/>
    <w:rsid w:val="00806D9B"/>
    <w:rsid w:val="00810B21"/>
    <w:rsid w:val="0081277D"/>
    <w:rsid w:val="00814014"/>
    <w:rsid w:val="008144BF"/>
    <w:rsid w:val="00815C7B"/>
    <w:rsid w:val="00816A3A"/>
    <w:rsid w:val="00817FDB"/>
    <w:rsid w:val="00820BF3"/>
    <w:rsid w:val="00821774"/>
    <w:rsid w:val="008219F7"/>
    <w:rsid w:val="00827143"/>
    <w:rsid w:val="00827B66"/>
    <w:rsid w:val="00827F6B"/>
    <w:rsid w:val="00830F70"/>
    <w:rsid w:val="00832EEC"/>
    <w:rsid w:val="00833768"/>
    <w:rsid w:val="00835BF5"/>
    <w:rsid w:val="008364C2"/>
    <w:rsid w:val="00843EAB"/>
    <w:rsid w:val="008441E4"/>
    <w:rsid w:val="0084442E"/>
    <w:rsid w:val="00845552"/>
    <w:rsid w:val="00847218"/>
    <w:rsid w:val="00850D24"/>
    <w:rsid w:val="00852233"/>
    <w:rsid w:val="00861300"/>
    <w:rsid w:val="00862348"/>
    <w:rsid w:val="00862913"/>
    <w:rsid w:val="00862D43"/>
    <w:rsid w:val="00863138"/>
    <w:rsid w:val="00863E09"/>
    <w:rsid w:val="0086480A"/>
    <w:rsid w:val="00865A89"/>
    <w:rsid w:val="0087020A"/>
    <w:rsid w:val="008725A7"/>
    <w:rsid w:val="00872D36"/>
    <w:rsid w:val="00872DBC"/>
    <w:rsid w:val="00873E1E"/>
    <w:rsid w:val="00874A3A"/>
    <w:rsid w:val="00875DC5"/>
    <w:rsid w:val="00876041"/>
    <w:rsid w:val="00877518"/>
    <w:rsid w:val="00880645"/>
    <w:rsid w:val="00880C2C"/>
    <w:rsid w:val="00880D52"/>
    <w:rsid w:val="00883BAD"/>
    <w:rsid w:val="00885A85"/>
    <w:rsid w:val="00886B49"/>
    <w:rsid w:val="00886EA3"/>
    <w:rsid w:val="00887DFA"/>
    <w:rsid w:val="008907B5"/>
    <w:rsid w:val="00891535"/>
    <w:rsid w:val="00891902"/>
    <w:rsid w:val="0089246F"/>
    <w:rsid w:val="00892800"/>
    <w:rsid w:val="0089307F"/>
    <w:rsid w:val="0089324E"/>
    <w:rsid w:val="00895994"/>
    <w:rsid w:val="008966B7"/>
    <w:rsid w:val="00896C4D"/>
    <w:rsid w:val="008A01C7"/>
    <w:rsid w:val="008A0C04"/>
    <w:rsid w:val="008A2560"/>
    <w:rsid w:val="008A4F3B"/>
    <w:rsid w:val="008A5126"/>
    <w:rsid w:val="008A66AC"/>
    <w:rsid w:val="008B0B14"/>
    <w:rsid w:val="008B134A"/>
    <w:rsid w:val="008B1B48"/>
    <w:rsid w:val="008B32F6"/>
    <w:rsid w:val="008B3BC4"/>
    <w:rsid w:val="008B3FB6"/>
    <w:rsid w:val="008B5DEC"/>
    <w:rsid w:val="008B6D40"/>
    <w:rsid w:val="008B7299"/>
    <w:rsid w:val="008C044F"/>
    <w:rsid w:val="008C0B33"/>
    <w:rsid w:val="008C100A"/>
    <w:rsid w:val="008C2D08"/>
    <w:rsid w:val="008C4638"/>
    <w:rsid w:val="008C468D"/>
    <w:rsid w:val="008C72B6"/>
    <w:rsid w:val="008C7F35"/>
    <w:rsid w:val="008D01C5"/>
    <w:rsid w:val="008D08F5"/>
    <w:rsid w:val="008D2BF3"/>
    <w:rsid w:val="008D5E9E"/>
    <w:rsid w:val="008D61BC"/>
    <w:rsid w:val="008D75BB"/>
    <w:rsid w:val="008E0380"/>
    <w:rsid w:val="008E2D0E"/>
    <w:rsid w:val="008E3209"/>
    <w:rsid w:val="008E413B"/>
    <w:rsid w:val="008E6EBC"/>
    <w:rsid w:val="008F489B"/>
    <w:rsid w:val="008F499F"/>
    <w:rsid w:val="008F4F52"/>
    <w:rsid w:val="008F51E2"/>
    <w:rsid w:val="008F5B8F"/>
    <w:rsid w:val="008F644C"/>
    <w:rsid w:val="008F7222"/>
    <w:rsid w:val="008F73EC"/>
    <w:rsid w:val="008F7D97"/>
    <w:rsid w:val="008F7DFE"/>
    <w:rsid w:val="00902321"/>
    <w:rsid w:val="00902F8F"/>
    <w:rsid w:val="00904A42"/>
    <w:rsid w:val="00907076"/>
    <w:rsid w:val="00910EA0"/>
    <w:rsid w:val="00912F2B"/>
    <w:rsid w:val="00913D05"/>
    <w:rsid w:val="0091414C"/>
    <w:rsid w:val="00914B20"/>
    <w:rsid w:val="00914BE7"/>
    <w:rsid w:val="009178A6"/>
    <w:rsid w:val="00917C1E"/>
    <w:rsid w:val="00917FB4"/>
    <w:rsid w:val="009210FA"/>
    <w:rsid w:val="00921BFC"/>
    <w:rsid w:val="00922766"/>
    <w:rsid w:val="00923012"/>
    <w:rsid w:val="00923501"/>
    <w:rsid w:val="00926F06"/>
    <w:rsid w:val="00927AB7"/>
    <w:rsid w:val="009303EC"/>
    <w:rsid w:val="009306DA"/>
    <w:rsid w:val="00931FDE"/>
    <w:rsid w:val="009328A8"/>
    <w:rsid w:val="0093528A"/>
    <w:rsid w:val="00936267"/>
    <w:rsid w:val="009374DA"/>
    <w:rsid w:val="00937BA0"/>
    <w:rsid w:val="00937E5A"/>
    <w:rsid w:val="00940072"/>
    <w:rsid w:val="00940CF1"/>
    <w:rsid w:val="00943458"/>
    <w:rsid w:val="009436EA"/>
    <w:rsid w:val="00943A5C"/>
    <w:rsid w:val="0094405F"/>
    <w:rsid w:val="00944249"/>
    <w:rsid w:val="009455B4"/>
    <w:rsid w:val="009470FB"/>
    <w:rsid w:val="00952E9A"/>
    <w:rsid w:val="00954B96"/>
    <w:rsid w:val="0095669C"/>
    <w:rsid w:val="0095783C"/>
    <w:rsid w:val="00961751"/>
    <w:rsid w:val="009636A9"/>
    <w:rsid w:val="0096405B"/>
    <w:rsid w:val="00964CB2"/>
    <w:rsid w:val="00964E1C"/>
    <w:rsid w:val="00965D07"/>
    <w:rsid w:val="00965D33"/>
    <w:rsid w:val="00966EF1"/>
    <w:rsid w:val="00967882"/>
    <w:rsid w:val="0096794D"/>
    <w:rsid w:val="00967DC1"/>
    <w:rsid w:val="00970B31"/>
    <w:rsid w:val="009715EF"/>
    <w:rsid w:val="009733BE"/>
    <w:rsid w:val="00975060"/>
    <w:rsid w:val="009755FA"/>
    <w:rsid w:val="009824B0"/>
    <w:rsid w:val="00982DA0"/>
    <w:rsid w:val="00983222"/>
    <w:rsid w:val="00983DAD"/>
    <w:rsid w:val="00984980"/>
    <w:rsid w:val="00985BD5"/>
    <w:rsid w:val="00985D2D"/>
    <w:rsid w:val="009864A9"/>
    <w:rsid w:val="0098656F"/>
    <w:rsid w:val="00990834"/>
    <w:rsid w:val="009908BA"/>
    <w:rsid w:val="009928DA"/>
    <w:rsid w:val="00992BB0"/>
    <w:rsid w:val="009938D0"/>
    <w:rsid w:val="00995CC4"/>
    <w:rsid w:val="0099610A"/>
    <w:rsid w:val="00996BC0"/>
    <w:rsid w:val="009A0565"/>
    <w:rsid w:val="009A15EA"/>
    <w:rsid w:val="009A27C5"/>
    <w:rsid w:val="009A3164"/>
    <w:rsid w:val="009A4BE1"/>
    <w:rsid w:val="009A768D"/>
    <w:rsid w:val="009A7F27"/>
    <w:rsid w:val="009B1812"/>
    <w:rsid w:val="009B1C94"/>
    <w:rsid w:val="009B4F95"/>
    <w:rsid w:val="009B5055"/>
    <w:rsid w:val="009B54B9"/>
    <w:rsid w:val="009B7DF7"/>
    <w:rsid w:val="009C09E4"/>
    <w:rsid w:val="009C0F8B"/>
    <w:rsid w:val="009C7765"/>
    <w:rsid w:val="009C7D28"/>
    <w:rsid w:val="009D2759"/>
    <w:rsid w:val="009D28E3"/>
    <w:rsid w:val="009D3663"/>
    <w:rsid w:val="009D4ED9"/>
    <w:rsid w:val="009D500A"/>
    <w:rsid w:val="009D614A"/>
    <w:rsid w:val="009D6F8C"/>
    <w:rsid w:val="009D750F"/>
    <w:rsid w:val="009E0D84"/>
    <w:rsid w:val="009E282B"/>
    <w:rsid w:val="009E2EED"/>
    <w:rsid w:val="009E42F9"/>
    <w:rsid w:val="009E493A"/>
    <w:rsid w:val="009E5351"/>
    <w:rsid w:val="009E6358"/>
    <w:rsid w:val="009E7F9E"/>
    <w:rsid w:val="009F038F"/>
    <w:rsid w:val="009F066C"/>
    <w:rsid w:val="009F185E"/>
    <w:rsid w:val="009F1F76"/>
    <w:rsid w:val="009F269D"/>
    <w:rsid w:val="009F2D80"/>
    <w:rsid w:val="009F4F0D"/>
    <w:rsid w:val="009F7DF3"/>
    <w:rsid w:val="00A00F87"/>
    <w:rsid w:val="00A00F93"/>
    <w:rsid w:val="00A023CA"/>
    <w:rsid w:val="00A02467"/>
    <w:rsid w:val="00A04D12"/>
    <w:rsid w:val="00A065EA"/>
    <w:rsid w:val="00A06C3E"/>
    <w:rsid w:val="00A10636"/>
    <w:rsid w:val="00A10E37"/>
    <w:rsid w:val="00A11896"/>
    <w:rsid w:val="00A12E3B"/>
    <w:rsid w:val="00A15BC6"/>
    <w:rsid w:val="00A163B5"/>
    <w:rsid w:val="00A20CD5"/>
    <w:rsid w:val="00A219B2"/>
    <w:rsid w:val="00A21C3F"/>
    <w:rsid w:val="00A2303A"/>
    <w:rsid w:val="00A248D1"/>
    <w:rsid w:val="00A24E6E"/>
    <w:rsid w:val="00A25B12"/>
    <w:rsid w:val="00A275D2"/>
    <w:rsid w:val="00A27D50"/>
    <w:rsid w:val="00A307DD"/>
    <w:rsid w:val="00A31DDE"/>
    <w:rsid w:val="00A3507B"/>
    <w:rsid w:val="00A37517"/>
    <w:rsid w:val="00A37624"/>
    <w:rsid w:val="00A3762D"/>
    <w:rsid w:val="00A407B6"/>
    <w:rsid w:val="00A41BC5"/>
    <w:rsid w:val="00A42929"/>
    <w:rsid w:val="00A43083"/>
    <w:rsid w:val="00A442B8"/>
    <w:rsid w:val="00A468C1"/>
    <w:rsid w:val="00A47FB8"/>
    <w:rsid w:val="00A523FE"/>
    <w:rsid w:val="00A525FE"/>
    <w:rsid w:val="00A528E9"/>
    <w:rsid w:val="00A536B2"/>
    <w:rsid w:val="00A53EE5"/>
    <w:rsid w:val="00A54301"/>
    <w:rsid w:val="00A57C3F"/>
    <w:rsid w:val="00A60CC2"/>
    <w:rsid w:val="00A61805"/>
    <w:rsid w:val="00A61E5C"/>
    <w:rsid w:val="00A64C1E"/>
    <w:rsid w:val="00A66DDD"/>
    <w:rsid w:val="00A676D7"/>
    <w:rsid w:val="00A67C90"/>
    <w:rsid w:val="00A7003F"/>
    <w:rsid w:val="00A705D2"/>
    <w:rsid w:val="00A729CB"/>
    <w:rsid w:val="00A75944"/>
    <w:rsid w:val="00A822B8"/>
    <w:rsid w:val="00A84B6B"/>
    <w:rsid w:val="00A901B3"/>
    <w:rsid w:val="00A908A8"/>
    <w:rsid w:val="00A90A4B"/>
    <w:rsid w:val="00A91316"/>
    <w:rsid w:val="00A92D14"/>
    <w:rsid w:val="00A930B3"/>
    <w:rsid w:val="00A93E19"/>
    <w:rsid w:val="00A9510F"/>
    <w:rsid w:val="00A96B78"/>
    <w:rsid w:val="00AA2694"/>
    <w:rsid w:val="00AA415B"/>
    <w:rsid w:val="00AA4552"/>
    <w:rsid w:val="00AA5C52"/>
    <w:rsid w:val="00AA679C"/>
    <w:rsid w:val="00AB0731"/>
    <w:rsid w:val="00AB1663"/>
    <w:rsid w:val="00AB4505"/>
    <w:rsid w:val="00AB550D"/>
    <w:rsid w:val="00AB6072"/>
    <w:rsid w:val="00AC0904"/>
    <w:rsid w:val="00AC28BC"/>
    <w:rsid w:val="00AC2FB0"/>
    <w:rsid w:val="00AC48C4"/>
    <w:rsid w:val="00AC5864"/>
    <w:rsid w:val="00AC5D4F"/>
    <w:rsid w:val="00AC715E"/>
    <w:rsid w:val="00AD1AC0"/>
    <w:rsid w:val="00AD304E"/>
    <w:rsid w:val="00AD39B1"/>
    <w:rsid w:val="00AD40D0"/>
    <w:rsid w:val="00AD4583"/>
    <w:rsid w:val="00AD5216"/>
    <w:rsid w:val="00AD6354"/>
    <w:rsid w:val="00AE0801"/>
    <w:rsid w:val="00AE1389"/>
    <w:rsid w:val="00AE26A8"/>
    <w:rsid w:val="00AE4551"/>
    <w:rsid w:val="00AE4812"/>
    <w:rsid w:val="00AE57C7"/>
    <w:rsid w:val="00AF01E1"/>
    <w:rsid w:val="00AF146D"/>
    <w:rsid w:val="00AF18C1"/>
    <w:rsid w:val="00AF29C6"/>
    <w:rsid w:val="00AF2F47"/>
    <w:rsid w:val="00AF34B1"/>
    <w:rsid w:val="00AF547E"/>
    <w:rsid w:val="00AF6159"/>
    <w:rsid w:val="00AF6971"/>
    <w:rsid w:val="00AF7C72"/>
    <w:rsid w:val="00B01171"/>
    <w:rsid w:val="00B01DFC"/>
    <w:rsid w:val="00B04E90"/>
    <w:rsid w:val="00B06876"/>
    <w:rsid w:val="00B069E1"/>
    <w:rsid w:val="00B06D52"/>
    <w:rsid w:val="00B06F27"/>
    <w:rsid w:val="00B0722E"/>
    <w:rsid w:val="00B1009C"/>
    <w:rsid w:val="00B11429"/>
    <w:rsid w:val="00B14B9C"/>
    <w:rsid w:val="00B155E2"/>
    <w:rsid w:val="00B16B10"/>
    <w:rsid w:val="00B1701C"/>
    <w:rsid w:val="00B20A90"/>
    <w:rsid w:val="00B20EFC"/>
    <w:rsid w:val="00B22A37"/>
    <w:rsid w:val="00B23DE2"/>
    <w:rsid w:val="00B249F9"/>
    <w:rsid w:val="00B24FDF"/>
    <w:rsid w:val="00B26B04"/>
    <w:rsid w:val="00B27230"/>
    <w:rsid w:val="00B27F30"/>
    <w:rsid w:val="00B3268D"/>
    <w:rsid w:val="00B32A0B"/>
    <w:rsid w:val="00B34544"/>
    <w:rsid w:val="00B34AFF"/>
    <w:rsid w:val="00B34DA8"/>
    <w:rsid w:val="00B4076D"/>
    <w:rsid w:val="00B41659"/>
    <w:rsid w:val="00B424D0"/>
    <w:rsid w:val="00B44FCC"/>
    <w:rsid w:val="00B4537B"/>
    <w:rsid w:val="00B479C6"/>
    <w:rsid w:val="00B50799"/>
    <w:rsid w:val="00B50D1C"/>
    <w:rsid w:val="00B5371E"/>
    <w:rsid w:val="00B568EE"/>
    <w:rsid w:val="00B56F4C"/>
    <w:rsid w:val="00B62002"/>
    <w:rsid w:val="00B6448A"/>
    <w:rsid w:val="00B64578"/>
    <w:rsid w:val="00B65773"/>
    <w:rsid w:val="00B67CB7"/>
    <w:rsid w:val="00B70006"/>
    <w:rsid w:val="00B703A6"/>
    <w:rsid w:val="00B717D9"/>
    <w:rsid w:val="00B72D8D"/>
    <w:rsid w:val="00B7432A"/>
    <w:rsid w:val="00B75CE4"/>
    <w:rsid w:val="00B82552"/>
    <w:rsid w:val="00B847BC"/>
    <w:rsid w:val="00B87D2A"/>
    <w:rsid w:val="00B90642"/>
    <w:rsid w:val="00B9095A"/>
    <w:rsid w:val="00B91BCA"/>
    <w:rsid w:val="00B91DF7"/>
    <w:rsid w:val="00B92730"/>
    <w:rsid w:val="00B93231"/>
    <w:rsid w:val="00B93373"/>
    <w:rsid w:val="00BA00F1"/>
    <w:rsid w:val="00BA19BA"/>
    <w:rsid w:val="00BA22CD"/>
    <w:rsid w:val="00BA26AC"/>
    <w:rsid w:val="00BA4CC2"/>
    <w:rsid w:val="00BA57A4"/>
    <w:rsid w:val="00BA5C3D"/>
    <w:rsid w:val="00BB06BE"/>
    <w:rsid w:val="00BB163F"/>
    <w:rsid w:val="00BB28F5"/>
    <w:rsid w:val="00BB54AE"/>
    <w:rsid w:val="00BB5CCC"/>
    <w:rsid w:val="00BB6214"/>
    <w:rsid w:val="00BB674D"/>
    <w:rsid w:val="00BB6FAD"/>
    <w:rsid w:val="00BB70AE"/>
    <w:rsid w:val="00BB7148"/>
    <w:rsid w:val="00BB7A84"/>
    <w:rsid w:val="00BB7C5A"/>
    <w:rsid w:val="00BC0580"/>
    <w:rsid w:val="00BC2936"/>
    <w:rsid w:val="00BC2D2F"/>
    <w:rsid w:val="00BC3058"/>
    <w:rsid w:val="00BC4BC5"/>
    <w:rsid w:val="00BC618C"/>
    <w:rsid w:val="00BC668D"/>
    <w:rsid w:val="00BD0880"/>
    <w:rsid w:val="00BD41A3"/>
    <w:rsid w:val="00BD47E4"/>
    <w:rsid w:val="00BD6E58"/>
    <w:rsid w:val="00BE011D"/>
    <w:rsid w:val="00BE1CE7"/>
    <w:rsid w:val="00BE4909"/>
    <w:rsid w:val="00BE62F1"/>
    <w:rsid w:val="00BE6845"/>
    <w:rsid w:val="00BF02ED"/>
    <w:rsid w:val="00BF150C"/>
    <w:rsid w:val="00BF1EC8"/>
    <w:rsid w:val="00BF314E"/>
    <w:rsid w:val="00BF3507"/>
    <w:rsid w:val="00BF3723"/>
    <w:rsid w:val="00BF45E3"/>
    <w:rsid w:val="00BF4615"/>
    <w:rsid w:val="00BF47EA"/>
    <w:rsid w:val="00BF6183"/>
    <w:rsid w:val="00BF700F"/>
    <w:rsid w:val="00C02FDF"/>
    <w:rsid w:val="00C05D13"/>
    <w:rsid w:val="00C06A5E"/>
    <w:rsid w:val="00C07810"/>
    <w:rsid w:val="00C07DF7"/>
    <w:rsid w:val="00C110CF"/>
    <w:rsid w:val="00C1247A"/>
    <w:rsid w:val="00C128BA"/>
    <w:rsid w:val="00C12B4F"/>
    <w:rsid w:val="00C135B6"/>
    <w:rsid w:val="00C13671"/>
    <w:rsid w:val="00C13C97"/>
    <w:rsid w:val="00C14851"/>
    <w:rsid w:val="00C1499B"/>
    <w:rsid w:val="00C14CEA"/>
    <w:rsid w:val="00C1588A"/>
    <w:rsid w:val="00C163FC"/>
    <w:rsid w:val="00C16FED"/>
    <w:rsid w:val="00C21B3A"/>
    <w:rsid w:val="00C22576"/>
    <w:rsid w:val="00C2315C"/>
    <w:rsid w:val="00C240F4"/>
    <w:rsid w:val="00C24558"/>
    <w:rsid w:val="00C245ED"/>
    <w:rsid w:val="00C2619E"/>
    <w:rsid w:val="00C30F01"/>
    <w:rsid w:val="00C30FAA"/>
    <w:rsid w:val="00C310AB"/>
    <w:rsid w:val="00C33951"/>
    <w:rsid w:val="00C35D3B"/>
    <w:rsid w:val="00C4054B"/>
    <w:rsid w:val="00C41365"/>
    <w:rsid w:val="00C4455F"/>
    <w:rsid w:val="00C44DAC"/>
    <w:rsid w:val="00C466ED"/>
    <w:rsid w:val="00C47BA5"/>
    <w:rsid w:val="00C51480"/>
    <w:rsid w:val="00C51981"/>
    <w:rsid w:val="00C52068"/>
    <w:rsid w:val="00C522D0"/>
    <w:rsid w:val="00C53D0A"/>
    <w:rsid w:val="00C56227"/>
    <w:rsid w:val="00C576BB"/>
    <w:rsid w:val="00C64E40"/>
    <w:rsid w:val="00C655F9"/>
    <w:rsid w:val="00C67B1C"/>
    <w:rsid w:val="00C70B7D"/>
    <w:rsid w:val="00C71F13"/>
    <w:rsid w:val="00C74990"/>
    <w:rsid w:val="00C755C2"/>
    <w:rsid w:val="00C76323"/>
    <w:rsid w:val="00C7768B"/>
    <w:rsid w:val="00C77D8A"/>
    <w:rsid w:val="00C83AA7"/>
    <w:rsid w:val="00C843FB"/>
    <w:rsid w:val="00C84AA3"/>
    <w:rsid w:val="00C84FB0"/>
    <w:rsid w:val="00C919FC"/>
    <w:rsid w:val="00C948C2"/>
    <w:rsid w:val="00C958B5"/>
    <w:rsid w:val="00CA0315"/>
    <w:rsid w:val="00CA19E3"/>
    <w:rsid w:val="00CA36F9"/>
    <w:rsid w:val="00CA3F1A"/>
    <w:rsid w:val="00CA4173"/>
    <w:rsid w:val="00CA4B87"/>
    <w:rsid w:val="00CA4FDC"/>
    <w:rsid w:val="00CA53F1"/>
    <w:rsid w:val="00CA5F9D"/>
    <w:rsid w:val="00CA6032"/>
    <w:rsid w:val="00CA6C52"/>
    <w:rsid w:val="00CB0AFF"/>
    <w:rsid w:val="00CB1770"/>
    <w:rsid w:val="00CB2D84"/>
    <w:rsid w:val="00CC11C4"/>
    <w:rsid w:val="00CC19CF"/>
    <w:rsid w:val="00CC1D01"/>
    <w:rsid w:val="00CC253A"/>
    <w:rsid w:val="00CC3BB3"/>
    <w:rsid w:val="00CC4DD4"/>
    <w:rsid w:val="00CC4DED"/>
    <w:rsid w:val="00CC78BB"/>
    <w:rsid w:val="00CD2DA3"/>
    <w:rsid w:val="00CD4654"/>
    <w:rsid w:val="00CD6CDB"/>
    <w:rsid w:val="00CE00BF"/>
    <w:rsid w:val="00CE12C1"/>
    <w:rsid w:val="00CE22DA"/>
    <w:rsid w:val="00CE3138"/>
    <w:rsid w:val="00CE6BBD"/>
    <w:rsid w:val="00CF1554"/>
    <w:rsid w:val="00CF176D"/>
    <w:rsid w:val="00CF39DE"/>
    <w:rsid w:val="00CF4E4F"/>
    <w:rsid w:val="00D01E68"/>
    <w:rsid w:val="00D024A3"/>
    <w:rsid w:val="00D02874"/>
    <w:rsid w:val="00D02A08"/>
    <w:rsid w:val="00D031CC"/>
    <w:rsid w:val="00D04A2A"/>
    <w:rsid w:val="00D06401"/>
    <w:rsid w:val="00D06F60"/>
    <w:rsid w:val="00D07EC6"/>
    <w:rsid w:val="00D1073A"/>
    <w:rsid w:val="00D10941"/>
    <w:rsid w:val="00D1359D"/>
    <w:rsid w:val="00D179CB"/>
    <w:rsid w:val="00D25C8B"/>
    <w:rsid w:val="00D26C1D"/>
    <w:rsid w:val="00D27170"/>
    <w:rsid w:val="00D32097"/>
    <w:rsid w:val="00D32C0C"/>
    <w:rsid w:val="00D33089"/>
    <w:rsid w:val="00D330C2"/>
    <w:rsid w:val="00D35313"/>
    <w:rsid w:val="00D35E91"/>
    <w:rsid w:val="00D366D3"/>
    <w:rsid w:val="00D370EF"/>
    <w:rsid w:val="00D41830"/>
    <w:rsid w:val="00D420DA"/>
    <w:rsid w:val="00D4244C"/>
    <w:rsid w:val="00D4482B"/>
    <w:rsid w:val="00D4634F"/>
    <w:rsid w:val="00D4649B"/>
    <w:rsid w:val="00D46A99"/>
    <w:rsid w:val="00D50289"/>
    <w:rsid w:val="00D502DF"/>
    <w:rsid w:val="00D50355"/>
    <w:rsid w:val="00D50991"/>
    <w:rsid w:val="00D54F4C"/>
    <w:rsid w:val="00D61731"/>
    <w:rsid w:val="00D62FB1"/>
    <w:rsid w:val="00D63289"/>
    <w:rsid w:val="00D6386B"/>
    <w:rsid w:val="00D63A65"/>
    <w:rsid w:val="00D64B1C"/>
    <w:rsid w:val="00D65F11"/>
    <w:rsid w:val="00D66BEF"/>
    <w:rsid w:val="00D66E0A"/>
    <w:rsid w:val="00D66F5B"/>
    <w:rsid w:val="00D7026D"/>
    <w:rsid w:val="00D71C30"/>
    <w:rsid w:val="00D73CDA"/>
    <w:rsid w:val="00D756AA"/>
    <w:rsid w:val="00D77C2D"/>
    <w:rsid w:val="00D81D88"/>
    <w:rsid w:val="00D8219D"/>
    <w:rsid w:val="00D825A8"/>
    <w:rsid w:val="00D82972"/>
    <w:rsid w:val="00D8513D"/>
    <w:rsid w:val="00D85781"/>
    <w:rsid w:val="00D879D3"/>
    <w:rsid w:val="00D90B34"/>
    <w:rsid w:val="00D91609"/>
    <w:rsid w:val="00D91C67"/>
    <w:rsid w:val="00D949F2"/>
    <w:rsid w:val="00D95270"/>
    <w:rsid w:val="00D95A49"/>
    <w:rsid w:val="00D9785E"/>
    <w:rsid w:val="00D97C18"/>
    <w:rsid w:val="00DA19F6"/>
    <w:rsid w:val="00DA2121"/>
    <w:rsid w:val="00DA2BAA"/>
    <w:rsid w:val="00DA2F10"/>
    <w:rsid w:val="00DA31EC"/>
    <w:rsid w:val="00DA795E"/>
    <w:rsid w:val="00DA7C01"/>
    <w:rsid w:val="00DB10CA"/>
    <w:rsid w:val="00DB2349"/>
    <w:rsid w:val="00DB2409"/>
    <w:rsid w:val="00DB3B8E"/>
    <w:rsid w:val="00DB4103"/>
    <w:rsid w:val="00DB443D"/>
    <w:rsid w:val="00DB4916"/>
    <w:rsid w:val="00DB4EEE"/>
    <w:rsid w:val="00DC1E5E"/>
    <w:rsid w:val="00DC40FB"/>
    <w:rsid w:val="00DC5D82"/>
    <w:rsid w:val="00DD285D"/>
    <w:rsid w:val="00DD4BB1"/>
    <w:rsid w:val="00DD582D"/>
    <w:rsid w:val="00DD6384"/>
    <w:rsid w:val="00DD779B"/>
    <w:rsid w:val="00DE1100"/>
    <w:rsid w:val="00DE41DA"/>
    <w:rsid w:val="00DE4C70"/>
    <w:rsid w:val="00DE516F"/>
    <w:rsid w:val="00DE553E"/>
    <w:rsid w:val="00DE6326"/>
    <w:rsid w:val="00DE704E"/>
    <w:rsid w:val="00DE72B2"/>
    <w:rsid w:val="00DE7D72"/>
    <w:rsid w:val="00DF05BA"/>
    <w:rsid w:val="00DF06F1"/>
    <w:rsid w:val="00DF2072"/>
    <w:rsid w:val="00DF3162"/>
    <w:rsid w:val="00DF4B93"/>
    <w:rsid w:val="00DF54EC"/>
    <w:rsid w:val="00DF563A"/>
    <w:rsid w:val="00DF57A2"/>
    <w:rsid w:val="00DF6CB9"/>
    <w:rsid w:val="00E00598"/>
    <w:rsid w:val="00E00A1F"/>
    <w:rsid w:val="00E04828"/>
    <w:rsid w:val="00E05138"/>
    <w:rsid w:val="00E06085"/>
    <w:rsid w:val="00E07F13"/>
    <w:rsid w:val="00E10C23"/>
    <w:rsid w:val="00E12CBE"/>
    <w:rsid w:val="00E12F48"/>
    <w:rsid w:val="00E14589"/>
    <w:rsid w:val="00E1504F"/>
    <w:rsid w:val="00E1565A"/>
    <w:rsid w:val="00E15853"/>
    <w:rsid w:val="00E169DC"/>
    <w:rsid w:val="00E17A1F"/>
    <w:rsid w:val="00E17C70"/>
    <w:rsid w:val="00E20141"/>
    <w:rsid w:val="00E2064E"/>
    <w:rsid w:val="00E20EA7"/>
    <w:rsid w:val="00E21BB1"/>
    <w:rsid w:val="00E23640"/>
    <w:rsid w:val="00E25E48"/>
    <w:rsid w:val="00E26C6A"/>
    <w:rsid w:val="00E31B9F"/>
    <w:rsid w:val="00E32C81"/>
    <w:rsid w:val="00E3476B"/>
    <w:rsid w:val="00E34992"/>
    <w:rsid w:val="00E34F15"/>
    <w:rsid w:val="00E3719A"/>
    <w:rsid w:val="00E4297C"/>
    <w:rsid w:val="00E43371"/>
    <w:rsid w:val="00E4351C"/>
    <w:rsid w:val="00E46EAE"/>
    <w:rsid w:val="00E47233"/>
    <w:rsid w:val="00E509F9"/>
    <w:rsid w:val="00E531C6"/>
    <w:rsid w:val="00E55EEF"/>
    <w:rsid w:val="00E56639"/>
    <w:rsid w:val="00E61628"/>
    <w:rsid w:val="00E631C0"/>
    <w:rsid w:val="00E636F3"/>
    <w:rsid w:val="00E65FB3"/>
    <w:rsid w:val="00E6677A"/>
    <w:rsid w:val="00E66884"/>
    <w:rsid w:val="00E675E5"/>
    <w:rsid w:val="00E6778C"/>
    <w:rsid w:val="00E70299"/>
    <w:rsid w:val="00E70F2F"/>
    <w:rsid w:val="00E7183C"/>
    <w:rsid w:val="00E7288B"/>
    <w:rsid w:val="00E73F70"/>
    <w:rsid w:val="00E76991"/>
    <w:rsid w:val="00E76CF7"/>
    <w:rsid w:val="00E801B1"/>
    <w:rsid w:val="00E805C4"/>
    <w:rsid w:val="00E8197B"/>
    <w:rsid w:val="00E83105"/>
    <w:rsid w:val="00E85D3B"/>
    <w:rsid w:val="00E87ADE"/>
    <w:rsid w:val="00E90FED"/>
    <w:rsid w:val="00E9230C"/>
    <w:rsid w:val="00E95F06"/>
    <w:rsid w:val="00E971DA"/>
    <w:rsid w:val="00EA096A"/>
    <w:rsid w:val="00EA0E26"/>
    <w:rsid w:val="00EA1449"/>
    <w:rsid w:val="00EA1636"/>
    <w:rsid w:val="00EA220B"/>
    <w:rsid w:val="00EA6092"/>
    <w:rsid w:val="00EA7517"/>
    <w:rsid w:val="00EA7BC9"/>
    <w:rsid w:val="00EB103B"/>
    <w:rsid w:val="00EB287E"/>
    <w:rsid w:val="00EB553B"/>
    <w:rsid w:val="00EB5BFE"/>
    <w:rsid w:val="00EB7491"/>
    <w:rsid w:val="00EC25B9"/>
    <w:rsid w:val="00EC4122"/>
    <w:rsid w:val="00EC61CE"/>
    <w:rsid w:val="00EC7ECD"/>
    <w:rsid w:val="00ED18AC"/>
    <w:rsid w:val="00ED298B"/>
    <w:rsid w:val="00ED5833"/>
    <w:rsid w:val="00ED59A7"/>
    <w:rsid w:val="00ED670D"/>
    <w:rsid w:val="00EE0C22"/>
    <w:rsid w:val="00EE7D80"/>
    <w:rsid w:val="00EF024D"/>
    <w:rsid w:val="00EF0400"/>
    <w:rsid w:val="00EF0960"/>
    <w:rsid w:val="00EF2BD1"/>
    <w:rsid w:val="00EF2BEE"/>
    <w:rsid w:val="00EF488E"/>
    <w:rsid w:val="00EF4F43"/>
    <w:rsid w:val="00EF5EB5"/>
    <w:rsid w:val="00EF5FCA"/>
    <w:rsid w:val="00EF605C"/>
    <w:rsid w:val="00EF7EEC"/>
    <w:rsid w:val="00F00AD9"/>
    <w:rsid w:val="00F04722"/>
    <w:rsid w:val="00F05F22"/>
    <w:rsid w:val="00F06418"/>
    <w:rsid w:val="00F072E6"/>
    <w:rsid w:val="00F07C47"/>
    <w:rsid w:val="00F11779"/>
    <w:rsid w:val="00F140BD"/>
    <w:rsid w:val="00F15112"/>
    <w:rsid w:val="00F23168"/>
    <w:rsid w:val="00F245B7"/>
    <w:rsid w:val="00F2575A"/>
    <w:rsid w:val="00F26A21"/>
    <w:rsid w:val="00F30ABF"/>
    <w:rsid w:val="00F30DCE"/>
    <w:rsid w:val="00F31A10"/>
    <w:rsid w:val="00F32776"/>
    <w:rsid w:val="00F32D0E"/>
    <w:rsid w:val="00F343EB"/>
    <w:rsid w:val="00F35E25"/>
    <w:rsid w:val="00F364D0"/>
    <w:rsid w:val="00F36871"/>
    <w:rsid w:val="00F40477"/>
    <w:rsid w:val="00F44260"/>
    <w:rsid w:val="00F449B9"/>
    <w:rsid w:val="00F449BD"/>
    <w:rsid w:val="00F507A1"/>
    <w:rsid w:val="00F53FEA"/>
    <w:rsid w:val="00F55C2D"/>
    <w:rsid w:val="00F56FF4"/>
    <w:rsid w:val="00F61558"/>
    <w:rsid w:val="00F62592"/>
    <w:rsid w:val="00F67C5A"/>
    <w:rsid w:val="00F73460"/>
    <w:rsid w:val="00F73F5B"/>
    <w:rsid w:val="00F74ADE"/>
    <w:rsid w:val="00F75A0B"/>
    <w:rsid w:val="00F80D96"/>
    <w:rsid w:val="00F81BC8"/>
    <w:rsid w:val="00F81D39"/>
    <w:rsid w:val="00F84475"/>
    <w:rsid w:val="00F85698"/>
    <w:rsid w:val="00F85CFD"/>
    <w:rsid w:val="00F860CA"/>
    <w:rsid w:val="00F86A96"/>
    <w:rsid w:val="00F8753D"/>
    <w:rsid w:val="00F87816"/>
    <w:rsid w:val="00F9150F"/>
    <w:rsid w:val="00F91DE5"/>
    <w:rsid w:val="00F942E1"/>
    <w:rsid w:val="00F95689"/>
    <w:rsid w:val="00F956B3"/>
    <w:rsid w:val="00F95BCA"/>
    <w:rsid w:val="00F964A8"/>
    <w:rsid w:val="00F972CC"/>
    <w:rsid w:val="00F97F5E"/>
    <w:rsid w:val="00FA056A"/>
    <w:rsid w:val="00FA0573"/>
    <w:rsid w:val="00FA21AC"/>
    <w:rsid w:val="00FA31E9"/>
    <w:rsid w:val="00FA5904"/>
    <w:rsid w:val="00FA618E"/>
    <w:rsid w:val="00FA6954"/>
    <w:rsid w:val="00FB3003"/>
    <w:rsid w:val="00FB3077"/>
    <w:rsid w:val="00FB378E"/>
    <w:rsid w:val="00FB5396"/>
    <w:rsid w:val="00FB6B63"/>
    <w:rsid w:val="00FC1687"/>
    <w:rsid w:val="00FC2B18"/>
    <w:rsid w:val="00FD04E5"/>
    <w:rsid w:val="00FD2069"/>
    <w:rsid w:val="00FD3749"/>
    <w:rsid w:val="00FD3A95"/>
    <w:rsid w:val="00FD48D9"/>
    <w:rsid w:val="00FD570D"/>
    <w:rsid w:val="00FD5DD2"/>
    <w:rsid w:val="00FE1606"/>
    <w:rsid w:val="00FE49F6"/>
    <w:rsid w:val="00FE4FCC"/>
    <w:rsid w:val="00FE5911"/>
    <w:rsid w:val="00FE74DB"/>
    <w:rsid w:val="00FE7B3D"/>
    <w:rsid w:val="00FF0B24"/>
    <w:rsid w:val="00FF14B0"/>
    <w:rsid w:val="00FF2088"/>
    <w:rsid w:val="00FF2ECB"/>
    <w:rsid w:val="00FF33F6"/>
    <w:rsid w:val="00FF349E"/>
    <w:rsid w:val="00FF3CAB"/>
    <w:rsid w:val="00FF3F80"/>
    <w:rsid w:val="00FF45DF"/>
    <w:rsid w:val="010B1330"/>
    <w:rsid w:val="01461ACD"/>
    <w:rsid w:val="01757860"/>
    <w:rsid w:val="018D0205"/>
    <w:rsid w:val="01C12A88"/>
    <w:rsid w:val="01D07706"/>
    <w:rsid w:val="0221271C"/>
    <w:rsid w:val="022D649C"/>
    <w:rsid w:val="02351774"/>
    <w:rsid w:val="023A6ECB"/>
    <w:rsid w:val="02420646"/>
    <w:rsid w:val="028223A8"/>
    <w:rsid w:val="02A9706C"/>
    <w:rsid w:val="02AF6599"/>
    <w:rsid w:val="02DE374B"/>
    <w:rsid w:val="03044359"/>
    <w:rsid w:val="031C67BA"/>
    <w:rsid w:val="03511571"/>
    <w:rsid w:val="035E37BC"/>
    <w:rsid w:val="03715197"/>
    <w:rsid w:val="03A25185"/>
    <w:rsid w:val="03A92E0C"/>
    <w:rsid w:val="03A93F07"/>
    <w:rsid w:val="03DD17F0"/>
    <w:rsid w:val="03F730D5"/>
    <w:rsid w:val="040E4213"/>
    <w:rsid w:val="04137380"/>
    <w:rsid w:val="04160294"/>
    <w:rsid w:val="041E1942"/>
    <w:rsid w:val="0421064D"/>
    <w:rsid w:val="0424709F"/>
    <w:rsid w:val="04273734"/>
    <w:rsid w:val="042C6AE4"/>
    <w:rsid w:val="0439748C"/>
    <w:rsid w:val="045F4428"/>
    <w:rsid w:val="04663DEE"/>
    <w:rsid w:val="048B6224"/>
    <w:rsid w:val="049C3EF3"/>
    <w:rsid w:val="04BC1BA0"/>
    <w:rsid w:val="04CC4566"/>
    <w:rsid w:val="04FD23FC"/>
    <w:rsid w:val="05005426"/>
    <w:rsid w:val="055A38B5"/>
    <w:rsid w:val="059C5F8E"/>
    <w:rsid w:val="05AD5736"/>
    <w:rsid w:val="05CA2818"/>
    <w:rsid w:val="05FA06DD"/>
    <w:rsid w:val="06023A8F"/>
    <w:rsid w:val="0611621E"/>
    <w:rsid w:val="063F258E"/>
    <w:rsid w:val="065044F8"/>
    <w:rsid w:val="0653482B"/>
    <w:rsid w:val="06B7286F"/>
    <w:rsid w:val="06C116BD"/>
    <w:rsid w:val="06C767F8"/>
    <w:rsid w:val="06EA2FBD"/>
    <w:rsid w:val="06ED1770"/>
    <w:rsid w:val="06FE4AAE"/>
    <w:rsid w:val="070157D1"/>
    <w:rsid w:val="07117CDC"/>
    <w:rsid w:val="07354BE2"/>
    <w:rsid w:val="07506DDE"/>
    <w:rsid w:val="078360F1"/>
    <w:rsid w:val="079555F7"/>
    <w:rsid w:val="07AA21A6"/>
    <w:rsid w:val="07B323DD"/>
    <w:rsid w:val="07CB1191"/>
    <w:rsid w:val="07D33E7D"/>
    <w:rsid w:val="07D63645"/>
    <w:rsid w:val="07DA2552"/>
    <w:rsid w:val="07E61182"/>
    <w:rsid w:val="07F876CF"/>
    <w:rsid w:val="07FA3FC0"/>
    <w:rsid w:val="08376BE0"/>
    <w:rsid w:val="08483779"/>
    <w:rsid w:val="085D5FC0"/>
    <w:rsid w:val="0886626A"/>
    <w:rsid w:val="08912C45"/>
    <w:rsid w:val="08AD0CF8"/>
    <w:rsid w:val="08AD503B"/>
    <w:rsid w:val="08C76CFD"/>
    <w:rsid w:val="08E340CC"/>
    <w:rsid w:val="08E95B0E"/>
    <w:rsid w:val="090C54BE"/>
    <w:rsid w:val="092936B1"/>
    <w:rsid w:val="096A4BCE"/>
    <w:rsid w:val="098226D8"/>
    <w:rsid w:val="09894939"/>
    <w:rsid w:val="09A02CD8"/>
    <w:rsid w:val="0A165448"/>
    <w:rsid w:val="0A502EA2"/>
    <w:rsid w:val="0A5758F7"/>
    <w:rsid w:val="0A67144A"/>
    <w:rsid w:val="0A71618F"/>
    <w:rsid w:val="0A7E1671"/>
    <w:rsid w:val="0AC16F66"/>
    <w:rsid w:val="0B435CD5"/>
    <w:rsid w:val="0B456825"/>
    <w:rsid w:val="0B4B17AC"/>
    <w:rsid w:val="0B4C1B40"/>
    <w:rsid w:val="0B4F5787"/>
    <w:rsid w:val="0B51160C"/>
    <w:rsid w:val="0B625354"/>
    <w:rsid w:val="0B6438A9"/>
    <w:rsid w:val="0BC22757"/>
    <w:rsid w:val="0BD0342B"/>
    <w:rsid w:val="0BE3070D"/>
    <w:rsid w:val="0BE94FBA"/>
    <w:rsid w:val="0C367BBD"/>
    <w:rsid w:val="0C3C4113"/>
    <w:rsid w:val="0C4225D4"/>
    <w:rsid w:val="0C49239C"/>
    <w:rsid w:val="0C4E57C8"/>
    <w:rsid w:val="0C7336D0"/>
    <w:rsid w:val="0C756006"/>
    <w:rsid w:val="0CA6017C"/>
    <w:rsid w:val="0CBF72A8"/>
    <w:rsid w:val="0CC36F40"/>
    <w:rsid w:val="0CE75800"/>
    <w:rsid w:val="0CF02600"/>
    <w:rsid w:val="0D162766"/>
    <w:rsid w:val="0D30615A"/>
    <w:rsid w:val="0D4A590E"/>
    <w:rsid w:val="0D50445B"/>
    <w:rsid w:val="0D7807F1"/>
    <w:rsid w:val="0D895A46"/>
    <w:rsid w:val="0D9B67EB"/>
    <w:rsid w:val="0DA45AD2"/>
    <w:rsid w:val="0DE86CEC"/>
    <w:rsid w:val="0E0A51BD"/>
    <w:rsid w:val="0E1134D2"/>
    <w:rsid w:val="0E141CA7"/>
    <w:rsid w:val="0E386D2E"/>
    <w:rsid w:val="0E397459"/>
    <w:rsid w:val="0E442D5B"/>
    <w:rsid w:val="0E4E7B59"/>
    <w:rsid w:val="0E6E5960"/>
    <w:rsid w:val="0EAE4301"/>
    <w:rsid w:val="0ED27024"/>
    <w:rsid w:val="0ED94F19"/>
    <w:rsid w:val="0EDC5EDB"/>
    <w:rsid w:val="0F1B0DB7"/>
    <w:rsid w:val="0F2014B7"/>
    <w:rsid w:val="0F3425BB"/>
    <w:rsid w:val="0F5A5FCA"/>
    <w:rsid w:val="0F6C7EA7"/>
    <w:rsid w:val="0FA03F81"/>
    <w:rsid w:val="0FC14185"/>
    <w:rsid w:val="0FC5121F"/>
    <w:rsid w:val="0FC52200"/>
    <w:rsid w:val="0FC57219"/>
    <w:rsid w:val="0FF11896"/>
    <w:rsid w:val="0FF743B8"/>
    <w:rsid w:val="104114BC"/>
    <w:rsid w:val="104F21E7"/>
    <w:rsid w:val="10522A43"/>
    <w:rsid w:val="105950B7"/>
    <w:rsid w:val="10681B45"/>
    <w:rsid w:val="10D545EB"/>
    <w:rsid w:val="10E51E7E"/>
    <w:rsid w:val="110045E6"/>
    <w:rsid w:val="1109548A"/>
    <w:rsid w:val="11156035"/>
    <w:rsid w:val="111F2499"/>
    <w:rsid w:val="11296D36"/>
    <w:rsid w:val="1146103D"/>
    <w:rsid w:val="116C7384"/>
    <w:rsid w:val="12305D0B"/>
    <w:rsid w:val="124B307E"/>
    <w:rsid w:val="12595354"/>
    <w:rsid w:val="12676ACE"/>
    <w:rsid w:val="128C79F5"/>
    <w:rsid w:val="12987FD1"/>
    <w:rsid w:val="12D57C7C"/>
    <w:rsid w:val="12DE2F04"/>
    <w:rsid w:val="12F453F7"/>
    <w:rsid w:val="12FC543F"/>
    <w:rsid w:val="135A65CD"/>
    <w:rsid w:val="13681291"/>
    <w:rsid w:val="139A72A6"/>
    <w:rsid w:val="13D75C16"/>
    <w:rsid w:val="141A71FC"/>
    <w:rsid w:val="14393E39"/>
    <w:rsid w:val="1439492C"/>
    <w:rsid w:val="144E282E"/>
    <w:rsid w:val="14905D77"/>
    <w:rsid w:val="14963B49"/>
    <w:rsid w:val="14C13D98"/>
    <w:rsid w:val="14C818C6"/>
    <w:rsid w:val="14D17473"/>
    <w:rsid w:val="14D2285A"/>
    <w:rsid w:val="14F848F0"/>
    <w:rsid w:val="1533008F"/>
    <w:rsid w:val="153D3401"/>
    <w:rsid w:val="155142E7"/>
    <w:rsid w:val="15855A36"/>
    <w:rsid w:val="158E06A1"/>
    <w:rsid w:val="15932B1E"/>
    <w:rsid w:val="15AF36C0"/>
    <w:rsid w:val="15D73E4B"/>
    <w:rsid w:val="15EE7CEF"/>
    <w:rsid w:val="160D691C"/>
    <w:rsid w:val="16333435"/>
    <w:rsid w:val="16391530"/>
    <w:rsid w:val="16550678"/>
    <w:rsid w:val="166C136C"/>
    <w:rsid w:val="168C0198"/>
    <w:rsid w:val="16C6539F"/>
    <w:rsid w:val="16C83962"/>
    <w:rsid w:val="16ED23AA"/>
    <w:rsid w:val="173E2364"/>
    <w:rsid w:val="173E4E07"/>
    <w:rsid w:val="1761710C"/>
    <w:rsid w:val="17812612"/>
    <w:rsid w:val="1789592C"/>
    <w:rsid w:val="17933C9F"/>
    <w:rsid w:val="17B13E29"/>
    <w:rsid w:val="17D67A38"/>
    <w:rsid w:val="17DB1463"/>
    <w:rsid w:val="17ED5B45"/>
    <w:rsid w:val="18260DD1"/>
    <w:rsid w:val="182656C2"/>
    <w:rsid w:val="18303541"/>
    <w:rsid w:val="183735E3"/>
    <w:rsid w:val="18744310"/>
    <w:rsid w:val="189F530B"/>
    <w:rsid w:val="18A12DFD"/>
    <w:rsid w:val="18A922F3"/>
    <w:rsid w:val="18B137E8"/>
    <w:rsid w:val="18D46399"/>
    <w:rsid w:val="18F56002"/>
    <w:rsid w:val="192F50C9"/>
    <w:rsid w:val="19633F03"/>
    <w:rsid w:val="196F047E"/>
    <w:rsid w:val="199E02FC"/>
    <w:rsid w:val="19BA1CE3"/>
    <w:rsid w:val="19DF55C2"/>
    <w:rsid w:val="1A0C61A8"/>
    <w:rsid w:val="1A132F57"/>
    <w:rsid w:val="1A300E03"/>
    <w:rsid w:val="1A5F760F"/>
    <w:rsid w:val="1A6F3E95"/>
    <w:rsid w:val="1A6F6E85"/>
    <w:rsid w:val="1AD22ED2"/>
    <w:rsid w:val="1AD51B88"/>
    <w:rsid w:val="1B2058A0"/>
    <w:rsid w:val="1B566A66"/>
    <w:rsid w:val="1B8565CF"/>
    <w:rsid w:val="1B9104B0"/>
    <w:rsid w:val="1BAC363D"/>
    <w:rsid w:val="1BD60F79"/>
    <w:rsid w:val="1BD71313"/>
    <w:rsid w:val="1C074ED8"/>
    <w:rsid w:val="1C0C60A0"/>
    <w:rsid w:val="1C0F558E"/>
    <w:rsid w:val="1C41527E"/>
    <w:rsid w:val="1C49412F"/>
    <w:rsid w:val="1C4D3DCD"/>
    <w:rsid w:val="1C4F5FC4"/>
    <w:rsid w:val="1C64078D"/>
    <w:rsid w:val="1C81524F"/>
    <w:rsid w:val="1C8E0482"/>
    <w:rsid w:val="1C9E2902"/>
    <w:rsid w:val="1CA121A3"/>
    <w:rsid w:val="1CDF257F"/>
    <w:rsid w:val="1CE40841"/>
    <w:rsid w:val="1CF405AE"/>
    <w:rsid w:val="1CFB22F4"/>
    <w:rsid w:val="1D014450"/>
    <w:rsid w:val="1D2A2C86"/>
    <w:rsid w:val="1D2A6659"/>
    <w:rsid w:val="1D41310E"/>
    <w:rsid w:val="1D426DC5"/>
    <w:rsid w:val="1D4377C2"/>
    <w:rsid w:val="1D54682E"/>
    <w:rsid w:val="1D575B51"/>
    <w:rsid w:val="1D83301E"/>
    <w:rsid w:val="1D836FC7"/>
    <w:rsid w:val="1D9F4A19"/>
    <w:rsid w:val="1DA05599"/>
    <w:rsid w:val="1DAB519B"/>
    <w:rsid w:val="1DC65420"/>
    <w:rsid w:val="1DC94DC3"/>
    <w:rsid w:val="1DD04ECF"/>
    <w:rsid w:val="1E0649A4"/>
    <w:rsid w:val="1E474E6F"/>
    <w:rsid w:val="1E6843C7"/>
    <w:rsid w:val="1EA60FCA"/>
    <w:rsid w:val="1EA87417"/>
    <w:rsid w:val="1ED70A99"/>
    <w:rsid w:val="1F35766F"/>
    <w:rsid w:val="1F65672E"/>
    <w:rsid w:val="1F6B4880"/>
    <w:rsid w:val="1F6D18D3"/>
    <w:rsid w:val="1F7222CF"/>
    <w:rsid w:val="1F855EC8"/>
    <w:rsid w:val="1F865B87"/>
    <w:rsid w:val="1F8D0E35"/>
    <w:rsid w:val="1FB611E4"/>
    <w:rsid w:val="1FBA2E91"/>
    <w:rsid w:val="1FC02D54"/>
    <w:rsid w:val="1FD92D82"/>
    <w:rsid w:val="1FEE1F52"/>
    <w:rsid w:val="207471CF"/>
    <w:rsid w:val="20950348"/>
    <w:rsid w:val="20981E88"/>
    <w:rsid w:val="20A06A24"/>
    <w:rsid w:val="20A10137"/>
    <w:rsid w:val="20B97750"/>
    <w:rsid w:val="20BD2343"/>
    <w:rsid w:val="20BF1DDF"/>
    <w:rsid w:val="20C125E5"/>
    <w:rsid w:val="20F77EBA"/>
    <w:rsid w:val="20FE0571"/>
    <w:rsid w:val="212F48FD"/>
    <w:rsid w:val="216135E4"/>
    <w:rsid w:val="21B23C30"/>
    <w:rsid w:val="21D5663A"/>
    <w:rsid w:val="220D5F91"/>
    <w:rsid w:val="220F017A"/>
    <w:rsid w:val="223D6488"/>
    <w:rsid w:val="224F423C"/>
    <w:rsid w:val="227710AB"/>
    <w:rsid w:val="229B4E78"/>
    <w:rsid w:val="22C77F82"/>
    <w:rsid w:val="22E50F21"/>
    <w:rsid w:val="22F562BD"/>
    <w:rsid w:val="23037048"/>
    <w:rsid w:val="231C3AC6"/>
    <w:rsid w:val="23261385"/>
    <w:rsid w:val="233970A1"/>
    <w:rsid w:val="2390118C"/>
    <w:rsid w:val="23A33225"/>
    <w:rsid w:val="23A3458B"/>
    <w:rsid w:val="23A83880"/>
    <w:rsid w:val="23AC3B0D"/>
    <w:rsid w:val="23AC7B00"/>
    <w:rsid w:val="23AE3EA4"/>
    <w:rsid w:val="23BD797B"/>
    <w:rsid w:val="23CC13DF"/>
    <w:rsid w:val="241374BB"/>
    <w:rsid w:val="24210897"/>
    <w:rsid w:val="242E0AC8"/>
    <w:rsid w:val="24474E0A"/>
    <w:rsid w:val="244E4AD0"/>
    <w:rsid w:val="246B4679"/>
    <w:rsid w:val="249900C5"/>
    <w:rsid w:val="24BF7D42"/>
    <w:rsid w:val="255D2F2A"/>
    <w:rsid w:val="256C5A3D"/>
    <w:rsid w:val="257963F1"/>
    <w:rsid w:val="25A7402B"/>
    <w:rsid w:val="25D966A6"/>
    <w:rsid w:val="25FE15DC"/>
    <w:rsid w:val="26806C09"/>
    <w:rsid w:val="26863962"/>
    <w:rsid w:val="26983FA4"/>
    <w:rsid w:val="26FA6E39"/>
    <w:rsid w:val="271E4603"/>
    <w:rsid w:val="272A0710"/>
    <w:rsid w:val="27555997"/>
    <w:rsid w:val="276E4B45"/>
    <w:rsid w:val="277E0E1B"/>
    <w:rsid w:val="27C13C20"/>
    <w:rsid w:val="27E47883"/>
    <w:rsid w:val="28120519"/>
    <w:rsid w:val="281327C3"/>
    <w:rsid w:val="28195AAE"/>
    <w:rsid w:val="28323569"/>
    <w:rsid w:val="28326E12"/>
    <w:rsid w:val="28504863"/>
    <w:rsid w:val="287013AF"/>
    <w:rsid w:val="28943CBF"/>
    <w:rsid w:val="28E96526"/>
    <w:rsid w:val="28F77A34"/>
    <w:rsid w:val="29213FAC"/>
    <w:rsid w:val="294019F3"/>
    <w:rsid w:val="295C30A0"/>
    <w:rsid w:val="295F6F3A"/>
    <w:rsid w:val="2978542E"/>
    <w:rsid w:val="298168E8"/>
    <w:rsid w:val="29880DC9"/>
    <w:rsid w:val="299658C8"/>
    <w:rsid w:val="29A9225D"/>
    <w:rsid w:val="29C74336"/>
    <w:rsid w:val="2A0C4705"/>
    <w:rsid w:val="2A104C01"/>
    <w:rsid w:val="2A2219FF"/>
    <w:rsid w:val="2A2649D3"/>
    <w:rsid w:val="2A2F0453"/>
    <w:rsid w:val="2A375CB0"/>
    <w:rsid w:val="2A4F7A8E"/>
    <w:rsid w:val="2A5C693A"/>
    <w:rsid w:val="2A9D1044"/>
    <w:rsid w:val="2AA14EFF"/>
    <w:rsid w:val="2AC52B69"/>
    <w:rsid w:val="2AE42B9F"/>
    <w:rsid w:val="2AF80D90"/>
    <w:rsid w:val="2AFA4FF0"/>
    <w:rsid w:val="2AFF35D3"/>
    <w:rsid w:val="2B0A651F"/>
    <w:rsid w:val="2B132D50"/>
    <w:rsid w:val="2B6076B4"/>
    <w:rsid w:val="2B617D56"/>
    <w:rsid w:val="2B6E542D"/>
    <w:rsid w:val="2BEB27E3"/>
    <w:rsid w:val="2BEB2E9D"/>
    <w:rsid w:val="2BF61207"/>
    <w:rsid w:val="2BFB6A22"/>
    <w:rsid w:val="2C1713D1"/>
    <w:rsid w:val="2C2E6F83"/>
    <w:rsid w:val="2C620007"/>
    <w:rsid w:val="2CD367CC"/>
    <w:rsid w:val="2CDD2B9E"/>
    <w:rsid w:val="2D09394F"/>
    <w:rsid w:val="2D6345E9"/>
    <w:rsid w:val="2D7E4209"/>
    <w:rsid w:val="2D9B288E"/>
    <w:rsid w:val="2DBD42B5"/>
    <w:rsid w:val="2DCB5DC1"/>
    <w:rsid w:val="2DCE5309"/>
    <w:rsid w:val="2DE2242A"/>
    <w:rsid w:val="2E4225F7"/>
    <w:rsid w:val="2E463849"/>
    <w:rsid w:val="2E5A5340"/>
    <w:rsid w:val="2E6E73D5"/>
    <w:rsid w:val="2E81141D"/>
    <w:rsid w:val="2E915FBA"/>
    <w:rsid w:val="2E9A7ADA"/>
    <w:rsid w:val="2EC2396D"/>
    <w:rsid w:val="2F1B0798"/>
    <w:rsid w:val="2F4F0438"/>
    <w:rsid w:val="2F506BFB"/>
    <w:rsid w:val="2F7E2CC0"/>
    <w:rsid w:val="2F921764"/>
    <w:rsid w:val="2F98405A"/>
    <w:rsid w:val="2FD11EB8"/>
    <w:rsid w:val="2FE1749B"/>
    <w:rsid w:val="303D5772"/>
    <w:rsid w:val="306E40F7"/>
    <w:rsid w:val="306F4499"/>
    <w:rsid w:val="30B15581"/>
    <w:rsid w:val="30B93848"/>
    <w:rsid w:val="30BE1DE8"/>
    <w:rsid w:val="31253510"/>
    <w:rsid w:val="313177AD"/>
    <w:rsid w:val="31341EAD"/>
    <w:rsid w:val="31423CC5"/>
    <w:rsid w:val="3157256E"/>
    <w:rsid w:val="3160159B"/>
    <w:rsid w:val="316102EA"/>
    <w:rsid w:val="31665B97"/>
    <w:rsid w:val="31711EF3"/>
    <w:rsid w:val="31854B7E"/>
    <w:rsid w:val="31E86EE4"/>
    <w:rsid w:val="31FD6157"/>
    <w:rsid w:val="32171B71"/>
    <w:rsid w:val="322B53E9"/>
    <w:rsid w:val="32915ABA"/>
    <w:rsid w:val="329C1497"/>
    <w:rsid w:val="32D72576"/>
    <w:rsid w:val="32D93319"/>
    <w:rsid w:val="32E04086"/>
    <w:rsid w:val="32F96A45"/>
    <w:rsid w:val="330A7AEA"/>
    <w:rsid w:val="330D0307"/>
    <w:rsid w:val="332C3D97"/>
    <w:rsid w:val="3360351F"/>
    <w:rsid w:val="33620CB2"/>
    <w:rsid w:val="33B17CDB"/>
    <w:rsid w:val="33E04B57"/>
    <w:rsid w:val="33FA7456"/>
    <w:rsid w:val="34024883"/>
    <w:rsid w:val="342C6E98"/>
    <w:rsid w:val="344F7140"/>
    <w:rsid w:val="34755DB1"/>
    <w:rsid w:val="348F5C74"/>
    <w:rsid w:val="349E0FB2"/>
    <w:rsid w:val="34A96A1A"/>
    <w:rsid w:val="34B370D1"/>
    <w:rsid w:val="34BD2759"/>
    <w:rsid w:val="34CA52FD"/>
    <w:rsid w:val="34E622D6"/>
    <w:rsid w:val="3518700F"/>
    <w:rsid w:val="352F2FF3"/>
    <w:rsid w:val="35375748"/>
    <w:rsid w:val="35486C73"/>
    <w:rsid w:val="359E09BB"/>
    <w:rsid w:val="361A4DE1"/>
    <w:rsid w:val="361F592F"/>
    <w:rsid w:val="362F79EA"/>
    <w:rsid w:val="36516B14"/>
    <w:rsid w:val="36556C85"/>
    <w:rsid w:val="365B1C96"/>
    <w:rsid w:val="365E19FF"/>
    <w:rsid w:val="36603459"/>
    <w:rsid w:val="366D2C19"/>
    <w:rsid w:val="3675230B"/>
    <w:rsid w:val="36766F5C"/>
    <w:rsid w:val="36777C43"/>
    <w:rsid w:val="367E7A3F"/>
    <w:rsid w:val="36C1347A"/>
    <w:rsid w:val="36C31B41"/>
    <w:rsid w:val="36C532A1"/>
    <w:rsid w:val="36CE234D"/>
    <w:rsid w:val="36D347D3"/>
    <w:rsid w:val="36DA50A9"/>
    <w:rsid w:val="372F4949"/>
    <w:rsid w:val="3736228A"/>
    <w:rsid w:val="37671725"/>
    <w:rsid w:val="376F122C"/>
    <w:rsid w:val="3798526A"/>
    <w:rsid w:val="379D27AD"/>
    <w:rsid w:val="37B72EB1"/>
    <w:rsid w:val="37C806F3"/>
    <w:rsid w:val="37C85C3C"/>
    <w:rsid w:val="37CF1603"/>
    <w:rsid w:val="37D65F40"/>
    <w:rsid w:val="38585500"/>
    <w:rsid w:val="385D1C71"/>
    <w:rsid w:val="386038B3"/>
    <w:rsid w:val="388E1434"/>
    <w:rsid w:val="38BA5460"/>
    <w:rsid w:val="38C62FF5"/>
    <w:rsid w:val="38D62476"/>
    <w:rsid w:val="38E27127"/>
    <w:rsid w:val="39027E88"/>
    <w:rsid w:val="39075875"/>
    <w:rsid w:val="391904A1"/>
    <w:rsid w:val="391C718D"/>
    <w:rsid w:val="394D30B0"/>
    <w:rsid w:val="39624091"/>
    <w:rsid w:val="397C6037"/>
    <w:rsid w:val="39D43B66"/>
    <w:rsid w:val="39EC03FA"/>
    <w:rsid w:val="3A1D058F"/>
    <w:rsid w:val="3A1E303B"/>
    <w:rsid w:val="3A1F74C9"/>
    <w:rsid w:val="3A251C9C"/>
    <w:rsid w:val="3A2A1F54"/>
    <w:rsid w:val="3A2A6B1C"/>
    <w:rsid w:val="3A2D40D1"/>
    <w:rsid w:val="3A314B02"/>
    <w:rsid w:val="3A5C2602"/>
    <w:rsid w:val="3A79657B"/>
    <w:rsid w:val="3A8B77C7"/>
    <w:rsid w:val="3A9A32EA"/>
    <w:rsid w:val="3ACD391F"/>
    <w:rsid w:val="3B026D00"/>
    <w:rsid w:val="3B082C77"/>
    <w:rsid w:val="3B1471CB"/>
    <w:rsid w:val="3B655681"/>
    <w:rsid w:val="3B6C4553"/>
    <w:rsid w:val="3B6F3ABC"/>
    <w:rsid w:val="3B7527F4"/>
    <w:rsid w:val="3BAA143A"/>
    <w:rsid w:val="3BC378A6"/>
    <w:rsid w:val="3BDC08FD"/>
    <w:rsid w:val="3BE42ECD"/>
    <w:rsid w:val="3BFE1CAB"/>
    <w:rsid w:val="3C10260E"/>
    <w:rsid w:val="3C274A05"/>
    <w:rsid w:val="3C7511AE"/>
    <w:rsid w:val="3CA977D2"/>
    <w:rsid w:val="3CC733AF"/>
    <w:rsid w:val="3CCA4FEB"/>
    <w:rsid w:val="3CD72551"/>
    <w:rsid w:val="3CF76813"/>
    <w:rsid w:val="3CFC6063"/>
    <w:rsid w:val="3D1319B5"/>
    <w:rsid w:val="3D260CA6"/>
    <w:rsid w:val="3D520CCB"/>
    <w:rsid w:val="3D5C6974"/>
    <w:rsid w:val="3D6678B0"/>
    <w:rsid w:val="3D772181"/>
    <w:rsid w:val="3D823D30"/>
    <w:rsid w:val="3DCE6FB3"/>
    <w:rsid w:val="3DD16176"/>
    <w:rsid w:val="3E104E3F"/>
    <w:rsid w:val="3E1D6E9C"/>
    <w:rsid w:val="3E4A1BED"/>
    <w:rsid w:val="3E662345"/>
    <w:rsid w:val="3E82228B"/>
    <w:rsid w:val="3E8242C1"/>
    <w:rsid w:val="3EB33AF3"/>
    <w:rsid w:val="3ED21681"/>
    <w:rsid w:val="3EDC4A9D"/>
    <w:rsid w:val="3EFD0DF6"/>
    <w:rsid w:val="3EFE49C6"/>
    <w:rsid w:val="3F0A5B5C"/>
    <w:rsid w:val="3F1A0890"/>
    <w:rsid w:val="3F3F5846"/>
    <w:rsid w:val="3F71500B"/>
    <w:rsid w:val="3F801023"/>
    <w:rsid w:val="3F8064EB"/>
    <w:rsid w:val="3F950FB5"/>
    <w:rsid w:val="3F982DCA"/>
    <w:rsid w:val="3FD12D26"/>
    <w:rsid w:val="3FDE4917"/>
    <w:rsid w:val="3FE2412F"/>
    <w:rsid w:val="402F3ADF"/>
    <w:rsid w:val="40306F5A"/>
    <w:rsid w:val="40476BB3"/>
    <w:rsid w:val="40546FB6"/>
    <w:rsid w:val="40554803"/>
    <w:rsid w:val="407A60D5"/>
    <w:rsid w:val="40961808"/>
    <w:rsid w:val="40AB4DEE"/>
    <w:rsid w:val="40D24BBE"/>
    <w:rsid w:val="40EC4043"/>
    <w:rsid w:val="41166469"/>
    <w:rsid w:val="412008E0"/>
    <w:rsid w:val="413A6D3B"/>
    <w:rsid w:val="41515AC7"/>
    <w:rsid w:val="41902B9F"/>
    <w:rsid w:val="41C02331"/>
    <w:rsid w:val="41C13A63"/>
    <w:rsid w:val="41C67037"/>
    <w:rsid w:val="41D229E1"/>
    <w:rsid w:val="41EC6E94"/>
    <w:rsid w:val="41F72149"/>
    <w:rsid w:val="42415ACC"/>
    <w:rsid w:val="427D539F"/>
    <w:rsid w:val="42991E30"/>
    <w:rsid w:val="42CC19F4"/>
    <w:rsid w:val="42CE0B28"/>
    <w:rsid w:val="42CF6367"/>
    <w:rsid w:val="42DE1CCC"/>
    <w:rsid w:val="4308546B"/>
    <w:rsid w:val="43263445"/>
    <w:rsid w:val="434157E3"/>
    <w:rsid w:val="43494860"/>
    <w:rsid w:val="434D380E"/>
    <w:rsid w:val="43934189"/>
    <w:rsid w:val="439D4850"/>
    <w:rsid w:val="43C27232"/>
    <w:rsid w:val="43DE4CE4"/>
    <w:rsid w:val="43ED069F"/>
    <w:rsid w:val="442A6E5A"/>
    <w:rsid w:val="445C4B8F"/>
    <w:rsid w:val="44833851"/>
    <w:rsid w:val="44982752"/>
    <w:rsid w:val="44BF6F86"/>
    <w:rsid w:val="44C45031"/>
    <w:rsid w:val="44D53AB2"/>
    <w:rsid w:val="44F27B0D"/>
    <w:rsid w:val="45485BDE"/>
    <w:rsid w:val="458571EC"/>
    <w:rsid w:val="45945C30"/>
    <w:rsid w:val="459F2306"/>
    <w:rsid w:val="45A832FE"/>
    <w:rsid w:val="45AB6174"/>
    <w:rsid w:val="45BA63E5"/>
    <w:rsid w:val="45CC5EDC"/>
    <w:rsid w:val="45F73D47"/>
    <w:rsid w:val="462D2575"/>
    <w:rsid w:val="46467FD8"/>
    <w:rsid w:val="46601D33"/>
    <w:rsid w:val="4666746C"/>
    <w:rsid w:val="467505FA"/>
    <w:rsid w:val="467B6008"/>
    <w:rsid w:val="468720BA"/>
    <w:rsid w:val="46891E2F"/>
    <w:rsid w:val="46895AFC"/>
    <w:rsid w:val="468E6A9E"/>
    <w:rsid w:val="46BC623F"/>
    <w:rsid w:val="46D855B9"/>
    <w:rsid w:val="470D2C74"/>
    <w:rsid w:val="477570F1"/>
    <w:rsid w:val="47AD33FA"/>
    <w:rsid w:val="47B41AAA"/>
    <w:rsid w:val="47CD38AD"/>
    <w:rsid w:val="47DB16D8"/>
    <w:rsid w:val="481726F3"/>
    <w:rsid w:val="48416760"/>
    <w:rsid w:val="48466F81"/>
    <w:rsid w:val="484D02A2"/>
    <w:rsid w:val="486B647A"/>
    <w:rsid w:val="48896934"/>
    <w:rsid w:val="48C12AEC"/>
    <w:rsid w:val="48D072A1"/>
    <w:rsid w:val="48D1341D"/>
    <w:rsid w:val="48D63F90"/>
    <w:rsid w:val="48E0279A"/>
    <w:rsid w:val="48E64C8E"/>
    <w:rsid w:val="48FA7B87"/>
    <w:rsid w:val="4919356E"/>
    <w:rsid w:val="492A7740"/>
    <w:rsid w:val="49300AA7"/>
    <w:rsid w:val="49391CB0"/>
    <w:rsid w:val="493C3A20"/>
    <w:rsid w:val="49401E21"/>
    <w:rsid w:val="49526EB9"/>
    <w:rsid w:val="49684311"/>
    <w:rsid w:val="496D00AD"/>
    <w:rsid w:val="49742114"/>
    <w:rsid w:val="49754CB4"/>
    <w:rsid w:val="49921F0F"/>
    <w:rsid w:val="49CE6B8E"/>
    <w:rsid w:val="49D72FF3"/>
    <w:rsid w:val="49E0102B"/>
    <w:rsid w:val="4A2945F2"/>
    <w:rsid w:val="4A613549"/>
    <w:rsid w:val="4A615154"/>
    <w:rsid w:val="4A96607C"/>
    <w:rsid w:val="4AB92E92"/>
    <w:rsid w:val="4B2134B8"/>
    <w:rsid w:val="4B24233C"/>
    <w:rsid w:val="4B330A0B"/>
    <w:rsid w:val="4B5E55F9"/>
    <w:rsid w:val="4B685D82"/>
    <w:rsid w:val="4B7B4674"/>
    <w:rsid w:val="4B7C663B"/>
    <w:rsid w:val="4B812078"/>
    <w:rsid w:val="4BF71347"/>
    <w:rsid w:val="4BF97932"/>
    <w:rsid w:val="4C141E75"/>
    <w:rsid w:val="4C2A4039"/>
    <w:rsid w:val="4C3C719E"/>
    <w:rsid w:val="4C736F36"/>
    <w:rsid w:val="4CAE60E3"/>
    <w:rsid w:val="4CEE1D13"/>
    <w:rsid w:val="4D032DA9"/>
    <w:rsid w:val="4D0C6DBE"/>
    <w:rsid w:val="4D25615C"/>
    <w:rsid w:val="4D36054D"/>
    <w:rsid w:val="4D41137F"/>
    <w:rsid w:val="4D524AEA"/>
    <w:rsid w:val="4D5724F7"/>
    <w:rsid w:val="4D757452"/>
    <w:rsid w:val="4D8C3F82"/>
    <w:rsid w:val="4DBC14B8"/>
    <w:rsid w:val="4DE936C7"/>
    <w:rsid w:val="4DF23555"/>
    <w:rsid w:val="4E050D4C"/>
    <w:rsid w:val="4E06569E"/>
    <w:rsid w:val="4E093792"/>
    <w:rsid w:val="4E1D26B7"/>
    <w:rsid w:val="4E1F052C"/>
    <w:rsid w:val="4E451D41"/>
    <w:rsid w:val="4E7A454C"/>
    <w:rsid w:val="4E820B4C"/>
    <w:rsid w:val="4E85341C"/>
    <w:rsid w:val="4E9B7B12"/>
    <w:rsid w:val="4EC47712"/>
    <w:rsid w:val="4EDD3C61"/>
    <w:rsid w:val="4EF1457F"/>
    <w:rsid w:val="4F2C40A0"/>
    <w:rsid w:val="4F2F3B98"/>
    <w:rsid w:val="4F380B7A"/>
    <w:rsid w:val="4F424B82"/>
    <w:rsid w:val="4F4B0CB3"/>
    <w:rsid w:val="4F4F0EBF"/>
    <w:rsid w:val="4F5C3162"/>
    <w:rsid w:val="4F8C4B40"/>
    <w:rsid w:val="4FAA5CD5"/>
    <w:rsid w:val="4FBD187E"/>
    <w:rsid w:val="4FC56067"/>
    <w:rsid w:val="4FD11AC0"/>
    <w:rsid w:val="502F75EB"/>
    <w:rsid w:val="50400243"/>
    <w:rsid w:val="50494336"/>
    <w:rsid w:val="505B3EFC"/>
    <w:rsid w:val="50784012"/>
    <w:rsid w:val="50813C12"/>
    <w:rsid w:val="5087463E"/>
    <w:rsid w:val="50A11680"/>
    <w:rsid w:val="50B77550"/>
    <w:rsid w:val="50C773AE"/>
    <w:rsid w:val="50CD6602"/>
    <w:rsid w:val="510D0F23"/>
    <w:rsid w:val="51197B59"/>
    <w:rsid w:val="51615030"/>
    <w:rsid w:val="51627812"/>
    <w:rsid w:val="51C136D4"/>
    <w:rsid w:val="51D33F6D"/>
    <w:rsid w:val="51D6736A"/>
    <w:rsid w:val="51DB1448"/>
    <w:rsid w:val="52045DB4"/>
    <w:rsid w:val="522C275E"/>
    <w:rsid w:val="523E1246"/>
    <w:rsid w:val="524C13A2"/>
    <w:rsid w:val="529000F6"/>
    <w:rsid w:val="5296149A"/>
    <w:rsid w:val="52A65672"/>
    <w:rsid w:val="52BA4073"/>
    <w:rsid w:val="52CD7B31"/>
    <w:rsid w:val="52D576F4"/>
    <w:rsid w:val="52DF170A"/>
    <w:rsid w:val="52E25B6D"/>
    <w:rsid w:val="52F362FB"/>
    <w:rsid w:val="52F4161A"/>
    <w:rsid w:val="52F965A5"/>
    <w:rsid w:val="53081AD8"/>
    <w:rsid w:val="53235275"/>
    <w:rsid w:val="53240623"/>
    <w:rsid w:val="53321C03"/>
    <w:rsid w:val="533415F9"/>
    <w:rsid w:val="534823B8"/>
    <w:rsid w:val="535657D0"/>
    <w:rsid w:val="535868CC"/>
    <w:rsid w:val="53597EDB"/>
    <w:rsid w:val="538D066D"/>
    <w:rsid w:val="53934B1D"/>
    <w:rsid w:val="53A2278E"/>
    <w:rsid w:val="53CB788B"/>
    <w:rsid w:val="53E32E36"/>
    <w:rsid w:val="54203B94"/>
    <w:rsid w:val="5424233E"/>
    <w:rsid w:val="542A3DC2"/>
    <w:rsid w:val="542C299E"/>
    <w:rsid w:val="543642C1"/>
    <w:rsid w:val="543F5759"/>
    <w:rsid w:val="5461235D"/>
    <w:rsid w:val="54667BA2"/>
    <w:rsid w:val="547E7555"/>
    <w:rsid w:val="54A01FAE"/>
    <w:rsid w:val="54AC3148"/>
    <w:rsid w:val="54C0256E"/>
    <w:rsid w:val="54C334B7"/>
    <w:rsid w:val="54D4667D"/>
    <w:rsid w:val="54D55C56"/>
    <w:rsid w:val="54EC389B"/>
    <w:rsid w:val="54F847D9"/>
    <w:rsid w:val="55126190"/>
    <w:rsid w:val="555F3833"/>
    <w:rsid w:val="55667780"/>
    <w:rsid w:val="556E493A"/>
    <w:rsid w:val="55725F14"/>
    <w:rsid w:val="55941D63"/>
    <w:rsid w:val="559C0CE1"/>
    <w:rsid w:val="55B42D88"/>
    <w:rsid w:val="55D11119"/>
    <w:rsid w:val="55DB1F79"/>
    <w:rsid w:val="560A42BD"/>
    <w:rsid w:val="560C1D89"/>
    <w:rsid w:val="56353B20"/>
    <w:rsid w:val="56443B98"/>
    <w:rsid w:val="56453A77"/>
    <w:rsid w:val="56615E89"/>
    <w:rsid w:val="56757259"/>
    <w:rsid w:val="568B7EB7"/>
    <w:rsid w:val="56BC078F"/>
    <w:rsid w:val="56CB4BCB"/>
    <w:rsid w:val="56FB75FE"/>
    <w:rsid w:val="57391A95"/>
    <w:rsid w:val="573F3C9E"/>
    <w:rsid w:val="574C52C4"/>
    <w:rsid w:val="57526FDB"/>
    <w:rsid w:val="57572F35"/>
    <w:rsid w:val="575B33A4"/>
    <w:rsid w:val="57674A5D"/>
    <w:rsid w:val="579775E1"/>
    <w:rsid w:val="57C90530"/>
    <w:rsid w:val="57CE0836"/>
    <w:rsid w:val="57E92384"/>
    <w:rsid w:val="582F44F7"/>
    <w:rsid w:val="583F27F2"/>
    <w:rsid w:val="58455B6D"/>
    <w:rsid w:val="584D29B0"/>
    <w:rsid w:val="584F7C49"/>
    <w:rsid w:val="5888302C"/>
    <w:rsid w:val="5889129A"/>
    <w:rsid w:val="58AD528C"/>
    <w:rsid w:val="58B31955"/>
    <w:rsid w:val="58BA45A1"/>
    <w:rsid w:val="594F6915"/>
    <w:rsid w:val="59567D78"/>
    <w:rsid w:val="59737A65"/>
    <w:rsid w:val="59842DF4"/>
    <w:rsid w:val="59A0359A"/>
    <w:rsid w:val="59E52D9A"/>
    <w:rsid w:val="5A300449"/>
    <w:rsid w:val="5A482DEE"/>
    <w:rsid w:val="5A55295D"/>
    <w:rsid w:val="5A7E104A"/>
    <w:rsid w:val="5A8208A0"/>
    <w:rsid w:val="5A861FD5"/>
    <w:rsid w:val="5AB86606"/>
    <w:rsid w:val="5AE3253A"/>
    <w:rsid w:val="5AEA30C9"/>
    <w:rsid w:val="5AEA3475"/>
    <w:rsid w:val="5AF54C6B"/>
    <w:rsid w:val="5B087B94"/>
    <w:rsid w:val="5B0C2FBE"/>
    <w:rsid w:val="5B0E3E89"/>
    <w:rsid w:val="5B124740"/>
    <w:rsid w:val="5B31434D"/>
    <w:rsid w:val="5B3F60FF"/>
    <w:rsid w:val="5B3F66E7"/>
    <w:rsid w:val="5B872AE6"/>
    <w:rsid w:val="5BA77753"/>
    <w:rsid w:val="5BB60E53"/>
    <w:rsid w:val="5BC025EF"/>
    <w:rsid w:val="5BDE054A"/>
    <w:rsid w:val="5C1203C7"/>
    <w:rsid w:val="5C1F35AE"/>
    <w:rsid w:val="5C3905BF"/>
    <w:rsid w:val="5C66397A"/>
    <w:rsid w:val="5C7349B6"/>
    <w:rsid w:val="5C824C05"/>
    <w:rsid w:val="5C8725EE"/>
    <w:rsid w:val="5CB0251A"/>
    <w:rsid w:val="5CB97030"/>
    <w:rsid w:val="5CC97332"/>
    <w:rsid w:val="5CD314E5"/>
    <w:rsid w:val="5D187049"/>
    <w:rsid w:val="5D1D2427"/>
    <w:rsid w:val="5D756277"/>
    <w:rsid w:val="5D955FBD"/>
    <w:rsid w:val="5DA62524"/>
    <w:rsid w:val="5DAC3919"/>
    <w:rsid w:val="5DB36259"/>
    <w:rsid w:val="5DBD33B2"/>
    <w:rsid w:val="5DC223CB"/>
    <w:rsid w:val="5DF66637"/>
    <w:rsid w:val="5DFF6858"/>
    <w:rsid w:val="5E0F2B0E"/>
    <w:rsid w:val="5E185132"/>
    <w:rsid w:val="5E2A0167"/>
    <w:rsid w:val="5E495E1D"/>
    <w:rsid w:val="5E5D68E8"/>
    <w:rsid w:val="5E802A96"/>
    <w:rsid w:val="5E9074FF"/>
    <w:rsid w:val="5EAE1AF2"/>
    <w:rsid w:val="5EB62A77"/>
    <w:rsid w:val="5EB80355"/>
    <w:rsid w:val="5EBB2226"/>
    <w:rsid w:val="5EBE5F24"/>
    <w:rsid w:val="5EC232B0"/>
    <w:rsid w:val="5EF07004"/>
    <w:rsid w:val="5F0E1E9A"/>
    <w:rsid w:val="5F860C23"/>
    <w:rsid w:val="5FC44411"/>
    <w:rsid w:val="5FE426E2"/>
    <w:rsid w:val="602E3B87"/>
    <w:rsid w:val="605C7AA6"/>
    <w:rsid w:val="605F132B"/>
    <w:rsid w:val="608510A4"/>
    <w:rsid w:val="608762FF"/>
    <w:rsid w:val="609E1C45"/>
    <w:rsid w:val="60BD4FD1"/>
    <w:rsid w:val="60D507D0"/>
    <w:rsid w:val="60EA1511"/>
    <w:rsid w:val="60EB6C34"/>
    <w:rsid w:val="60FD5C7B"/>
    <w:rsid w:val="61025143"/>
    <w:rsid w:val="613D7E7B"/>
    <w:rsid w:val="617162E9"/>
    <w:rsid w:val="61A52BAA"/>
    <w:rsid w:val="61FA0AE4"/>
    <w:rsid w:val="623438BB"/>
    <w:rsid w:val="624B10F0"/>
    <w:rsid w:val="624F3E48"/>
    <w:rsid w:val="62635981"/>
    <w:rsid w:val="629B3E75"/>
    <w:rsid w:val="629B5D43"/>
    <w:rsid w:val="62A36D1F"/>
    <w:rsid w:val="62A40365"/>
    <w:rsid w:val="62A469A9"/>
    <w:rsid w:val="62A92FF1"/>
    <w:rsid w:val="62AF5FB3"/>
    <w:rsid w:val="62B90FFE"/>
    <w:rsid w:val="62E10186"/>
    <w:rsid w:val="62F6018D"/>
    <w:rsid w:val="63016E3A"/>
    <w:rsid w:val="63034141"/>
    <w:rsid w:val="63045E00"/>
    <w:rsid w:val="630A731B"/>
    <w:rsid w:val="63386B48"/>
    <w:rsid w:val="633A3FE7"/>
    <w:rsid w:val="63410B16"/>
    <w:rsid w:val="63562840"/>
    <w:rsid w:val="637141EC"/>
    <w:rsid w:val="63805B1F"/>
    <w:rsid w:val="63834973"/>
    <w:rsid w:val="638F3DC7"/>
    <w:rsid w:val="6397194C"/>
    <w:rsid w:val="63DA4B5E"/>
    <w:rsid w:val="64273E62"/>
    <w:rsid w:val="642E2892"/>
    <w:rsid w:val="643B736C"/>
    <w:rsid w:val="64AD7C37"/>
    <w:rsid w:val="64B05758"/>
    <w:rsid w:val="64BE4B0D"/>
    <w:rsid w:val="65075A96"/>
    <w:rsid w:val="650E600B"/>
    <w:rsid w:val="650F0C7B"/>
    <w:rsid w:val="65B221E6"/>
    <w:rsid w:val="66426031"/>
    <w:rsid w:val="66593B74"/>
    <w:rsid w:val="665D2DD8"/>
    <w:rsid w:val="66651C8A"/>
    <w:rsid w:val="66675176"/>
    <w:rsid w:val="669F2C65"/>
    <w:rsid w:val="66BE6B53"/>
    <w:rsid w:val="66C55FD8"/>
    <w:rsid w:val="66D333AF"/>
    <w:rsid w:val="67192A34"/>
    <w:rsid w:val="674A4927"/>
    <w:rsid w:val="677243C5"/>
    <w:rsid w:val="678568CD"/>
    <w:rsid w:val="67904A3A"/>
    <w:rsid w:val="67A24F14"/>
    <w:rsid w:val="67BB4EAD"/>
    <w:rsid w:val="67E453F6"/>
    <w:rsid w:val="67F130F8"/>
    <w:rsid w:val="67F84AFE"/>
    <w:rsid w:val="680878A3"/>
    <w:rsid w:val="68340476"/>
    <w:rsid w:val="68375AD4"/>
    <w:rsid w:val="683870E8"/>
    <w:rsid w:val="68457681"/>
    <w:rsid w:val="684977D5"/>
    <w:rsid w:val="68552C50"/>
    <w:rsid w:val="685D34E7"/>
    <w:rsid w:val="68A8123A"/>
    <w:rsid w:val="68B474BC"/>
    <w:rsid w:val="68B84F4C"/>
    <w:rsid w:val="69055229"/>
    <w:rsid w:val="6929374C"/>
    <w:rsid w:val="692F20BB"/>
    <w:rsid w:val="69784C3F"/>
    <w:rsid w:val="69C1095D"/>
    <w:rsid w:val="6A0138F7"/>
    <w:rsid w:val="6A1E155A"/>
    <w:rsid w:val="6A7B5447"/>
    <w:rsid w:val="6A800460"/>
    <w:rsid w:val="6ADB012D"/>
    <w:rsid w:val="6AE3748E"/>
    <w:rsid w:val="6AF53FAE"/>
    <w:rsid w:val="6B1C2F79"/>
    <w:rsid w:val="6B1C3EC6"/>
    <w:rsid w:val="6B3F4C28"/>
    <w:rsid w:val="6B574638"/>
    <w:rsid w:val="6B5F5B98"/>
    <w:rsid w:val="6B615C8D"/>
    <w:rsid w:val="6B67068F"/>
    <w:rsid w:val="6B6E2E8D"/>
    <w:rsid w:val="6B977A86"/>
    <w:rsid w:val="6BAB6FBB"/>
    <w:rsid w:val="6BB568D4"/>
    <w:rsid w:val="6BDF79C7"/>
    <w:rsid w:val="6BE146ED"/>
    <w:rsid w:val="6C0B074D"/>
    <w:rsid w:val="6C1458EF"/>
    <w:rsid w:val="6C231806"/>
    <w:rsid w:val="6C275F8B"/>
    <w:rsid w:val="6C3B15FF"/>
    <w:rsid w:val="6C3B431E"/>
    <w:rsid w:val="6C3E5116"/>
    <w:rsid w:val="6C6E496E"/>
    <w:rsid w:val="6C725FD7"/>
    <w:rsid w:val="6C852D02"/>
    <w:rsid w:val="6CEA2C90"/>
    <w:rsid w:val="6CFA5C74"/>
    <w:rsid w:val="6D2C4A68"/>
    <w:rsid w:val="6D3B2E78"/>
    <w:rsid w:val="6D3C3AC0"/>
    <w:rsid w:val="6D410335"/>
    <w:rsid w:val="6D4305C3"/>
    <w:rsid w:val="6D48445E"/>
    <w:rsid w:val="6D500B73"/>
    <w:rsid w:val="6D544671"/>
    <w:rsid w:val="6D666AA6"/>
    <w:rsid w:val="6D687043"/>
    <w:rsid w:val="6D7D6DC8"/>
    <w:rsid w:val="6D885EAB"/>
    <w:rsid w:val="6D953F0C"/>
    <w:rsid w:val="6DB67EBB"/>
    <w:rsid w:val="6DEF52E3"/>
    <w:rsid w:val="6E0E6A1E"/>
    <w:rsid w:val="6E2D763E"/>
    <w:rsid w:val="6E420FB1"/>
    <w:rsid w:val="6E6C1986"/>
    <w:rsid w:val="6E953983"/>
    <w:rsid w:val="6E95768E"/>
    <w:rsid w:val="6EA14900"/>
    <w:rsid w:val="6EB27AA3"/>
    <w:rsid w:val="6EBD1CFE"/>
    <w:rsid w:val="6EF9461D"/>
    <w:rsid w:val="6F1348E9"/>
    <w:rsid w:val="6F2A01FE"/>
    <w:rsid w:val="6F2A71A4"/>
    <w:rsid w:val="6F9415EA"/>
    <w:rsid w:val="6FA90994"/>
    <w:rsid w:val="6FB72F84"/>
    <w:rsid w:val="6FCA5E7C"/>
    <w:rsid w:val="6FE3419F"/>
    <w:rsid w:val="6FF778F1"/>
    <w:rsid w:val="700346D4"/>
    <w:rsid w:val="700972F0"/>
    <w:rsid w:val="70287F2C"/>
    <w:rsid w:val="709748DB"/>
    <w:rsid w:val="70AF69EB"/>
    <w:rsid w:val="70F97D93"/>
    <w:rsid w:val="71181113"/>
    <w:rsid w:val="711D7CA6"/>
    <w:rsid w:val="71227E63"/>
    <w:rsid w:val="71614B6B"/>
    <w:rsid w:val="718D2905"/>
    <w:rsid w:val="719909D2"/>
    <w:rsid w:val="719B61D4"/>
    <w:rsid w:val="71A10922"/>
    <w:rsid w:val="71D214DD"/>
    <w:rsid w:val="71F62920"/>
    <w:rsid w:val="71F76FA3"/>
    <w:rsid w:val="72091DAA"/>
    <w:rsid w:val="72267D97"/>
    <w:rsid w:val="724E29D1"/>
    <w:rsid w:val="728564F5"/>
    <w:rsid w:val="728B7ACE"/>
    <w:rsid w:val="728E70EC"/>
    <w:rsid w:val="729701CD"/>
    <w:rsid w:val="72AB431D"/>
    <w:rsid w:val="72DA09BB"/>
    <w:rsid w:val="72E745EF"/>
    <w:rsid w:val="730E0485"/>
    <w:rsid w:val="730E4D7D"/>
    <w:rsid w:val="731466EF"/>
    <w:rsid w:val="73212A01"/>
    <w:rsid w:val="73322FF0"/>
    <w:rsid w:val="733712FB"/>
    <w:rsid w:val="73460FB0"/>
    <w:rsid w:val="73513F28"/>
    <w:rsid w:val="735A7119"/>
    <w:rsid w:val="736127BE"/>
    <w:rsid w:val="737F30A3"/>
    <w:rsid w:val="739E0038"/>
    <w:rsid w:val="73B34591"/>
    <w:rsid w:val="73D850A2"/>
    <w:rsid w:val="73DE7F6C"/>
    <w:rsid w:val="73E365CE"/>
    <w:rsid w:val="73E64B1D"/>
    <w:rsid w:val="740735EA"/>
    <w:rsid w:val="7408106C"/>
    <w:rsid w:val="7412351E"/>
    <w:rsid w:val="74BE4E97"/>
    <w:rsid w:val="74D504C8"/>
    <w:rsid w:val="74F679F1"/>
    <w:rsid w:val="74F841F7"/>
    <w:rsid w:val="75003D28"/>
    <w:rsid w:val="750445F2"/>
    <w:rsid w:val="751D637E"/>
    <w:rsid w:val="751F2555"/>
    <w:rsid w:val="753504B8"/>
    <w:rsid w:val="75466A74"/>
    <w:rsid w:val="756F45FE"/>
    <w:rsid w:val="757F267E"/>
    <w:rsid w:val="758418D8"/>
    <w:rsid w:val="75A17528"/>
    <w:rsid w:val="75AA6AC3"/>
    <w:rsid w:val="75B749A9"/>
    <w:rsid w:val="75CB1443"/>
    <w:rsid w:val="75CD3F16"/>
    <w:rsid w:val="761A34DA"/>
    <w:rsid w:val="762D0C2E"/>
    <w:rsid w:val="76781DCD"/>
    <w:rsid w:val="76D84698"/>
    <w:rsid w:val="775865D7"/>
    <w:rsid w:val="775A33B3"/>
    <w:rsid w:val="775B4584"/>
    <w:rsid w:val="776234AF"/>
    <w:rsid w:val="776D12AE"/>
    <w:rsid w:val="77895532"/>
    <w:rsid w:val="77AD0FE0"/>
    <w:rsid w:val="77BE7384"/>
    <w:rsid w:val="78821B50"/>
    <w:rsid w:val="788E2A2A"/>
    <w:rsid w:val="78C52EE0"/>
    <w:rsid w:val="78D23C9C"/>
    <w:rsid w:val="7913610A"/>
    <w:rsid w:val="791A167A"/>
    <w:rsid w:val="794D119C"/>
    <w:rsid w:val="796B6F7E"/>
    <w:rsid w:val="79935707"/>
    <w:rsid w:val="799A2128"/>
    <w:rsid w:val="79A877DA"/>
    <w:rsid w:val="79C0552F"/>
    <w:rsid w:val="79C30D65"/>
    <w:rsid w:val="79CC3295"/>
    <w:rsid w:val="7A0B1561"/>
    <w:rsid w:val="7A25258A"/>
    <w:rsid w:val="7A2C646D"/>
    <w:rsid w:val="7A55546C"/>
    <w:rsid w:val="7A743686"/>
    <w:rsid w:val="7A824E2E"/>
    <w:rsid w:val="7A9E7BE0"/>
    <w:rsid w:val="7AFF6437"/>
    <w:rsid w:val="7B021BF1"/>
    <w:rsid w:val="7B294059"/>
    <w:rsid w:val="7B9F2862"/>
    <w:rsid w:val="7BA9751C"/>
    <w:rsid w:val="7BAB44F6"/>
    <w:rsid w:val="7BB856C6"/>
    <w:rsid w:val="7BBB27D3"/>
    <w:rsid w:val="7BC24A45"/>
    <w:rsid w:val="7BD52A90"/>
    <w:rsid w:val="7BEE6425"/>
    <w:rsid w:val="7C076616"/>
    <w:rsid w:val="7C0D60AB"/>
    <w:rsid w:val="7C295DFC"/>
    <w:rsid w:val="7C4B37FA"/>
    <w:rsid w:val="7C58255B"/>
    <w:rsid w:val="7C5B5FF8"/>
    <w:rsid w:val="7C910DB6"/>
    <w:rsid w:val="7CF03F88"/>
    <w:rsid w:val="7CF73786"/>
    <w:rsid w:val="7D5E51C4"/>
    <w:rsid w:val="7D5F63EE"/>
    <w:rsid w:val="7D7525FB"/>
    <w:rsid w:val="7DC111D1"/>
    <w:rsid w:val="7DC43A43"/>
    <w:rsid w:val="7DC74225"/>
    <w:rsid w:val="7DDA69EF"/>
    <w:rsid w:val="7DDD18D5"/>
    <w:rsid w:val="7E6C26A2"/>
    <w:rsid w:val="7EB35583"/>
    <w:rsid w:val="7EB5276C"/>
    <w:rsid w:val="7EBC57D7"/>
    <w:rsid w:val="7ED0794B"/>
    <w:rsid w:val="7ED70A6F"/>
    <w:rsid w:val="7EE20D78"/>
    <w:rsid w:val="7F3206AA"/>
    <w:rsid w:val="7F5E6382"/>
    <w:rsid w:val="7F5F2553"/>
    <w:rsid w:val="7F89742A"/>
    <w:rsid w:val="7F9B22D0"/>
    <w:rsid w:val="7F9F74D0"/>
    <w:rsid w:val="7FA200C0"/>
    <w:rsid w:val="7FA23B7F"/>
    <w:rsid w:val="7FBE60DA"/>
    <w:rsid w:val="7FBF3588"/>
    <w:rsid w:val="7FDE4F4F"/>
    <w:rsid w:val="7FDF7BAE"/>
    <w:rsid w:val="7FE33D62"/>
    <w:rsid w:val="7FEB69A3"/>
    <w:rsid w:val="7FFB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5"/>
    <w:qFormat/>
    <w:uiPriority w:val="0"/>
    <w:rPr>
      <w:rFonts w:ascii="宋体" w:hAnsi="Tahoma"/>
      <w:sz w:val="18"/>
      <w:szCs w:val="18"/>
    </w:rPr>
  </w:style>
  <w:style w:type="paragraph" w:styleId="8">
    <w:name w:val="annotation text"/>
    <w:basedOn w:val="1"/>
    <w:link w:val="64"/>
    <w:semiHidden/>
    <w:qFormat/>
    <w:uiPriority w:val="99"/>
    <w:pPr>
      <w:jc w:val="left"/>
    </w:pPr>
    <w:rPr>
      <w:rFonts w:ascii="Tahoma" w:hAnsi="Tahoma"/>
    </w:rPr>
  </w:style>
  <w:style w:type="paragraph" w:styleId="9">
    <w:name w:val="Body Text 3"/>
    <w:basedOn w:val="1"/>
    <w:qFormat/>
    <w:uiPriority w:val="0"/>
    <w:rPr>
      <w:kern w:val="0"/>
      <w:sz w:val="16"/>
      <w:szCs w:val="16"/>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13">
    <w:name w:val="toc 3"/>
    <w:basedOn w:val="1"/>
    <w:next w:val="1"/>
    <w:unhideWhenUsed/>
    <w:qFormat/>
    <w:uiPriority w:val="39"/>
    <w:pPr>
      <w:ind w:left="840" w:leftChars="400"/>
    </w:pPr>
    <w:rPr>
      <w:sz w:val="28"/>
    </w:rPr>
  </w:style>
  <w:style w:type="paragraph" w:styleId="14">
    <w:name w:val="Plain Text"/>
    <w:basedOn w:val="1"/>
    <w:qFormat/>
    <w:uiPriority w:val="0"/>
    <w:rPr>
      <w:rFonts w:ascii="宋体" w:hAnsi="Courier New" w:eastAsia="楷体_GB2312"/>
      <w:snapToGrid w:val="0"/>
      <w:color w:val="000000"/>
      <w:kern w:val="0"/>
      <w:sz w:val="32"/>
      <w:szCs w:val="21"/>
    </w:rPr>
  </w:style>
  <w:style w:type="paragraph" w:styleId="15">
    <w:name w:val="Date"/>
    <w:basedOn w:val="1"/>
    <w:next w:val="1"/>
    <w:qFormat/>
    <w:uiPriority w:val="0"/>
    <w:rPr>
      <w:rFonts w:ascii="楷体_GB2312" w:eastAsia="楷体_GB2312"/>
      <w:color w:val="000000"/>
      <w:kern w:val="0"/>
      <w:sz w:val="32"/>
      <w:szCs w:val="32"/>
    </w:rPr>
  </w:style>
  <w:style w:type="paragraph" w:styleId="16">
    <w:name w:val="Body Text Indent 2"/>
    <w:basedOn w:val="1"/>
    <w:qFormat/>
    <w:uiPriority w:val="0"/>
    <w:pPr>
      <w:autoSpaceDE w:val="0"/>
      <w:autoSpaceDN w:val="0"/>
      <w:adjustRightInd w:val="0"/>
      <w:spacing w:line="489" w:lineRule="atLeast"/>
      <w:ind w:firstLine="709"/>
      <w:jc w:val="left"/>
    </w:pPr>
    <w:rPr>
      <w:rFonts w:ascii="华文仿宋" w:hAnsi="华文仿宋" w:eastAsia="华文仿宋"/>
      <w:color w:val="000000"/>
      <w:kern w:val="0"/>
      <w:sz w:val="32"/>
      <w:szCs w:val="32"/>
    </w:rPr>
  </w:style>
  <w:style w:type="paragraph" w:styleId="17">
    <w:name w:val="Balloon Text"/>
    <w:basedOn w:val="1"/>
    <w:unhideWhenUsed/>
    <w:qFormat/>
    <w:uiPriority w:val="0"/>
    <w:rPr>
      <w:sz w:val="18"/>
      <w:szCs w:val="18"/>
    </w:rPr>
  </w:style>
  <w:style w:type="paragraph" w:styleId="18">
    <w:name w:val="footer"/>
    <w:basedOn w:val="1"/>
    <w:link w:val="58"/>
    <w:qFormat/>
    <w:uiPriority w:val="99"/>
    <w:pPr>
      <w:tabs>
        <w:tab w:val="center" w:pos="4153"/>
        <w:tab w:val="right" w:pos="8306"/>
      </w:tabs>
      <w:snapToGrid w:val="0"/>
      <w:jc w:val="left"/>
    </w:pPr>
    <w:rPr>
      <w:rFonts w:ascii="Tahoma" w:hAnsi="Tahom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ind w:left="359" w:leftChars="171" w:firstLine="554" w:firstLineChars="198"/>
    </w:pPr>
    <w:rPr>
      <w:sz w:val="28"/>
      <w:szCs w:val="20"/>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62"/>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rFonts w:ascii="Tahoma" w:hAnsi="Tahoma"/>
      <w:b/>
      <w:bCs/>
      <w:sz w:val="24"/>
    </w:rPr>
  </w:style>
  <w:style w:type="character" w:styleId="30">
    <w:name w:val="page number"/>
    <w:basedOn w:val="28"/>
    <w:qFormat/>
    <w:uiPriority w:val="0"/>
  </w:style>
  <w:style w:type="character" w:styleId="31">
    <w:name w:val="FollowedHyperlink"/>
    <w:qFormat/>
    <w:uiPriority w:val="0"/>
    <w:rPr>
      <w:rFonts w:ascii="Tahoma" w:hAnsi="Tahoma"/>
      <w:color w:val="000000"/>
      <w:sz w:val="18"/>
      <w:szCs w:val="18"/>
      <w:u w:val="none"/>
    </w:rPr>
  </w:style>
  <w:style w:type="character" w:styleId="32">
    <w:name w:val="Hyperlink"/>
    <w:qFormat/>
    <w:uiPriority w:val="99"/>
    <w:rPr>
      <w:rFonts w:ascii="Tahoma" w:hAnsi="Tahoma"/>
      <w:color w:val="0000FF"/>
      <w:sz w:val="24"/>
      <w:u w:val="single"/>
    </w:rPr>
  </w:style>
  <w:style w:type="character" w:styleId="33">
    <w:name w:val="annotation reference"/>
    <w:unhideWhenUsed/>
    <w:qFormat/>
    <w:uiPriority w:val="99"/>
    <w:rPr>
      <w:rFonts w:ascii="Tahoma" w:hAnsi="Tahoma"/>
      <w:sz w:val="21"/>
      <w:szCs w:val="21"/>
    </w:rPr>
  </w:style>
  <w:style w:type="character" w:customStyle="1" w:styleId="34">
    <w:name w:val="cfdate"/>
    <w:basedOn w:val="28"/>
    <w:qFormat/>
    <w:uiPriority w:val="0"/>
    <w:rPr>
      <w:color w:val="333333"/>
      <w:sz w:val="18"/>
      <w:szCs w:val="18"/>
    </w:rPr>
  </w:style>
  <w:style w:type="character" w:customStyle="1" w:styleId="35">
    <w:name w:val="文档结构图 字符"/>
    <w:link w:val="7"/>
    <w:qFormat/>
    <w:uiPriority w:val="0"/>
    <w:rPr>
      <w:rFonts w:ascii="宋体" w:hAnsi="Tahoma"/>
      <w:kern w:val="2"/>
      <w:sz w:val="18"/>
      <w:szCs w:val="18"/>
    </w:rPr>
  </w:style>
  <w:style w:type="character" w:customStyle="1" w:styleId="36">
    <w:name w:val="copyright"/>
    <w:basedOn w:val="28"/>
    <w:qFormat/>
    <w:uiPriority w:val="0"/>
  </w:style>
  <w:style w:type="character" w:customStyle="1" w:styleId="37">
    <w:name w:val="Char Char6"/>
    <w:qFormat/>
    <w:uiPriority w:val="0"/>
    <w:rPr>
      <w:rFonts w:ascii="Tahoma" w:hAnsi="Tahoma" w:eastAsia="宋体"/>
      <w:b/>
      <w:bCs/>
      <w:kern w:val="2"/>
      <w:sz w:val="32"/>
      <w:szCs w:val="32"/>
      <w:lang w:val="en-US" w:eastAsia="zh-CN" w:bidi="ar-SA"/>
    </w:rPr>
  </w:style>
  <w:style w:type="character" w:customStyle="1" w:styleId="38">
    <w:name w:val="qxdate"/>
    <w:basedOn w:val="28"/>
    <w:qFormat/>
    <w:uiPriority w:val="0"/>
    <w:rPr>
      <w:color w:val="333333"/>
      <w:sz w:val="18"/>
      <w:szCs w:val="18"/>
    </w:rPr>
  </w:style>
  <w:style w:type="character" w:customStyle="1" w:styleId="39">
    <w:name w:val="gjfg"/>
    <w:basedOn w:val="28"/>
    <w:qFormat/>
    <w:uiPriority w:val="0"/>
  </w:style>
  <w:style w:type="character" w:customStyle="1" w:styleId="40">
    <w:name w:val="Char Char3"/>
    <w:semiHidden/>
    <w:qFormat/>
    <w:uiPriority w:val="0"/>
    <w:rPr>
      <w:rFonts w:ascii="Tahoma" w:hAnsi="Tahoma" w:eastAsia="宋体"/>
      <w:kern w:val="2"/>
      <w:sz w:val="18"/>
      <w:szCs w:val="18"/>
      <w:lang w:val="en-US" w:eastAsia="zh-CN" w:bidi="ar-SA"/>
    </w:rPr>
  </w:style>
  <w:style w:type="character" w:customStyle="1" w:styleId="41">
    <w:name w:val="普通文字 Char2"/>
    <w:qFormat/>
    <w:uiPriority w:val="0"/>
    <w:rPr>
      <w:rFonts w:ascii="宋体" w:hAnsi="Courier New" w:eastAsia="楷体_GB2312"/>
      <w:snapToGrid w:val="0"/>
      <w:color w:val="000000"/>
      <w:sz w:val="32"/>
      <w:szCs w:val="21"/>
      <w:lang w:val="en-US" w:eastAsia="zh-CN" w:bidi="ar-SA"/>
    </w:rPr>
  </w:style>
  <w:style w:type="character" w:customStyle="1" w:styleId="42">
    <w:name w:val="Char Char4"/>
    <w:qFormat/>
    <w:uiPriority w:val="0"/>
    <w:rPr>
      <w:rFonts w:ascii="Tahoma" w:hAnsi="Tahoma" w:eastAsia="宋体"/>
      <w:kern w:val="2"/>
      <w:sz w:val="18"/>
      <w:szCs w:val="18"/>
      <w:lang w:val="en-US" w:eastAsia="zh-CN" w:bidi="ar-SA"/>
    </w:rPr>
  </w:style>
  <w:style w:type="character" w:customStyle="1" w:styleId="43">
    <w:name w:val="font51"/>
    <w:qFormat/>
    <w:uiPriority w:val="0"/>
    <w:rPr>
      <w:rFonts w:hint="eastAsia" w:ascii="宋体" w:hAnsi="宋体" w:eastAsia="宋体" w:cs="宋体"/>
      <w:color w:val="000000"/>
      <w:sz w:val="21"/>
      <w:szCs w:val="21"/>
      <w:u w:val="none"/>
    </w:rPr>
  </w:style>
  <w:style w:type="character" w:customStyle="1" w:styleId="44">
    <w:name w:val="Char Char1"/>
    <w:semiHidden/>
    <w:qFormat/>
    <w:uiPriority w:val="0"/>
    <w:rPr>
      <w:rFonts w:ascii="Tahoma" w:hAnsi="Tahoma" w:eastAsia="宋体"/>
      <w:kern w:val="2"/>
      <w:sz w:val="28"/>
      <w:lang w:val="en-US" w:eastAsia="zh-CN" w:bidi="ar-SA"/>
    </w:rPr>
  </w:style>
  <w:style w:type="character" w:customStyle="1" w:styleId="45">
    <w:name w:val="profont1"/>
    <w:qFormat/>
    <w:uiPriority w:val="0"/>
    <w:rPr>
      <w:rFonts w:hint="default" w:ascii="Verdana" w:hAnsi="Verdana"/>
      <w:b/>
      <w:bCs/>
      <w:color w:val="333333"/>
      <w:sz w:val="24"/>
      <w:szCs w:val="24"/>
      <w:u w:val="none"/>
    </w:rPr>
  </w:style>
  <w:style w:type="character" w:customStyle="1" w:styleId="46">
    <w:name w:val="标题 2 Char"/>
    <w:qFormat/>
    <w:uiPriority w:val="0"/>
    <w:rPr>
      <w:rFonts w:ascii="Arial" w:hAnsi="Arial" w:eastAsia="黑体"/>
      <w:b/>
      <w:bCs/>
      <w:kern w:val="2"/>
      <w:sz w:val="32"/>
      <w:szCs w:val="32"/>
      <w:lang w:val="en-US" w:eastAsia="zh-CN" w:bidi="ar-SA"/>
    </w:rPr>
  </w:style>
  <w:style w:type="character" w:customStyle="1" w:styleId="47">
    <w:name w:val="Char Char5"/>
    <w:qFormat/>
    <w:uiPriority w:val="0"/>
    <w:rPr>
      <w:rFonts w:ascii="Tahoma" w:hAnsi="Tahoma" w:eastAsia="宋体"/>
      <w:kern w:val="2"/>
      <w:sz w:val="18"/>
      <w:szCs w:val="18"/>
      <w:lang w:val="en-US" w:eastAsia="zh-CN" w:bidi="ar-SA"/>
    </w:rPr>
  </w:style>
  <w:style w:type="character" w:customStyle="1" w:styleId="48">
    <w:name w:val="标题 1.1 Char1"/>
    <w:qFormat/>
    <w:uiPriority w:val="0"/>
    <w:rPr>
      <w:rFonts w:ascii="Arial" w:hAnsi="Arial" w:eastAsia="黑体"/>
      <w:b/>
      <w:bCs/>
      <w:kern w:val="2"/>
      <w:sz w:val="32"/>
      <w:szCs w:val="32"/>
      <w:lang w:val="en-US" w:eastAsia="zh-CN" w:bidi="ar-SA"/>
    </w:rPr>
  </w:style>
  <w:style w:type="character" w:customStyle="1" w:styleId="49">
    <w:name w:val="font01"/>
    <w:qFormat/>
    <w:uiPriority w:val="0"/>
    <w:rPr>
      <w:rFonts w:hint="eastAsia" w:ascii="宋体" w:hAnsi="宋体" w:eastAsia="宋体" w:cs="宋体"/>
      <w:color w:val="000000"/>
      <w:sz w:val="24"/>
      <w:szCs w:val="24"/>
      <w:u w:val="none"/>
    </w:rPr>
  </w:style>
  <w:style w:type="character" w:customStyle="1" w:styleId="50">
    <w:name w:val="font11"/>
    <w:qFormat/>
    <w:uiPriority w:val="0"/>
    <w:rPr>
      <w:rFonts w:hint="eastAsia" w:ascii="宋体" w:hAnsi="宋体" w:eastAsia="宋体" w:cs="宋体"/>
      <w:b/>
      <w:color w:val="000000"/>
      <w:sz w:val="24"/>
      <w:szCs w:val="24"/>
      <w:u w:val="none"/>
    </w:rPr>
  </w:style>
  <w:style w:type="character" w:customStyle="1" w:styleId="51">
    <w:name w:val="Char Char"/>
    <w:qFormat/>
    <w:uiPriority w:val="0"/>
    <w:rPr>
      <w:rFonts w:ascii="Tahoma" w:hAnsi="Tahoma"/>
      <w:kern w:val="2"/>
      <w:sz w:val="21"/>
      <w:szCs w:val="24"/>
    </w:rPr>
  </w:style>
  <w:style w:type="character" w:customStyle="1" w:styleId="52">
    <w:name w:val="style111"/>
    <w:qFormat/>
    <w:uiPriority w:val="0"/>
    <w:rPr>
      <w:rFonts w:ascii="Tahoma" w:hAnsi="Tahoma"/>
      <w:sz w:val="22"/>
      <w:szCs w:val="22"/>
    </w:rPr>
  </w:style>
  <w:style w:type="character" w:customStyle="1" w:styleId="53">
    <w:name w:val="displayarti"/>
    <w:basedOn w:val="28"/>
    <w:qFormat/>
    <w:uiPriority w:val="0"/>
    <w:rPr>
      <w:color w:val="FFFFFF"/>
      <w:shd w:val="clear" w:color="auto" w:fill="A00000"/>
    </w:rPr>
  </w:style>
  <w:style w:type="character" w:customStyle="1" w:styleId="54">
    <w:name w:val="Char Char7"/>
    <w:qFormat/>
    <w:uiPriority w:val="0"/>
    <w:rPr>
      <w:rFonts w:ascii="Tahoma" w:hAnsi="Tahoma" w:eastAsia="宋体"/>
      <w:b/>
      <w:bCs/>
      <w:kern w:val="44"/>
      <w:sz w:val="44"/>
      <w:szCs w:val="44"/>
      <w:lang w:val="en-US" w:eastAsia="zh-CN" w:bidi="ar-SA"/>
    </w:rPr>
  </w:style>
  <w:style w:type="character" w:customStyle="1" w:styleId="55">
    <w:name w:val="font31"/>
    <w:qFormat/>
    <w:uiPriority w:val="0"/>
    <w:rPr>
      <w:rFonts w:hint="eastAsia" w:ascii="宋体" w:hAnsi="宋体" w:eastAsia="宋体" w:cs="宋体"/>
      <w:color w:val="000000"/>
      <w:sz w:val="21"/>
      <w:szCs w:val="21"/>
      <w:u w:val="none"/>
    </w:rPr>
  </w:style>
  <w:style w:type="character" w:customStyle="1" w:styleId="56">
    <w:name w:val="Char Char2"/>
    <w:qFormat/>
    <w:uiPriority w:val="0"/>
    <w:rPr>
      <w:rFonts w:ascii="华文仿宋" w:hAnsi="华文仿宋" w:eastAsia="华文仿宋"/>
      <w:color w:val="000000"/>
      <w:sz w:val="32"/>
      <w:szCs w:val="32"/>
      <w:lang w:val="en-US" w:eastAsia="zh-CN" w:bidi="ar-SA"/>
    </w:rPr>
  </w:style>
  <w:style w:type="character" w:customStyle="1" w:styleId="57">
    <w:name w:val="style51"/>
    <w:qFormat/>
    <w:uiPriority w:val="0"/>
    <w:rPr>
      <w:rFonts w:ascii="Tahoma" w:hAnsi="Tahoma"/>
      <w:b/>
      <w:bCs/>
      <w:color w:val="814107"/>
      <w:sz w:val="21"/>
      <w:szCs w:val="21"/>
    </w:rPr>
  </w:style>
  <w:style w:type="character" w:customStyle="1" w:styleId="58">
    <w:name w:val="页脚 字符"/>
    <w:link w:val="18"/>
    <w:qFormat/>
    <w:uiPriority w:val="99"/>
    <w:rPr>
      <w:rFonts w:ascii="Tahoma" w:hAnsi="Tahoma"/>
      <w:kern w:val="2"/>
      <w:sz w:val="18"/>
      <w:szCs w:val="18"/>
    </w:rPr>
  </w:style>
  <w:style w:type="character" w:customStyle="1" w:styleId="59">
    <w:name w:val="标题 1.1 Char"/>
    <w:qFormat/>
    <w:uiPriority w:val="0"/>
    <w:rPr>
      <w:rFonts w:ascii="仿宋_GB2312" w:hAnsi="Arial" w:eastAsia="仿宋_GB2312" w:cs="Arial"/>
      <w:b/>
      <w:bCs/>
      <w:kern w:val="2"/>
      <w:sz w:val="24"/>
      <w:szCs w:val="24"/>
      <w:lang w:val="en-US" w:eastAsia="zh-CN" w:bidi="ar-SA"/>
    </w:rPr>
  </w:style>
  <w:style w:type="character" w:customStyle="1" w:styleId="60">
    <w:name w:val="普通文字 Char1"/>
    <w:qFormat/>
    <w:uiPriority w:val="0"/>
    <w:rPr>
      <w:rFonts w:ascii="宋体" w:hAnsi="Courier New" w:eastAsia="宋体"/>
      <w:kern w:val="2"/>
      <w:sz w:val="21"/>
      <w:szCs w:val="21"/>
      <w:lang w:val="en-US" w:eastAsia="zh-CN" w:bidi="ar-SA"/>
    </w:rPr>
  </w:style>
  <w:style w:type="character" w:customStyle="1" w:styleId="61">
    <w:name w:val="font41"/>
    <w:qFormat/>
    <w:uiPriority w:val="0"/>
    <w:rPr>
      <w:rFonts w:ascii="font-weight : 400" w:hAnsi="font-weight : 400" w:eastAsia="font-weight : 400" w:cs="font-weight : 400"/>
      <w:color w:val="000000"/>
      <w:sz w:val="21"/>
      <w:szCs w:val="21"/>
      <w:u w:val="none"/>
    </w:rPr>
  </w:style>
  <w:style w:type="character" w:customStyle="1" w:styleId="62">
    <w:name w:val="批注主题 字符"/>
    <w:link w:val="25"/>
    <w:qFormat/>
    <w:uiPriority w:val="0"/>
    <w:rPr>
      <w:rFonts w:ascii="Tahoma" w:hAnsi="Tahoma"/>
      <w:b/>
      <w:bCs/>
      <w:kern w:val="2"/>
      <w:sz w:val="21"/>
      <w:szCs w:val="24"/>
    </w:rPr>
  </w:style>
  <w:style w:type="character" w:customStyle="1" w:styleId="63">
    <w:name w:val="redfilefwwh"/>
    <w:basedOn w:val="28"/>
    <w:qFormat/>
    <w:uiPriority w:val="0"/>
    <w:rPr>
      <w:color w:val="BA2636"/>
      <w:sz w:val="18"/>
      <w:szCs w:val="18"/>
    </w:rPr>
  </w:style>
  <w:style w:type="character" w:customStyle="1" w:styleId="64">
    <w:name w:val="批注文字 字符"/>
    <w:link w:val="8"/>
    <w:semiHidden/>
    <w:qFormat/>
    <w:uiPriority w:val="99"/>
    <w:rPr>
      <w:rFonts w:ascii="Tahoma" w:hAnsi="Tahoma"/>
      <w:kern w:val="2"/>
      <w:sz w:val="21"/>
      <w:szCs w:val="24"/>
    </w:rPr>
  </w:style>
  <w:style w:type="character" w:customStyle="1" w:styleId="65">
    <w:name w:val="redfilenumber"/>
    <w:basedOn w:val="28"/>
    <w:qFormat/>
    <w:uiPriority w:val="0"/>
    <w:rPr>
      <w:color w:val="BA2636"/>
      <w:sz w:val="18"/>
      <w:szCs w:val="18"/>
    </w:rPr>
  </w:style>
  <w:style w:type="paragraph" w:customStyle="1" w:styleId="66">
    <w:name w:val="Char1 Char Char Char"/>
    <w:basedOn w:val="1"/>
    <w:qFormat/>
    <w:uiPriority w:val="0"/>
    <w:pPr>
      <w:adjustRightInd w:val="0"/>
      <w:spacing w:line="360" w:lineRule="auto"/>
    </w:pPr>
    <w:rPr>
      <w:kern w:val="0"/>
      <w:sz w:val="24"/>
      <w:szCs w:val="20"/>
    </w:rPr>
  </w:style>
  <w:style w:type="paragraph" w:customStyle="1" w:styleId="6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8">
    <w:name w:val="_Style 2"/>
    <w:basedOn w:val="1"/>
    <w:qFormat/>
    <w:uiPriority w:val="34"/>
    <w:pPr>
      <w:ind w:firstLine="420" w:firstLineChars="200"/>
    </w:pPr>
  </w:style>
  <w:style w:type="paragraph" w:customStyle="1" w:styleId="69">
    <w:name w:val="Char Char Char Char Char Char"/>
    <w:basedOn w:val="1"/>
    <w:qFormat/>
    <w:uiPriority w:val="0"/>
    <w:rPr>
      <w:rFonts w:ascii="Tahoma" w:hAnsi="Tahoma"/>
      <w:sz w:val="24"/>
    </w:rPr>
  </w:style>
  <w:style w:type="paragraph" w:customStyle="1" w:styleId="7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1">
    <w:name w:val="Char Char Char"/>
    <w:basedOn w:val="1"/>
    <w:qFormat/>
    <w:uiPriority w:val="0"/>
    <w:rPr>
      <w:rFonts w:ascii="Tahoma" w:hAnsi="Tahoma"/>
      <w:sz w:val="24"/>
      <w:szCs w:val="20"/>
    </w:rPr>
  </w:style>
  <w:style w:type="paragraph" w:customStyle="1" w:styleId="7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样式 宋体 三号 加粗 居中 行距: 最小值 12 磅"/>
    <w:basedOn w:val="1"/>
    <w:qFormat/>
    <w:uiPriority w:val="0"/>
    <w:pPr>
      <w:spacing w:line="240" w:lineRule="atLeast"/>
      <w:jc w:val="center"/>
    </w:pPr>
    <w:rPr>
      <w:rFonts w:ascii="宋体" w:hAnsi="宋体" w:cs="宋体"/>
      <w:b/>
      <w:bCs/>
      <w:szCs w:val="20"/>
    </w:rPr>
  </w:style>
  <w:style w:type="paragraph" w:customStyle="1" w:styleId="7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二级条标题"/>
    <w:basedOn w:val="76"/>
    <w:next w:val="1"/>
    <w:qFormat/>
    <w:uiPriority w:val="0"/>
    <w:pPr>
      <w:numPr>
        <w:ilvl w:val="3"/>
      </w:numPr>
      <w:outlineLvl w:val="3"/>
    </w:pPr>
  </w:style>
  <w:style w:type="paragraph" w:customStyle="1" w:styleId="76">
    <w:name w:val="一级条标题"/>
    <w:basedOn w:val="70"/>
    <w:next w:val="1"/>
    <w:qFormat/>
    <w:uiPriority w:val="0"/>
    <w:pPr>
      <w:numPr>
        <w:ilvl w:val="2"/>
      </w:numPr>
      <w:spacing w:beforeLines="0" w:afterLines="0"/>
      <w:outlineLvl w:val="2"/>
    </w:pPr>
  </w:style>
  <w:style w:type="paragraph" w:customStyle="1" w:styleId="77">
    <w:name w:val="Char Char Char1"/>
    <w:basedOn w:val="1"/>
    <w:qFormat/>
    <w:uiPriority w:val="0"/>
    <w:rPr>
      <w:rFonts w:ascii="Tahoma" w:hAnsi="Tahoma"/>
      <w:sz w:val="24"/>
      <w:szCs w:val="20"/>
    </w:rPr>
  </w:style>
  <w:style w:type="paragraph" w:customStyle="1" w:styleId="78">
    <w:name w:val="样式5"/>
    <w:basedOn w:val="79"/>
    <w:qFormat/>
    <w:uiPriority w:val="0"/>
    <w:pPr>
      <w:numPr>
        <w:ilvl w:val="3"/>
      </w:numPr>
      <w:tabs>
        <w:tab w:val="left" w:pos="432"/>
      </w:tabs>
      <w:spacing w:before="156"/>
    </w:pPr>
  </w:style>
  <w:style w:type="paragraph" w:customStyle="1" w:styleId="79">
    <w:name w:val="样式4"/>
    <w:basedOn w:val="1"/>
    <w:qFormat/>
    <w:uiPriority w:val="0"/>
    <w:pPr>
      <w:numPr>
        <w:ilvl w:val="0"/>
        <w:numId w:val="2"/>
      </w:numPr>
      <w:spacing w:beforeLines="50"/>
      <w:outlineLvl w:val="2"/>
    </w:pPr>
    <w:rPr>
      <w:rFonts w:ascii="宋体" w:hAnsi="宋体" w:cs="MS Shell Dlg"/>
      <w:b/>
      <w:kern w:val="0"/>
      <w:szCs w:val="21"/>
    </w:rPr>
  </w:style>
  <w:style w:type="paragraph" w:customStyle="1" w:styleId="80">
    <w:name w:val="Char"/>
    <w:basedOn w:val="1"/>
    <w:qFormat/>
    <w:uiPriority w:val="0"/>
    <w:pPr>
      <w:adjustRightInd w:val="0"/>
      <w:spacing w:line="360" w:lineRule="auto"/>
    </w:pPr>
    <w:rPr>
      <w:kern w:val="0"/>
      <w:sz w:val="24"/>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三级条标题"/>
    <w:basedOn w:val="75"/>
    <w:next w:val="1"/>
    <w:qFormat/>
    <w:uiPriority w:val="0"/>
    <w:pPr>
      <w:numPr>
        <w:ilvl w:val="4"/>
      </w:numPr>
      <w:outlineLvl w:val="4"/>
    </w:pPr>
  </w:style>
  <w:style w:type="paragraph" w:customStyle="1" w:styleId="83">
    <w:name w:val="Char Char8"/>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 Char Char Char Char Char Char"/>
    <w:basedOn w:val="1"/>
    <w:qFormat/>
    <w:uiPriority w:val="0"/>
    <w:rPr>
      <w:rFonts w:ascii="Tahoma" w:hAnsi="Tahoma" w:cs="Arial"/>
      <w:szCs w:val="21"/>
    </w:rPr>
  </w:style>
  <w:style w:type="paragraph" w:customStyle="1" w:styleId="85">
    <w:name w:val="样式8"/>
    <w:basedOn w:val="1"/>
    <w:qFormat/>
    <w:uiPriority w:val="0"/>
    <w:pPr>
      <w:numPr>
        <w:ilvl w:val="3"/>
        <w:numId w:val="3"/>
      </w:numPr>
      <w:tabs>
        <w:tab w:val="left" w:pos="1838"/>
        <w:tab w:val="clear" w:pos="1271"/>
      </w:tabs>
      <w:ind w:left="1838"/>
      <w:outlineLvl w:val="2"/>
    </w:pPr>
    <w:rPr>
      <w:rFonts w:ascii="宋体" w:hAnsi="宋体" w:cs="MS Shell Dlg"/>
      <w:kern w:val="0"/>
      <w:szCs w:val="21"/>
    </w:rPr>
  </w:style>
  <w:style w:type="paragraph" w:customStyle="1" w:styleId="86">
    <w:name w:val="px12black"/>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7">
    <w:name w:val="五级条标题"/>
    <w:basedOn w:val="88"/>
    <w:next w:val="1"/>
    <w:qFormat/>
    <w:uiPriority w:val="0"/>
    <w:pPr>
      <w:numPr>
        <w:ilvl w:val="6"/>
      </w:numPr>
      <w:outlineLvl w:val="6"/>
    </w:pPr>
  </w:style>
  <w:style w:type="paragraph" w:customStyle="1" w:styleId="88">
    <w:name w:val="四级条标题"/>
    <w:basedOn w:val="82"/>
    <w:next w:val="1"/>
    <w:qFormat/>
    <w:uiPriority w:val="0"/>
    <w:pPr>
      <w:numPr>
        <w:ilvl w:val="5"/>
      </w:numPr>
      <w:outlineLvl w:val="5"/>
    </w:pPr>
  </w:style>
  <w:style w:type="paragraph" w:customStyle="1" w:styleId="89">
    <w:name w:val="Normal Indent1"/>
    <w:basedOn w:val="1"/>
    <w:qFormat/>
    <w:uiPriority w:val="99"/>
    <w:pPr>
      <w:autoSpaceDE w:val="0"/>
      <w:autoSpaceDN w:val="0"/>
      <w:adjustRightInd w:val="0"/>
      <w:ind w:firstLine="420"/>
    </w:pPr>
    <w:rPr>
      <w:kern w:val="0"/>
      <w:szCs w:val="21"/>
    </w:rPr>
  </w:style>
  <w:style w:type="paragraph" w:customStyle="1" w:styleId="90">
    <w:name w:val="样式1"/>
    <w:basedOn w:val="1"/>
    <w:qFormat/>
    <w:uiPriority w:val="0"/>
    <w:pPr>
      <w:numPr>
        <w:ilvl w:val="0"/>
        <w:numId w:val="4"/>
      </w:numPr>
      <w:adjustRightInd w:val="0"/>
      <w:textAlignment w:val="baseline"/>
    </w:pPr>
    <w:rPr>
      <w:rFonts w:ascii="宋体" w:hAnsi="宋体"/>
      <w:kern w:val="0"/>
      <w:szCs w:val="21"/>
    </w:rPr>
  </w:style>
  <w:style w:type="paragraph" w:customStyle="1" w:styleId="91">
    <w:name w:val="样式6"/>
    <w:basedOn w:val="79"/>
    <w:qFormat/>
    <w:uiPriority w:val="0"/>
    <w:pPr>
      <w:numPr>
        <w:ilvl w:val="2"/>
      </w:numPr>
      <w:tabs>
        <w:tab w:val="clear" w:pos="432"/>
      </w:tabs>
      <w:spacing w:before="156"/>
      <w:outlineLvl w:val="4"/>
    </w:pPr>
    <w:rPr>
      <w:rFonts w:ascii="MS Shell Dlg" w:hAnsi="MS Shell Dlg"/>
    </w:rPr>
  </w:style>
  <w:style w:type="paragraph" w:styleId="92">
    <w:name w:val="List Paragraph"/>
    <w:basedOn w:val="1"/>
    <w:qFormat/>
    <w:uiPriority w:val="34"/>
    <w:pPr>
      <w:ind w:firstLine="420" w:firstLineChars="200"/>
    </w:pPr>
    <w:rPr>
      <w:sz w:val="28"/>
    </w:rPr>
  </w:style>
  <w:style w:type="paragraph" w:customStyle="1" w:styleId="93">
    <w:name w:val="列出段落1"/>
    <w:basedOn w:val="1"/>
    <w:qFormat/>
    <w:uiPriority w:val="0"/>
    <w:pPr>
      <w:ind w:firstLine="420" w:firstLineChars="200"/>
    </w:pPr>
    <w:rPr>
      <w:rFonts w:ascii="Calibri" w:hAnsi="Calibri"/>
      <w:kern w:val="0"/>
      <w:sz w:val="2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95">
    <w:name w:val="Table Paragraph"/>
    <w:basedOn w:val="1"/>
    <w:unhideWhenUsed/>
    <w:qFormat/>
    <w:uiPriority w:val="1"/>
    <w:rPr>
      <w:rFonts w:hint="eastAsia"/>
      <w:sz w:val="24"/>
    </w:rPr>
  </w:style>
  <w:style w:type="paragraph" w:customStyle="1" w:styleId="9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9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CM51"/>
    <w:basedOn w:val="99"/>
    <w:next w:val="99"/>
    <w:qFormat/>
    <w:uiPriority w:val="99"/>
    <w:pPr>
      <w:spacing w:after="188"/>
    </w:pPr>
    <w:rPr>
      <w:color w:val="auto"/>
    </w:rPr>
  </w:style>
  <w:style w:type="paragraph" w:customStyle="1" w:styleId="9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9AF57-27B5-49DB-BD11-75B5B17BEB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58</Pages>
  <Words>4469</Words>
  <Characters>25479</Characters>
  <Lines>212</Lines>
  <Paragraphs>59</Paragraphs>
  <TotalTime>17</TotalTime>
  <ScaleCrop>false</ScaleCrop>
  <LinksUpToDate>false</LinksUpToDate>
  <CharactersWithSpaces>29889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2018-07-02T23:53:00Z</dcterms:created>
  <dc:creator>风之客</dc:creator>
  <cp:lastModifiedBy>Administrator</cp:lastModifiedBy>
  <cp:lastPrinted>2019-09-01T07:55:00Z</cp:lastPrinted>
  <dcterms:modified xsi:type="dcterms:W3CDTF">2020-08-23T03:34:20Z</dcterms:modified>
  <dc:title>湖 北  招 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