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hadow/>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预算执行计划：</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项目编号：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HGDXW20-078/ZJZB-202007-206</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项目名称：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湖北工业大学电力电子技术及新能源并网采购项目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货物</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湖北工业大学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2020年7月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_Toc14346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_Toc14346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_Toc32736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一、 </w:t>
      </w:r>
      <w:r>
        <w:rPr>
          <w:rFonts w:hint="eastAsia" w:ascii="宋体" w:hAnsi="宋体" w:eastAsia="宋体" w:cs="宋体"/>
          <w:szCs w:val="21"/>
        </w:rPr>
        <w:t>项目基本情况</w:t>
      </w:r>
      <w:r>
        <w:tab/>
      </w:r>
      <w:r>
        <w:fldChar w:fldCharType="begin"/>
      </w:r>
      <w:r>
        <w:instrText xml:space="preserve"> PAGEREF _Toc32736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_Toc21970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二、 </w:t>
      </w:r>
      <w:r>
        <w:rPr>
          <w:rFonts w:hint="eastAsia" w:ascii="宋体" w:hAnsi="宋体" w:eastAsia="宋体" w:cs="宋体"/>
          <w:szCs w:val="21"/>
        </w:rPr>
        <w:t>申请人的资格要求</w:t>
      </w:r>
      <w:r>
        <w:tab/>
      </w:r>
      <w:r>
        <w:fldChar w:fldCharType="begin"/>
      </w:r>
      <w:r>
        <w:instrText xml:space="preserve"> PAGEREF _Toc21970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_Toc31822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三、 </w:t>
      </w:r>
      <w:r>
        <w:rPr>
          <w:rFonts w:hint="eastAsia" w:ascii="宋体" w:hAnsi="宋体" w:eastAsia="宋体" w:cs="宋体"/>
          <w:szCs w:val="21"/>
        </w:rPr>
        <w:t>获取采购文件</w:t>
      </w:r>
      <w:r>
        <w:tab/>
      </w:r>
      <w:r>
        <w:fldChar w:fldCharType="begin"/>
      </w:r>
      <w:r>
        <w:instrText xml:space="preserve"> PAGEREF _Toc31822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_Toc15825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四、 </w:t>
      </w:r>
      <w:r>
        <w:rPr>
          <w:rFonts w:hint="eastAsia" w:ascii="宋体" w:hAnsi="宋体" w:eastAsia="宋体" w:cs="宋体"/>
          <w:szCs w:val="21"/>
        </w:rPr>
        <w:t>响应文件提交</w:t>
      </w:r>
      <w:r>
        <w:tab/>
      </w:r>
      <w:r>
        <w:fldChar w:fldCharType="begin"/>
      </w:r>
      <w:r>
        <w:instrText xml:space="preserve"> PAGEREF _Toc15825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_Toc4242 </w:instrText>
      </w:r>
      <w:r>
        <w:rPr>
          <w:rFonts w:hint="eastAsia" w:asciiTheme="minorEastAsia" w:hAnsiTheme="minorEastAsia" w:eastAsiaTheme="minorEastAsia" w:cstheme="minorEastAsia"/>
        </w:rPr>
        <w:fldChar w:fldCharType="separate"/>
      </w:r>
      <w:r>
        <w:rPr>
          <w:rFonts w:eastAsia="宋体"/>
          <w:szCs w:val="21"/>
        </w:rPr>
        <w:t xml:space="preserve">五、 </w:t>
      </w:r>
      <w:r>
        <w:rPr>
          <w:rFonts w:hint="eastAsia" w:ascii="宋体" w:hAnsi="宋体" w:eastAsia="宋体" w:cs="宋体"/>
          <w:szCs w:val="21"/>
        </w:rPr>
        <w:t>开启</w:t>
      </w:r>
      <w:r>
        <w:tab/>
      </w:r>
      <w:r>
        <w:fldChar w:fldCharType="begin"/>
      </w:r>
      <w:r>
        <w:instrText xml:space="preserve"> PAGEREF _Toc4242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_Toc28646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六、 </w:t>
      </w:r>
      <w:r>
        <w:rPr>
          <w:rFonts w:hint="eastAsia" w:ascii="宋体" w:hAnsi="宋体" w:eastAsia="宋体" w:cs="宋体"/>
          <w:szCs w:val="21"/>
        </w:rPr>
        <w:t>公告期限</w:t>
      </w:r>
      <w:r>
        <w:tab/>
      </w:r>
      <w:r>
        <w:fldChar w:fldCharType="begin"/>
      </w:r>
      <w:r>
        <w:instrText xml:space="preserve"> PAGEREF _Toc28646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_Toc13015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七、 </w:t>
      </w:r>
      <w:r>
        <w:rPr>
          <w:rFonts w:hint="eastAsia" w:ascii="宋体" w:hAnsi="宋体" w:eastAsia="宋体" w:cs="宋体"/>
          <w:szCs w:val="21"/>
        </w:rPr>
        <w:t>其他补充事宜</w:t>
      </w:r>
      <w:r>
        <w:tab/>
      </w:r>
      <w:r>
        <w:fldChar w:fldCharType="begin"/>
      </w:r>
      <w:r>
        <w:instrText xml:space="preserve"> PAGEREF _Toc13015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_Toc20522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八、 </w:t>
      </w:r>
      <w:r>
        <w:rPr>
          <w:rFonts w:hint="eastAsia" w:ascii="宋体" w:hAnsi="宋体" w:eastAsia="宋体" w:cs="宋体"/>
          <w:szCs w:val="21"/>
        </w:rPr>
        <w:t>凡对本次采购提出询问，请按以下方式联系</w:t>
      </w:r>
      <w:r>
        <w:tab/>
      </w:r>
      <w:r>
        <w:fldChar w:fldCharType="begin"/>
      </w:r>
      <w:r>
        <w:instrText xml:space="preserve"> PAGEREF _Toc20522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_Toc27370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九、 </w:t>
      </w:r>
      <w:r>
        <w:rPr>
          <w:rFonts w:hint="eastAsia" w:asciiTheme="minorEastAsia" w:hAnsiTheme="minorEastAsia" w:eastAsiaTheme="minorEastAsia" w:cstheme="minorEastAsia"/>
          <w:szCs w:val="21"/>
        </w:rPr>
        <w:t>注意事项</w:t>
      </w:r>
      <w:r>
        <w:tab/>
      </w:r>
      <w:r>
        <w:fldChar w:fldCharType="begin"/>
      </w:r>
      <w:r>
        <w:instrText xml:space="preserve"> PAGEREF _Toc27370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_Toc4847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_Toc4847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_Toc195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_Toc22922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_Toc11420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_Toc3747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_Toc3747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_Toc15495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_Toc15495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_Toc17893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_Toc986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_Toc16960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_Toc19188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_Toc7958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_Toc7958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_Toc27170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_Toc27170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_Toc15380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_Toc20653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_Toc18561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_Toc18561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_Toc346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_Toc346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_Toc29251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_Toc6110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_Toc6110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_Toc7671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_Toc18206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_Toc18206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_Toc30917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_Toc30917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_Toc32299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_Toc31194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_Toc4697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_Toc4697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_Toc22702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_Toc22702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_Toc32487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_Toc26241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_Toc26241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_Toc3858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_Toc27826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_Toc27826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_Toc11655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_Toc11655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_Toc32477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_Toc11401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_Toc26344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_Toc26344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_Toc13398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_Toc13398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_Toc16989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_Toc12675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_Toc12675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_Toc25550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_Toc25550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_Toc11114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_Toc11114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_Toc24592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_Toc24592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_Toc27362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_Toc11918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_Toc23510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_Toc15626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_Toc15626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_Toc10360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_Toc6783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_Toc17185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_Toc14856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_Toc31773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_Toc5615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_Toc27383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_Toc31831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_Toc31831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_Toc28415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_Toc23072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四、评定办法</w:t>
      </w:r>
      <w:r>
        <w:tab/>
      </w:r>
      <w:r>
        <w:fldChar w:fldCharType="begin"/>
      </w:r>
      <w:r>
        <w:instrText xml:space="preserve"> PAGEREF _Toc26911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_Toc15857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_Toc15857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_Toc8506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_Toc23696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_Toc7085 </w:instrText>
      </w:r>
      <w:r>
        <w:rPr>
          <w:rFonts w:hint="eastAsia" w:asciiTheme="minorEastAsia" w:hAnsiTheme="minorEastAsia" w:eastAsiaTheme="minorEastAsia" w:cstheme="minorEastAsia"/>
        </w:rPr>
        <w:fldChar w:fldCharType="separate"/>
      </w:r>
      <w:r>
        <w:rPr>
          <w:rFonts w:hint="eastAsia" w:ascii="宋体" w:hAnsi="宋体" w:cs="宋体"/>
          <w:szCs w:val="21"/>
        </w:rPr>
        <w:t xml:space="preserve"> 一、评分标准索引表</w:t>
      </w:r>
      <w:r>
        <w:tab/>
      </w:r>
      <w:r>
        <w:fldChar w:fldCharType="begin"/>
      </w:r>
      <w:r>
        <w:instrText xml:space="preserve"> PAGEREF _Toc7085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_Toc26858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_Toc26858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   三、法定代表人授权书</w:t>
      </w:r>
      <w:r>
        <w:tab/>
      </w:r>
      <w:r>
        <w:fldChar w:fldCharType="begin"/>
      </w:r>
      <w:r>
        <w:instrText xml:space="preserve"> PAGEREF _Toc1961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 xml:space="preserve">  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_Toc25981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_Toc30073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_Toc30073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_Toc522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_Toc15355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六、耗材清单</w:t>
      </w:r>
      <w:r>
        <w:tab/>
      </w:r>
      <w:r>
        <w:fldChar w:fldCharType="begin"/>
      </w:r>
      <w:r>
        <w:instrText xml:space="preserve"> PAGEREF _Toc15355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_Toc28585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_Toc28367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_Toc28367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_Toc9916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_Toc9916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_Toc4873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_Toc13659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_Toc13659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_Toc28264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_Toc28264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_Toc8742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_Toc28006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_Toc28006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_Toc3750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_Toc3750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_Toc16025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_Toc23962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_Toc23962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_Toc30264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_Toc30264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二十、磋商供应商认为应该提交的其它文件（格式自拟）</w:t>
      </w:r>
      <w:r>
        <w:tab/>
      </w:r>
      <w:r>
        <w:fldChar w:fldCharType="begin"/>
      </w:r>
      <w:r>
        <w:instrText xml:space="preserve"> PAGEREF _Toc1261 </w:instrText>
      </w:r>
      <w:r>
        <w:fldChar w:fldCharType="separate"/>
      </w:r>
      <w:r>
        <w:t>65</w:t>
      </w:r>
      <w:r>
        <w:fldChar w:fldCharType="end"/>
      </w:r>
      <w:r>
        <w:rPr>
          <w:rFonts w:hint="eastAsia" w:asciiTheme="minorEastAsia" w:hAnsiTheme="minorEastAsia" w:eastAsiaTheme="minorEastAsia" w:cstheme="minorEastAsia"/>
        </w:rP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b/>
          <w:bCs/>
          <w:sz w:val="24"/>
        </w:rPr>
      </w:pPr>
      <w:bookmarkStart w:id="0" w:name="_Toc14346"/>
      <w:bookmarkStart w:id="1" w:name="_Toc6866"/>
      <w:r>
        <w:rPr>
          <w:rFonts w:hint="eastAsia" w:ascii="宋体" w:hAnsi="宋体" w:cs="宋体"/>
          <w:b/>
          <w:sz w:val="36"/>
          <w:szCs w:val="36"/>
        </w:rPr>
        <w:t>竞争性磋商公告</w:t>
      </w:r>
      <w:bookmarkEnd w:id="0"/>
      <w:bookmarkEnd w:id="1"/>
      <w:bookmarkStart w:id="2" w:name="_Toc152042288"/>
      <w:bookmarkStart w:id="3" w:name="_Toc144974480"/>
      <w:bookmarkStart w:id="4" w:name="_Toc9976"/>
      <w:bookmarkStart w:id="5" w:name="_Toc179632528"/>
      <w:bookmarkStart w:id="6" w:name="_Toc524908844"/>
      <w:bookmarkStart w:id="7" w:name="_Toc152045512"/>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000000"/>
          <w:szCs w:val="21"/>
        </w:rPr>
      </w:pPr>
      <w:r>
        <w:rPr>
          <w:rFonts w:hint="eastAsia" w:ascii="宋体" w:hAnsi="宋体" w:cs="宋体"/>
          <w:szCs w:val="21"/>
        </w:rPr>
        <w:t>湖北工业大学电力电子技术及新能源并网采购项目的潜在供应商应在</w:t>
      </w:r>
      <w:r>
        <w:rPr>
          <w:rFonts w:hint="eastAsia" w:ascii="宋体" w:hAnsi="宋体" w:cs="宋体"/>
          <w:szCs w:val="21"/>
          <w:u w:val="single"/>
        </w:rPr>
        <w:t>中经国际招标集团有限公司（武昌区中北路岳家嘴立交山河企业大厦48楼4805室）或线上</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 xml:space="preserve">月  </w:t>
      </w:r>
      <w:r>
        <w:rPr>
          <w:rFonts w:hint="eastAsia" w:ascii="宋体" w:hAnsi="宋体" w:cs="宋体"/>
          <w:szCs w:val="21"/>
          <w:u w:val="single"/>
          <w:lang w:val="en-US" w:eastAsia="zh-CN"/>
        </w:rPr>
        <w:t>13</w:t>
      </w:r>
      <w:r>
        <w:rPr>
          <w:rFonts w:hint="eastAsia" w:ascii="宋体" w:hAnsi="宋体" w:cs="宋体"/>
          <w:szCs w:val="21"/>
          <w:u w:val="single"/>
        </w:rPr>
        <w:t>日</w:t>
      </w:r>
      <w:r>
        <w:rPr>
          <w:rFonts w:hint="eastAsia" w:ascii="宋体" w:hAnsi="宋体" w:cs="宋体"/>
          <w:szCs w:val="21"/>
          <w:u w:val="single"/>
          <w:lang w:val="en-US" w:eastAsia="zh-CN"/>
        </w:rPr>
        <w:t>14</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szCs w:val="21"/>
        </w:rPr>
        <w:t>（北京时间）前递交响应文</w:t>
      </w:r>
      <w:r>
        <w:rPr>
          <w:rFonts w:hint="eastAsia" w:ascii="宋体" w:hAnsi="宋体" w:cs="宋体"/>
          <w:color w:val="000000"/>
          <w:szCs w:val="21"/>
        </w:rPr>
        <w:t>件。</w:t>
      </w:r>
    </w:p>
    <w:p>
      <w:pPr>
        <w:pStyle w:val="4"/>
        <w:numPr>
          <w:ilvl w:val="0"/>
          <w:numId w:val="6"/>
        </w:numPr>
        <w:spacing w:line="360" w:lineRule="auto"/>
        <w:jc w:val="left"/>
        <w:rPr>
          <w:rFonts w:ascii="宋体" w:hAnsi="宋体" w:eastAsia="宋体" w:cs="宋体"/>
          <w:sz w:val="21"/>
          <w:szCs w:val="21"/>
        </w:rPr>
      </w:pPr>
      <w:bookmarkStart w:id="8" w:name="_Toc32736"/>
      <w:r>
        <w:rPr>
          <w:rFonts w:hint="eastAsia" w:ascii="宋体" w:hAnsi="宋体" w:eastAsia="宋体" w:cs="宋体"/>
          <w:sz w:val="21"/>
          <w:szCs w:val="21"/>
        </w:rPr>
        <w:t>项目基本情况</w:t>
      </w:r>
      <w:bookmarkEnd w:id="8"/>
    </w:p>
    <w:p>
      <w:pPr>
        <w:spacing w:line="360" w:lineRule="auto"/>
        <w:jc w:val="left"/>
        <w:rPr>
          <w:rFonts w:ascii="宋体" w:hAnsi="宋体" w:cs="宋体"/>
          <w:szCs w:val="21"/>
        </w:rPr>
      </w:pPr>
      <w:r>
        <w:rPr>
          <w:rFonts w:hint="eastAsia" w:ascii="宋体" w:hAnsi="宋体" w:cs="宋体"/>
          <w:szCs w:val="21"/>
        </w:rPr>
        <w:t>1、项目编号：HGDXW20-078/ZJZB-202007-206；</w:t>
      </w:r>
      <w:r>
        <w:rPr>
          <w:rFonts w:hint="eastAsia" w:ascii="宋体" w:hAnsi="宋体" w:cs="宋体"/>
          <w:szCs w:val="21"/>
        </w:rPr>
        <w:br w:type="textWrapping"/>
      </w:r>
      <w:r>
        <w:rPr>
          <w:rFonts w:hint="eastAsia" w:ascii="宋体" w:hAnsi="宋体" w:cs="宋体"/>
          <w:szCs w:val="21"/>
        </w:rPr>
        <w:t>2、项目名称：湖北工业大学电力电子技术及新能源并网采购项目</w:t>
      </w:r>
      <w:r>
        <w:rPr>
          <w:rFonts w:hint="eastAsia" w:ascii="宋体" w:hAnsi="宋体" w:cs="宋体"/>
          <w:szCs w:val="21"/>
        </w:rPr>
        <w:br w:type="textWrapping"/>
      </w:r>
      <w:r>
        <w:rPr>
          <w:rFonts w:hint="eastAsia" w:ascii="宋体" w:hAnsi="宋体" w:cs="宋体"/>
          <w:szCs w:val="21"/>
        </w:rPr>
        <w:t>3、采购方式：竞争性磋商</w:t>
      </w:r>
    </w:p>
    <w:p>
      <w:pPr>
        <w:spacing w:line="360" w:lineRule="auto"/>
        <w:jc w:val="left"/>
        <w:rPr>
          <w:rFonts w:ascii="宋体" w:hAnsi="宋体" w:cs="宋体"/>
          <w:szCs w:val="21"/>
        </w:rPr>
      </w:pPr>
      <w:r>
        <w:rPr>
          <w:rFonts w:hint="eastAsia" w:ascii="宋体" w:hAnsi="宋体" w:cs="宋体"/>
          <w:szCs w:val="21"/>
        </w:rPr>
        <w:t>4、预算金额：人民币</w:t>
      </w:r>
      <w:r>
        <w:rPr>
          <w:rFonts w:hint="eastAsia" w:ascii="宋体" w:hAnsi="宋体" w:cs="宋体"/>
          <w:szCs w:val="21"/>
          <w:u w:val="single"/>
        </w:rPr>
        <w:t>81.7</w:t>
      </w:r>
      <w:r>
        <w:rPr>
          <w:rFonts w:hint="eastAsia" w:ascii="宋体" w:hAnsi="宋体" w:cs="宋体"/>
          <w:szCs w:val="21"/>
        </w:rPr>
        <w:t>万元（含财政资金</w:t>
      </w:r>
      <w:r>
        <w:rPr>
          <w:rFonts w:hint="eastAsia" w:ascii="宋体" w:hAnsi="宋体" w:cs="宋体"/>
          <w:szCs w:val="21"/>
          <w:u w:val="single"/>
        </w:rPr>
        <w:t>/</w:t>
      </w:r>
      <w:r>
        <w:rPr>
          <w:rFonts w:hint="eastAsia" w:ascii="宋体" w:hAnsi="宋体" w:cs="宋体"/>
          <w:szCs w:val="21"/>
        </w:rPr>
        <w:t>万元，其他资金</w:t>
      </w:r>
      <w:r>
        <w:rPr>
          <w:rFonts w:hint="eastAsia" w:ascii="宋体" w:hAnsi="宋体" w:cs="宋体"/>
          <w:szCs w:val="21"/>
          <w:u w:val="single"/>
        </w:rPr>
        <w:t>81.7</w:t>
      </w:r>
      <w:r>
        <w:rPr>
          <w:rFonts w:hint="eastAsia" w:ascii="宋体" w:hAnsi="宋体" w:cs="宋体"/>
          <w:szCs w:val="21"/>
        </w:rPr>
        <w:t>万元）；</w:t>
      </w:r>
      <w:r>
        <w:rPr>
          <w:rFonts w:hint="eastAsia" w:ascii="宋体" w:hAnsi="宋体" w:cs="宋体"/>
          <w:szCs w:val="21"/>
        </w:rPr>
        <w:br w:type="textWrapping"/>
      </w:r>
      <w:r>
        <w:rPr>
          <w:rFonts w:hint="eastAsia" w:ascii="宋体" w:hAnsi="宋体" w:cs="宋体"/>
          <w:szCs w:val="21"/>
        </w:rPr>
        <w:t>5、最高限价：人民币</w:t>
      </w:r>
      <w:r>
        <w:rPr>
          <w:rFonts w:hint="eastAsia" w:ascii="宋体" w:hAnsi="宋体" w:cs="宋体"/>
          <w:szCs w:val="21"/>
          <w:u w:val="single"/>
        </w:rPr>
        <w:t>81.7</w:t>
      </w:r>
      <w:r>
        <w:rPr>
          <w:rFonts w:hint="eastAsia" w:ascii="宋体" w:hAnsi="宋体" w:cs="宋体"/>
          <w:szCs w:val="21"/>
        </w:rPr>
        <w:t>万元；</w:t>
      </w:r>
    </w:p>
    <w:p>
      <w:pPr>
        <w:spacing w:line="360" w:lineRule="auto"/>
        <w:jc w:val="left"/>
        <w:rPr>
          <w:rFonts w:ascii="宋体" w:hAnsi="宋体" w:cs="宋体"/>
          <w:szCs w:val="21"/>
        </w:rPr>
      </w:pPr>
      <w:r>
        <w:rPr>
          <w:rFonts w:hint="eastAsia" w:ascii="宋体" w:hAnsi="宋体" w:cs="宋体"/>
          <w:szCs w:val="21"/>
        </w:rPr>
        <w:t>6、采购需求：本次竞争性磋商采购共分</w:t>
      </w:r>
      <w:r>
        <w:rPr>
          <w:rFonts w:hint="eastAsia" w:ascii="宋体" w:hAnsi="宋体" w:cs="宋体"/>
          <w:szCs w:val="21"/>
          <w:u w:val="single"/>
        </w:rPr>
        <w:t>1</w:t>
      </w:r>
      <w:r>
        <w:rPr>
          <w:rFonts w:hint="eastAsia" w:ascii="宋体" w:hAnsi="宋体" w:cs="宋体"/>
          <w:szCs w:val="21"/>
        </w:rPr>
        <w:t>个项目包，具体需求如下，详细技术规格、参数及商务要求见本项目采购文件第三章内容。</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类别：货物</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简要技术要求/项目性质：</w:t>
      </w:r>
    </w:p>
    <w:tbl>
      <w:tblPr>
        <w:tblStyle w:val="2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3786"/>
        <w:gridCol w:w="824"/>
        <w:gridCol w:w="1052"/>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序号</w:t>
            </w:r>
          </w:p>
        </w:tc>
        <w:tc>
          <w:tcPr>
            <w:tcW w:w="1770" w:type="pct"/>
            <w:noWrap/>
            <w:vAlign w:val="center"/>
          </w:tcPr>
          <w:p>
            <w:pPr>
              <w:spacing w:line="360" w:lineRule="auto"/>
              <w:jc w:val="center"/>
              <w:rPr>
                <w:rFonts w:ascii="宋体" w:hAnsi="宋体" w:cs="宋体"/>
                <w:szCs w:val="21"/>
              </w:rPr>
            </w:pPr>
            <w:r>
              <w:rPr>
                <w:rFonts w:hint="eastAsia" w:ascii="宋体" w:hAnsi="宋体" w:cs="宋体"/>
                <w:szCs w:val="21"/>
              </w:rPr>
              <w:t>仪器设备名称</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数量</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单位</w:t>
            </w:r>
          </w:p>
        </w:tc>
        <w:tc>
          <w:tcPr>
            <w:tcW w:w="1351" w:type="pct"/>
            <w:noWrap/>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32"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1770" w:type="pct"/>
            <w:noWrap/>
            <w:vAlign w:val="center"/>
          </w:tcPr>
          <w:p>
            <w:pPr>
              <w:spacing w:line="360" w:lineRule="auto"/>
              <w:jc w:val="center"/>
              <w:rPr>
                <w:rFonts w:ascii="宋体" w:hAnsi="宋体" w:cs="宋体"/>
                <w:szCs w:val="21"/>
              </w:rPr>
            </w:pPr>
            <w:r>
              <w:rPr>
                <w:rFonts w:hint="eastAsia" w:ascii="宋体" w:hAnsi="宋体" w:cs="宋体"/>
                <w:szCs w:val="21"/>
              </w:rPr>
              <w:t>线路阻抗稳定网络</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351"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1770" w:type="pct"/>
            <w:noWrap/>
          </w:tcPr>
          <w:p>
            <w:pPr>
              <w:spacing w:line="360" w:lineRule="auto"/>
              <w:jc w:val="center"/>
              <w:rPr>
                <w:rFonts w:ascii="宋体" w:hAnsi="宋体" w:cs="宋体"/>
                <w:szCs w:val="21"/>
              </w:rPr>
            </w:pPr>
            <w:r>
              <w:rPr>
                <w:rFonts w:hint="eastAsia" w:ascii="宋体" w:hAnsi="宋体" w:cs="宋体"/>
                <w:szCs w:val="21"/>
              </w:rPr>
              <w:t>电力电子对象实时仿真平台</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351" w:type="pct"/>
            <w:noWrap/>
            <w:vAlign w:val="center"/>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1770" w:type="pct"/>
            <w:noWrap/>
          </w:tcPr>
          <w:p>
            <w:pPr>
              <w:spacing w:line="360" w:lineRule="auto"/>
              <w:jc w:val="center"/>
              <w:rPr>
                <w:rFonts w:ascii="宋体" w:hAnsi="宋体" w:cs="宋体"/>
                <w:szCs w:val="21"/>
              </w:rPr>
            </w:pPr>
            <w:r>
              <w:rPr>
                <w:rFonts w:hint="eastAsia" w:ascii="宋体" w:hAnsi="宋体" w:cs="宋体"/>
                <w:szCs w:val="21"/>
              </w:rPr>
              <w:t>基于FPGA的仿真扩展套件</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351" w:type="pct"/>
            <w:noWrap/>
            <w:vAlign w:val="center"/>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1770" w:type="pct"/>
            <w:noWrap/>
            <w:vAlign w:val="center"/>
          </w:tcPr>
          <w:p>
            <w:pPr>
              <w:spacing w:line="360" w:lineRule="auto"/>
              <w:jc w:val="center"/>
              <w:rPr>
                <w:rFonts w:ascii="宋体" w:hAnsi="宋体" w:cs="宋体"/>
                <w:szCs w:val="21"/>
              </w:rPr>
            </w:pPr>
            <w:r>
              <w:rPr>
                <w:rFonts w:hint="eastAsia" w:ascii="宋体" w:hAnsi="宋体" w:cs="宋体"/>
                <w:szCs w:val="21"/>
              </w:rPr>
              <w:t>示波器</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1351"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1770" w:type="pct"/>
            <w:noWrap/>
            <w:vAlign w:val="center"/>
          </w:tcPr>
          <w:p>
            <w:pPr>
              <w:spacing w:line="360" w:lineRule="auto"/>
              <w:jc w:val="center"/>
              <w:rPr>
                <w:rFonts w:ascii="宋体" w:hAnsi="宋体" w:cs="宋体"/>
                <w:szCs w:val="21"/>
              </w:rPr>
            </w:pPr>
            <w:r>
              <w:rPr>
                <w:rFonts w:hint="eastAsia" w:ascii="宋体" w:hAnsi="宋体" w:cs="宋体"/>
                <w:szCs w:val="21"/>
              </w:rPr>
              <w:t>可编程交流电源</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1351"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1770" w:type="pct"/>
            <w:noWrap/>
            <w:vAlign w:val="center"/>
          </w:tcPr>
          <w:p>
            <w:pPr>
              <w:spacing w:line="360" w:lineRule="auto"/>
              <w:ind w:firstLine="230"/>
              <w:jc w:val="center"/>
              <w:rPr>
                <w:rFonts w:ascii="宋体" w:hAnsi="宋体" w:cs="宋体"/>
                <w:szCs w:val="21"/>
              </w:rPr>
            </w:pPr>
            <w:r>
              <w:rPr>
                <w:rFonts w:hint="eastAsia" w:ascii="宋体" w:hAnsi="宋体" w:cs="宋体"/>
                <w:szCs w:val="21"/>
              </w:rPr>
              <w:t>功率分析仪</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1351"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pct"/>
            <w:noWrap/>
            <w:vAlign w:val="center"/>
          </w:tcPr>
          <w:p>
            <w:pPr>
              <w:spacing w:line="360" w:lineRule="auto"/>
              <w:jc w:val="center"/>
              <w:rPr>
                <w:rFonts w:ascii="宋体" w:hAnsi="宋体" w:cs="宋体"/>
                <w:szCs w:val="21"/>
              </w:rPr>
            </w:pPr>
            <w:r>
              <w:rPr>
                <w:rFonts w:hint="eastAsia" w:ascii="宋体" w:hAnsi="宋体" w:cs="宋体"/>
                <w:szCs w:val="21"/>
              </w:rPr>
              <w:t>7</w:t>
            </w:r>
          </w:p>
        </w:tc>
        <w:tc>
          <w:tcPr>
            <w:tcW w:w="1770" w:type="pct"/>
            <w:noWrap/>
            <w:vAlign w:val="center"/>
          </w:tcPr>
          <w:p>
            <w:pPr>
              <w:spacing w:line="360" w:lineRule="auto"/>
              <w:jc w:val="center"/>
              <w:rPr>
                <w:rFonts w:ascii="宋体" w:hAnsi="宋体" w:cs="宋体"/>
                <w:szCs w:val="21"/>
              </w:rPr>
            </w:pPr>
            <w:r>
              <w:rPr>
                <w:rFonts w:hint="eastAsia" w:ascii="宋体" w:hAnsi="宋体" w:cs="宋体"/>
                <w:szCs w:val="21"/>
              </w:rPr>
              <w:t>可编程交/直流电子负载(Chroma63803)</w:t>
            </w:r>
          </w:p>
        </w:tc>
        <w:tc>
          <w:tcPr>
            <w:tcW w:w="51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634"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1351"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w:t>
            </w:r>
          </w:p>
        </w:tc>
      </w:tr>
    </w:tbl>
    <w:p>
      <w:pPr>
        <w:numPr>
          <w:ilvl w:val="0"/>
          <w:numId w:val="7"/>
        </w:numPr>
        <w:spacing w:line="360" w:lineRule="auto"/>
        <w:ind w:left="420" w:leftChars="200"/>
        <w:jc w:val="left"/>
        <w:rPr>
          <w:rFonts w:ascii="宋体" w:hAnsi="宋体" w:cs="宋体"/>
          <w:szCs w:val="21"/>
        </w:rPr>
      </w:pPr>
      <w:r>
        <w:rPr>
          <w:rFonts w:hint="eastAsia" w:ascii="宋体" w:hAnsi="宋体" w:cs="宋体"/>
          <w:szCs w:val="21"/>
        </w:rPr>
        <w:t>交货期：合同签订后</w:t>
      </w:r>
      <w:r>
        <w:rPr>
          <w:rFonts w:hint="eastAsia" w:ascii="宋体" w:hAnsi="宋体" w:cs="宋体"/>
          <w:szCs w:val="21"/>
          <w:u w:val="single"/>
        </w:rPr>
        <w:t>90</w:t>
      </w:r>
      <w:r>
        <w:rPr>
          <w:rFonts w:hint="eastAsia" w:ascii="宋体" w:hAnsi="宋体" w:cs="宋体"/>
          <w:szCs w:val="21"/>
        </w:rPr>
        <w:t>日历天内供货</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质保期/保修期：自产品最终验收合格双方签字并交付使用之日起算质保期三年，并提供系统终身免费升级服务</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质量标准：达到国家或行业颁布的其他现行各项技术标准和验收规范规定</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其他：供应商参加竞标的报价超过该包采购最高限价的，该包竞标无效；供应商报价须包含该采购需求的全部内容。本项目已办理进口产品论证，拟采购进口设备。</w:t>
      </w:r>
    </w:p>
    <w:p>
      <w:pPr>
        <w:spacing w:line="360" w:lineRule="auto"/>
        <w:jc w:val="left"/>
        <w:rPr>
          <w:rFonts w:ascii="宋体" w:hAnsi="宋体" w:cs="宋体"/>
          <w:strike/>
          <w:szCs w:val="21"/>
        </w:rPr>
      </w:pPr>
      <w:r>
        <w:rPr>
          <w:rFonts w:hint="eastAsia" w:ascii="宋体" w:hAnsi="宋体" w:cs="宋体"/>
          <w:szCs w:val="21"/>
        </w:rPr>
        <w:t xml:space="preserve">7、合同履行期限：合同签订后90日历天内供货； </w:t>
      </w:r>
    </w:p>
    <w:p>
      <w:pPr>
        <w:spacing w:line="360" w:lineRule="auto"/>
        <w:jc w:val="left"/>
        <w:rPr>
          <w:rFonts w:ascii="宋体" w:hAnsi="宋体" w:cs="宋体"/>
          <w:szCs w:val="21"/>
        </w:rPr>
      </w:pPr>
      <w:r>
        <w:rPr>
          <w:rFonts w:hint="eastAsia" w:ascii="宋体" w:hAnsi="宋体" w:cs="宋体"/>
          <w:szCs w:val="21"/>
        </w:rPr>
        <w:t>8、本项目</w:t>
      </w:r>
      <w:r>
        <w:rPr>
          <w:rFonts w:hint="eastAsia" w:ascii="宋体" w:hAnsi="宋体" w:cs="宋体"/>
          <w:szCs w:val="21"/>
          <w:u w:val="single"/>
        </w:rPr>
        <w:t>不接受</w:t>
      </w:r>
      <w:r>
        <w:rPr>
          <w:rFonts w:hint="eastAsia" w:ascii="宋体" w:hAnsi="宋体" w:cs="宋体"/>
          <w:szCs w:val="21"/>
        </w:rPr>
        <w:t>联合体竞标；</w:t>
      </w:r>
    </w:p>
    <w:p>
      <w:pPr>
        <w:pStyle w:val="4"/>
        <w:numPr>
          <w:ilvl w:val="0"/>
          <w:numId w:val="6"/>
        </w:numPr>
        <w:spacing w:line="360" w:lineRule="auto"/>
        <w:jc w:val="left"/>
        <w:rPr>
          <w:rFonts w:ascii="宋体" w:hAnsi="宋体" w:eastAsia="宋体" w:cs="宋体"/>
          <w:sz w:val="21"/>
          <w:szCs w:val="21"/>
        </w:rPr>
      </w:pPr>
      <w:bookmarkStart w:id="9" w:name="_Toc21970"/>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满足《中华人民共和国政府采购法》第二十二条规定；</w:t>
      </w:r>
    </w:p>
    <w:p>
      <w:pPr>
        <w:spacing w:line="360" w:lineRule="auto"/>
        <w:ind w:left="446"/>
        <w:jc w:val="left"/>
        <w:rPr>
          <w:rFonts w:ascii="宋体" w:hAnsi="宋体" w:cs="宋体"/>
          <w:color w:val="000000"/>
          <w:szCs w:val="21"/>
        </w:rPr>
      </w:pPr>
      <w:r>
        <w:rPr>
          <w:rFonts w:hint="eastAsia" w:ascii="宋体" w:hAnsi="宋体" w:cs="宋体"/>
          <w:color w:val="000000"/>
          <w:szCs w:val="21"/>
        </w:rPr>
        <w:t xml:space="preserve">   1.1具有独立承担民事责任的能力（经营范围需满足采购需求）；</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1.2具有良好的商业信誉和健全的财务会计制度；</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1.3具有履行合同所必需的设备和专业技术能力；</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1.4有依法缴纳税收和社会保障资金的良好记录；</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1.6法律、行政法规规定的其他条件；</w:t>
      </w:r>
    </w:p>
    <w:p>
      <w:pPr>
        <w:numPr>
          <w:ilvl w:val="0"/>
          <w:numId w:val="8"/>
        </w:numPr>
        <w:spacing w:line="360" w:lineRule="auto"/>
        <w:ind w:firstLine="420" w:firstLineChars="200"/>
        <w:jc w:val="left"/>
        <w:rPr>
          <w:rFonts w:ascii="宋体" w:hAnsi="宋体" w:cs="宋体"/>
          <w:szCs w:val="21"/>
        </w:rPr>
      </w:pPr>
      <w:r>
        <w:rPr>
          <w:rFonts w:hint="eastAsia" w:ascii="宋体" w:hAnsi="宋体" w:cs="宋体"/>
          <w:color w:val="000000"/>
          <w:szCs w:val="21"/>
        </w:rPr>
        <w:t>落实政府采购政策需满足的资格要求：</w:t>
      </w:r>
      <w:r>
        <w:rPr>
          <w:rFonts w:hint="eastAsia" w:ascii="宋体" w:hAnsi="宋体" w:cs="宋体"/>
          <w:szCs w:val="21"/>
        </w:rPr>
        <w:t>本项目需落实政府采购强制、优先采购节能产品政策；政府采购优先采购环保产品政策；政府采购促进中小企业发展（监狱企业、残疾人福利性单位视同小微企业）等政策详见采购文件；</w:t>
      </w:r>
    </w:p>
    <w:p>
      <w:pPr>
        <w:numPr>
          <w:ilvl w:val="0"/>
          <w:numId w:val="8"/>
        </w:numPr>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本项目的特定资格要求：</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numPr>
          <w:ilvl w:val="0"/>
          <w:numId w:val="8"/>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如国家法律法规对市场准入有要</w:t>
      </w:r>
      <w:r>
        <w:rPr>
          <w:rFonts w:hint="eastAsia" w:ascii="宋体" w:hAnsi="宋体" w:cs="宋体"/>
          <w:szCs w:val="21"/>
        </w:rPr>
        <w:t>求的还应符合相关规定；</w:t>
      </w:r>
    </w:p>
    <w:p>
      <w:pPr>
        <w:pStyle w:val="4"/>
        <w:numPr>
          <w:ilvl w:val="0"/>
          <w:numId w:val="6"/>
        </w:numPr>
        <w:spacing w:line="360" w:lineRule="auto"/>
        <w:jc w:val="left"/>
        <w:rPr>
          <w:rFonts w:ascii="宋体" w:hAnsi="宋体" w:eastAsia="宋体" w:cs="宋体"/>
          <w:sz w:val="21"/>
          <w:szCs w:val="21"/>
        </w:rPr>
      </w:pPr>
      <w:bookmarkStart w:id="10" w:name="_Toc31822"/>
      <w:bookmarkStart w:id="11" w:name="_Toc334539185"/>
      <w:r>
        <w:rPr>
          <w:rFonts w:hint="eastAsia" w:ascii="宋体" w:hAnsi="宋体" w:eastAsia="宋体" w:cs="宋体"/>
          <w:sz w:val="21"/>
          <w:szCs w:val="21"/>
        </w:rPr>
        <w:t>获取采购文件</w:t>
      </w:r>
      <w:bookmarkEnd w:id="10"/>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3</w:t>
      </w:r>
      <w:r>
        <w:rPr>
          <w:rFonts w:hint="eastAsia" w:ascii="宋体" w:hAnsi="宋体" w:cs="宋体"/>
          <w:szCs w:val="21"/>
          <w:u w:val="single"/>
        </w:rPr>
        <w:t>日至2020年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7</w:t>
      </w:r>
      <w:r>
        <w:rPr>
          <w:rFonts w:hint="eastAsia" w:ascii="宋体" w:hAnsi="宋体" w:cs="宋体"/>
          <w:szCs w:val="21"/>
          <w:u w:val="single"/>
        </w:rPr>
        <w:t>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11"/>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售价：采购文件人民币400元/本，售后不退，不办理邮寄；</w:t>
      </w:r>
    </w:p>
    <w:p>
      <w:pPr>
        <w:pStyle w:val="4"/>
        <w:numPr>
          <w:ilvl w:val="0"/>
          <w:numId w:val="6"/>
        </w:numPr>
        <w:spacing w:line="360" w:lineRule="auto"/>
        <w:jc w:val="left"/>
        <w:rPr>
          <w:rFonts w:ascii="宋体" w:hAnsi="宋体" w:eastAsia="宋体" w:cs="宋体"/>
          <w:sz w:val="21"/>
          <w:szCs w:val="21"/>
        </w:rPr>
      </w:pPr>
      <w:bookmarkStart w:id="12" w:name="_Toc15825"/>
      <w:r>
        <w:rPr>
          <w:rFonts w:hint="eastAsia" w:ascii="宋体" w:hAnsi="宋体" w:eastAsia="宋体" w:cs="宋体"/>
          <w:sz w:val="21"/>
          <w:szCs w:val="21"/>
        </w:rPr>
        <w:t>响应文件提交</w:t>
      </w:r>
      <w:bookmarkEnd w:id="12"/>
    </w:p>
    <w:p>
      <w:pPr>
        <w:spacing w:line="360" w:lineRule="auto"/>
        <w:ind w:firstLine="420" w:firstLineChars="200"/>
        <w:jc w:val="left"/>
        <w:rPr>
          <w:rFonts w:ascii="宋体" w:hAnsi="宋体" w:cs="宋体"/>
          <w:szCs w:val="21"/>
        </w:rPr>
      </w:pP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rPr>
        <w:t>送达地点：武昌区中北路岳家嘴立交山河企业大厦4806室</w:t>
      </w:r>
    </w:p>
    <w:p>
      <w:pPr>
        <w:pStyle w:val="4"/>
        <w:numPr>
          <w:ilvl w:val="0"/>
          <w:numId w:val="6"/>
        </w:numPr>
        <w:spacing w:line="360" w:lineRule="auto"/>
        <w:jc w:val="left"/>
        <w:rPr>
          <w:rFonts w:eastAsia="宋体"/>
          <w:sz w:val="21"/>
          <w:szCs w:val="21"/>
        </w:rPr>
      </w:pPr>
      <w:bookmarkStart w:id="13" w:name="_Toc4242"/>
      <w:r>
        <w:rPr>
          <w:rFonts w:hint="eastAsia" w:ascii="宋体" w:hAnsi="宋体" w:eastAsia="宋体" w:cs="宋体"/>
          <w:sz w:val="21"/>
          <w:szCs w:val="21"/>
        </w:rPr>
        <w:t>开启</w:t>
      </w:r>
      <w:bookmarkEnd w:id="13"/>
    </w:p>
    <w:p>
      <w:pPr>
        <w:spacing w:line="360" w:lineRule="auto"/>
        <w:ind w:firstLine="420" w:firstLineChars="200"/>
        <w:jc w:val="left"/>
        <w:rPr>
          <w:szCs w:val="21"/>
        </w:rPr>
      </w:pPr>
      <w:r>
        <w:rPr>
          <w:rFonts w:hint="eastAsia" w:ascii="宋体" w:hAnsi="宋体" w:cs="宋体"/>
          <w:szCs w:val="21"/>
        </w:rPr>
        <w:t>时间：2020年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w:t>
      </w:r>
    </w:p>
    <w:p>
      <w:pPr>
        <w:pStyle w:val="4"/>
        <w:numPr>
          <w:ilvl w:val="0"/>
          <w:numId w:val="6"/>
        </w:numPr>
        <w:spacing w:line="360" w:lineRule="auto"/>
        <w:jc w:val="left"/>
        <w:rPr>
          <w:rFonts w:ascii="宋体" w:hAnsi="宋体" w:eastAsia="宋体" w:cs="宋体"/>
          <w:sz w:val="21"/>
          <w:szCs w:val="21"/>
        </w:rPr>
      </w:pPr>
      <w:bookmarkStart w:id="14" w:name="_Toc28646"/>
      <w:r>
        <w:rPr>
          <w:rFonts w:hint="eastAsia" w:ascii="宋体" w:hAnsi="宋体" w:eastAsia="宋体" w:cs="宋体"/>
          <w:sz w:val="21"/>
          <w:szCs w:val="21"/>
        </w:rPr>
        <w:t>公告期限</w:t>
      </w:r>
      <w:bookmarkEnd w:id="14"/>
    </w:p>
    <w:p>
      <w:pPr>
        <w:spacing w:line="360" w:lineRule="auto"/>
        <w:ind w:firstLine="420" w:firstLineChars="200"/>
        <w:jc w:val="left"/>
        <w:rPr>
          <w:rFonts w:ascii="宋体" w:hAnsi="宋体" w:cs="宋体"/>
          <w:szCs w:val="21"/>
        </w:rPr>
      </w:pPr>
      <w:bookmarkStart w:id="15" w:name="_Toc259607751"/>
      <w:bookmarkStart w:id="16" w:name="_Toc6021"/>
      <w:bookmarkStart w:id="17" w:name="_Toc334539188"/>
      <w:bookmarkStart w:id="18" w:name="_Toc320898024"/>
      <w:bookmarkStart w:id="19" w:name="_Toc317262251"/>
      <w:bookmarkStart w:id="20" w:name="_Toc276368888"/>
      <w:r>
        <w:rPr>
          <w:rFonts w:hint="eastAsia" w:ascii="宋体" w:hAnsi="宋体" w:cs="宋体"/>
          <w:szCs w:val="21"/>
        </w:rPr>
        <w:t>自本公告发布之日起至少5个工作日</w:t>
      </w:r>
    </w:p>
    <w:bookmarkEnd w:id="15"/>
    <w:bookmarkEnd w:id="16"/>
    <w:bookmarkEnd w:id="17"/>
    <w:bookmarkEnd w:id="18"/>
    <w:bookmarkEnd w:id="19"/>
    <w:bookmarkEnd w:id="20"/>
    <w:p>
      <w:pPr>
        <w:pStyle w:val="4"/>
        <w:numPr>
          <w:ilvl w:val="0"/>
          <w:numId w:val="6"/>
        </w:numPr>
        <w:spacing w:line="360" w:lineRule="auto"/>
        <w:jc w:val="left"/>
        <w:rPr>
          <w:rFonts w:ascii="宋体" w:hAnsi="宋体" w:eastAsia="宋体" w:cs="宋体"/>
          <w:sz w:val="21"/>
          <w:szCs w:val="21"/>
        </w:rPr>
      </w:pPr>
      <w:bookmarkStart w:id="21" w:name="_Toc13015"/>
      <w:r>
        <w:rPr>
          <w:rFonts w:hint="eastAsia" w:ascii="宋体" w:hAnsi="宋体" w:eastAsia="宋体" w:cs="宋体"/>
          <w:sz w:val="21"/>
          <w:szCs w:val="21"/>
        </w:rPr>
        <w:t>其他补充事宜</w:t>
      </w:r>
      <w:bookmarkEnd w:id="21"/>
    </w:p>
    <w:p>
      <w:pPr>
        <w:spacing w:line="360" w:lineRule="auto"/>
        <w:ind w:firstLine="420" w:firstLineChars="200"/>
        <w:jc w:val="left"/>
        <w:rPr>
          <w:rFonts w:ascii="宋体" w:hAnsi="宋体" w:cs="宋体"/>
          <w:szCs w:val="21"/>
        </w:rPr>
      </w:pPr>
      <w:bookmarkStart w:id="22" w:name="_Toc259028279"/>
      <w:r>
        <w:rPr>
          <w:rFonts w:hint="eastAsia" w:ascii="宋体" w:hAnsi="宋体" w:cs="宋体"/>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p>
    <w:p>
      <w:pPr>
        <w:spacing w:line="360" w:lineRule="auto"/>
        <w:ind w:firstLine="420" w:firstLineChars="200"/>
        <w:jc w:val="left"/>
        <w:rPr>
          <w:rFonts w:ascii="宋体" w:hAnsi="宋体" w:cs="宋体"/>
          <w:szCs w:val="21"/>
        </w:rPr>
      </w:pPr>
      <w:r>
        <w:rPr>
          <w:rFonts w:hint="eastAsia" w:ascii="宋体" w:hAnsi="宋体" w:cs="宋体"/>
          <w:szCs w:val="21"/>
        </w:rPr>
        <w:t>（一）《中经国际招标集团有限公司官网》（网址：</w:t>
      </w:r>
      <w:r>
        <w:fldChar w:fldCharType="begin"/>
      </w:r>
      <w:r>
        <w:instrText xml:space="preserve"> HYPERLINK "http://www.ceitcl.com/）" </w:instrText>
      </w:r>
      <w:r>
        <w:fldChar w:fldCharType="separate"/>
      </w:r>
      <w:r>
        <w:rPr>
          <w:rFonts w:hint="eastAsia" w:ascii="宋体" w:hAnsi="宋体" w:cs="宋体"/>
          <w:szCs w:val="21"/>
        </w:rPr>
        <w:t>http://www.ceitcl.com/）</w:t>
      </w:r>
      <w:r>
        <w:rPr>
          <w:rFonts w:hint="eastAsia" w:ascii="宋体" w:hAnsi="宋体" w:cs="宋体"/>
          <w:szCs w:val="21"/>
        </w:rPr>
        <w:fldChar w:fldCharType="end"/>
      </w:r>
    </w:p>
    <w:p>
      <w:pPr>
        <w:spacing w:line="360" w:lineRule="auto"/>
        <w:ind w:firstLine="420" w:firstLineChars="200"/>
        <w:jc w:val="left"/>
        <w:rPr>
          <w:rFonts w:ascii="宋体" w:hAnsi="宋体" w:cs="宋体"/>
          <w:b/>
          <w:bCs/>
          <w:szCs w:val="21"/>
        </w:rPr>
      </w:pPr>
      <w:r>
        <w:rPr>
          <w:rFonts w:hint="eastAsia" w:ascii="宋体" w:hAnsi="宋体" w:cs="宋体"/>
          <w:szCs w:val="21"/>
        </w:rPr>
        <w:t xml:space="preserve">（二）《湖北工业大学采招网》（网址： </w:t>
      </w:r>
      <w:r>
        <w:fldChar w:fldCharType="begin"/>
      </w:r>
      <w:r>
        <w:instrText xml:space="preserve"> HYPERLINK "http://tend.hbut.edu.cn/index.chtml" </w:instrText>
      </w:r>
      <w:r>
        <w:fldChar w:fldCharType="separate"/>
      </w:r>
      <w:r>
        <w:rPr>
          <w:rFonts w:hint="eastAsia" w:ascii="宋体" w:hAnsi="宋体" w:cs="宋体"/>
          <w:szCs w:val="21"/>
        </w:rPr>
        <w:t>http://tend.hbut.edu.cn/index.chtml</w:t>
      </w:r>
      <w:r>
        <w:rPr>
          <w:rFonts w:hint="eastAsia" w:ascii="宋体" w:hAnsi="宋体" w:cs="宋体"/>
          <w:szCs w:val="21"/>
        </w:rPr>
        <w:fldChar w:fldCharType="end"/>
      </w:r>
      <w:r>
        <w:rPr>
          <w:rFonts w:hint="eastAsia" w:ascii="宋体" w:hAnsi="宋体" w:cs="宋体"/>
          <w:szCs w:val="21"/>
        </w:rPr>
        <w:t>）</w:t>
      </w:r>
    </w:p>
    <w:bookmarkEnd w:id="22"/>
    <w:p>
      <w:pPr>
        <w:pStyle w:val="4"/>
        <w:numPr>
          <w:ilvl w:val="0"/>
          <w:numId w:val="6"/>
        </w:numPr>
        <w:spacing w:line="360" w:lineRule="auto"/>
        <w:jc w:val="left"/>
        <w:rPr>
          <w:rFonts w:ascii="宋体" w:hAnsi="宋体" w:eastAsia="宋体" w:cs="宋体"/>
          <w:sz w:val="21"/>
          <w:szCs w:val="21"/>
        </w:rPr>
      </w:pPr>
      <w:bookmarkStart w:id="23" w:name="_Toc20522"/>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r>
        <w:rPr>
          <w:rFonts w:hint="eastAsia" w:ascii="宋体" w:hAnsi="宋体" w:cs="宋体"/>
          <w:szCs w:val="21"/>
        </w:rPr>
        <w:t>名 称：湖北工业大学　　　　　　　　　　　　</w:t>
      </w:r>
    </w:p>
    <w:p>
      <w:pPr>
        <w:spacing w:line="360" w:lineRule="auto"/>
        <w:ind w:firstLine="420" w:firstLineChars="200"/>
        <w:jc w:val="left"/>
        <w:rPr>
          <w:rFonts w:ascii="宋体" w:hAnsi="宋体" w:cs="宋体"/>
          <w:szCs w:val="21"/>
        </w:rPr>
      </w:pPr>
      <w:r>
        <w:rPr>
          <w:rFonts w:hint="eastAsia" w:ascii="宋体" w:hAnsi="宋体" w:cs="宋体"/>
          <w:szCs w:val="21"/>
        </w:rPr>
        <w:t>地址：湖北省武汉市洪山区南李路28号　　　　　　　　　　　　</w:t>
      </w:r>
    </w:p>
    <w:p>
      <w:pPr>
        <w:spacing w:line="360" w:lineRule="auto"/>
        <w:ind w:firstLine="420" w:firstLineChars="200"/>
        <w:jc w:val="left"/>
        <w:rPr>
          <w:rFonts w:ascii="宋体" w:hAnsi="宋体" w:cs="宋体"/>
          <w:szCs w:val="21"/>
        </w:rPr>
      </w:pPr>
      <w:r>
        <w:rPr>
          <w:rFonts w:hint="eastAsia" w:ascii="宋体" w:hAnsi="宋体" w:cs="宋体"/>
          <w:szCs w:val="21"/>
        </w:rPr>
        <w:t>联系方式：王老师、</w:t>
      </w:r>
      <w:r>
        <w:rPr>
          <w:rFonts w:hint="eastAsia" w:asciiTheme="minorEastAsia" w:hAnsiTheme="minorEastAsia" w:eastAsiaTheme="minorEastAsia" w:cstheme="minorEastAsia"/>
          <w:szCs w:val="21"/>
        </w:rPr>
        <w:t>027-59750213</w:t>
      </w:r>
      <w:r>
        <w:rPr>
          <w:rFonts w:hint="eastAsia" w:ascii="宋体" w:hAnsi="宋体" w:cs="宋体"/>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szCs w:val="21"/>
        </w:rPr>
      </w:pPr>
      <w:r>
        <w:rPr>
          <w:rFonts w:hint="eastAsia" w:ascii="宋体" w:hAnsi="宋体" w:cs="宋体"/>
          <w:szCs w:val="21"/>
        </w:rPr>
        <w:t>联系方式：027-87820788　　　　　　　　　　　　</w:t>
      </w:r>
    </w:p>
    <w:p>
      <w:pPr>
        <w:spacing w:line="360" w:lineRule="auto"/>
        <w:ind w:firstLine="420" w:firstLineChars="200"/>
        <w:jc w:val="left"/>
        <w:rPr>
          <w:rFonts w:ascii="宋体" w:hAnsi="宋体" w:cs="宋体"/>
          <w:szCs w:val="21"/>
        </w:rPr>
      </w:pPr>
      <w:r>
        <w:rPr>
          <w:rFonts w:hint="eastAsia" w:ascii="宋体" w:hAnsi="宋体" w:cs="宋体"/>
          <w:szCs w:val="21"/>
        </w:rPr>
        <w:t>3.项目联系方式</w:t>
      </w:r>
    </w:p>
    <w:p>
      <w:pPr>
        <w:spacing w:line="360" w:lineRule="auto"/>
        <w:ind w:firstLine="420" w:firstLineChars="200"/>
        <w:jc w:val="left"/>
        <w:rPr>
          <w:rFonts w:ascii="宋体" w:hAnsi="宋体" w:cs="宋体"/>
          <w:szCs w:val="21"/>
        </w:rPr>
      </w:pPr>
      <w:r>
        <w:rPr>
          <w:rFonts w:hint="eastAsia" w:ascii="宋体" w:hAnsi="宋体" w:cs="宋体"/>
          <w:szCs w:val="21"/>
        </w:rPr>
        <w:t>项目联系人：张梦、方雪菲</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电　话：027-87820788　　</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24" w:name="_Toc27370"/>
      <w:r>
        <w:rPr>
          <w:rFonts w:hint="eastAsia" w:asciiTheme="minorEastAsia" w:hAnsiTheme="minorEastAsia" w:eastAsiaTheme="minorEastAsia" w:cstheme="minorEastAsia"/>
          <w:sz w:val="21"/>
          <w:szCs w:val="21"/>
        </w:rPr>
        <w:t>注意事项</w:t>
      </w:r>
      <w:bookmarkEnd w:id="24"/>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bookmarkStart w:id="231" w:name="_GoBack"/>
      <w:bookmarkEnd w:id="231"/>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0"/>
        <w:rPr>
          <w:rFonts w:asciiTheme="minorEastAsia" w:hAnsiTheme="minorEastAsia" w:eastAsiaTheme="minorEastAsia" w:cstheme="minorEastAsia"/>
        </w:rPr>
      </w:pPr>
    </w:p>
    <w:p>
      <w:pPr>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5" w:name="_Toc4847"/>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6" w:name="_Toc195"/>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中标人按国家发展计划委员会计价格【2002】1980号文规定的取费标准的80%向采购代理机构支付招标代理服务费。招标代理服务费由中标人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8</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10</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r>
              <w:rPr>
                <w:rFonts w:hint="eastAsia" w:asciiTheme="minorEastAsia" w:hAnsiTheme="minorEastAsia" w:eastAsiaTheme="minorEastAsia" w:cstheme="minorEastAsia"/>
                <w:b/>
                <w:bCs/>
                <w:snapToGrid w:val="0"/>
                <w:kern w:val="0"/>
                <w:szCs w:val="21"/>
                <w:lang w:val="zh-CN"/>
              </w:rPr>
              <w:t>（</w:t>
            </w:r>
            <w:r>
              <w:rPr>
                <w:rFonts w:hint="eastAsia" w:asciiTheme="minorEastAsia" w:hAnsiTheme="minorEastAsia" w:eastAsiaTheme="minorEastAsia" w:cstheme="minorEastAsia"/>
                <w:b/>
                <w:bCs/>
                <w:snapToGrid w:val="0"/>
                <w:kern w:val="0"/>
                <w:szCs w:val="21"/>
              </w:rPr>
              <w:t>本项目不适用</w:t>
            </w:r>
            <w:r>
              <w:rPr>
                <w:rFonts w:hint="eastAsia" w:asciiTheme="minorEastAsia" w:hAnsiTheme="minorEastAsia" w:eastAsiaTheme="minorEastAsia" w:cstheme="minorEastAsia"/>
                <w:b/>
                <w:bCs/>
                <w:snapToGrid w:val="0"/>
                <w:kern w:val="0"/>
                <w:szCs w:val="21"/>
                <w:lang w:val="zh-CN"/>
              </w:rPr>
              <w:t>）</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    额： /</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    名：中经国际招标集团有限公司湖北分公司</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开户银行：中国农业银行股份有限公司武汉岳家嘴支行</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帐    号：17053001040009288</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1、响应文件纸质版：正本一份（需为彩色打印件），副本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2、响应文件电子版：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要求，响应文件电子版内容：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响应文件电子版格式：</w:t>
            </w:r>
            <w:r>
              <w:rPr>
                <w:rFonts w:hint="eastAsia" w:asciiTheme="minorEastAsia" w:hAnsiTheme="minorEastAsia" w:eastAsiaTheme="minorEastAsia" w:cstheme="minorEastAsia"/>
                <w:szCs w:val="21"/>
                <w:u w:val="single"/>
              </w:rPr>
              <w:t>加盖公章后的PDF扫描件格式；</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响应文件电子版形式：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3、手持法定代表人授权委托书（或法定代表人身份证明书）、单独密封提供的报价一览表、优惠声明（如有）；</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纸质响应文件应采用胶粘方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本项目竞标报价为“交钥匙”价。竞标报价应包括完成该项目的货物</w:t>
            </w:r>
            <w:r>
              <w:rPr>
                <w:rFonts w:hint="eastAsia" w:asciiTheme="minorEastAsia" w:hAnsiTheme="minorEastAsia" w:eastAsiaTheme="minorEastAsia" w:cstheme="minorEastAsia"/>
                <w:szCs w:val="21"/>
              </w:rPr>
              <w:t>本身</w:t>
            </w:r>
            <w:r>
              <w:rPr>
                <w:rFonts w:hint="eastAsia" w:asciiTheme="minorEastAsia" w:hAnsiTheme="minorEastAsia" w:eastAsiaTheme="minorEastAsia" w:cstheme="minorEastAsia"/>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各供应商按此要求进行报价，同时在合同实施过程中还将发生的其它费用</w:t>
            </w:r>
            <w:r>
              <w:rPr>
                <w:rFonts w:hint="eastAsia" w:asciiTheme="minorEastAsia" w:hAnsiTheme="minorEastAsia" w:eastAsiaTheme="minorEastAsia" w:cstheme="minorEastAsia"/>
                <w:szCs w:val="21"/>
              </w:rPr>
              <w:t>也</w:t>
            </w:r>
            <w:r>
              <w:rPr>
                <w:rFonts w:hint="eastAsia" w:asciiTheme="minorEastAsia" w:hAnsiTheme="minorEastAsia" w:eastAsiaTheme="minorEastAsia" w:cstheme="minorEastAsia"/>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szCs w:val="21"/>
              </w:rPr>
              <w:t>采购人</w:t>
            </w:r>
            <w:r>
              <w:rPr>
                <w:rFonts w:hint="eastAsia" w:asciiTheme="minorEastAsia" w:hAnsiTheme="minorEastAsia" w:eastAsiaTheme="minorEastAsia" w:cstheme="minorEastAsia"/>
                <w:szCs w:val="21"/>
                <w:lang w:val="zh-CN"/>
              </w:rPr>
              <w:t>概不负责。</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对于</w:t>
            </w: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szCs w:val="21"/>
                <w:lang w:val="zh-CN"/>
              </w:rPr>
              <w:t>文件未列明，而</w:t>
            </w: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szCs w:val="21"/>
                <w:lang w:val="zh-CN"/>
              </w:rPr>
              <w:t>供应商认为</w:t>
            </w:r>
            <w:r>
              <w:rPr>
                <w:rFonts w:hint="eastAsia" w:asciiTheme="minorEastAsia" w:hAnsiTheme="minorEastAsia" w:eastAsiaTheme="minorEastAsia" w:cstheme="minorEastAsia"/>
                <w:szCs w:val="21"/>
              </w:rPr>
              <w:t>必须</w:t>
            </w:r>
            <w:r>
              <w:rPr>
                <w:rFonts w:hint="eastAsia" w:asciiTheme="minorEastAsia" w:hAnsiTheme="minorEastAsia" w:eastAsiaTheme="minorEastAsia" w:cstheme="minorEastAsia"/>
                <w:szCs w:val="21"/>
                <w:lang w:val="zh-CN"/>
              </w:rPr>
              <w:t>的费用也需列入总报价。在合同实施时，采购人将不予支付</w:t>
            </w:r>
            <w:r>
              <w:rPr>
                <w:rFonts w:hint="eastAsia" w:asciiTheme="minorEastAsia" w:hAnsiTheme="minorEastAsia" w:eastAsiaTheme="minorEastAsia" w:cstheme="minorEastAsia"/>
                <w:szCs w:val="21"/>
              </w:rPr>
              <w:t>成交</w:t>
            </w:r>
            <w:r>
              <w:rPr>
                <w:rFonts w:hint="eastAsia" w:asciiTheme="minorEastAsia" w:hAnsiTheme="minorEastAsia" w:eastAsiaTheme="minorEastAsia" w:cstheme="minorEastAsia"/>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31" w:beforeLines="10" w:after="31" w:afterLines="10"/>
              <w:ind w:right="21" w:rightChars="10"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注：1、供应商承担踏勘现场所发生的自身费用；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核心产品</w:t>
            </w:r>
          </w:p>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（本项目不适用）</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本项目核心产品：</w:t>
            </w:r>
            <w:r>
              <w:rPr>
                <w:rFonts w:hint="eastAsia" w:asciiTheme="minorEastAsia" w:hAnsiTheme="minorEastAsia" w:eastAsiaTheme="minorEastAsia" w:cstheme="minorEastAsia"/>
                <w:szCs w:val="21"/>
                <w:u w:val="single"/>
              </w:rPr>
              <w:t>/</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1.提供相同品牌产品且通过资格审查、符合性审查的不同供应商参</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加同一合同项下投标的，按一家供应商计算，评审后得分最高的同</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品牌供应商获得成交供应商推荐资格；评审得分相同的，采取随机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抽取方式确定，其他同品牌供应商不作为中标候选人。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2.若核心产品不止 1 个，各供应商所投任一核心产品的品牌相同，</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则按一家供应商计算。</w:t>
            </w:r>
          </w:p>
        </w:tc>
      </w:tr>
    </w:tbl>
    <w:p>
      <w:pPr>
        <w:spacing w:line="360" w:lineRule="auto"/>
        <w:outlineLvl w:val="1"/>
        <w:rPr>
          <w:rFonts w:asciiTheme="minorEastAsia" w:hAnsiTheme="minorEastAsia" w:eastAsiaTheme="minorEastAsia" w:cstheme="minorEastAsia"/>
          <w:b/>
          <w:szCs w:val="21"/>
        </w:rPr>
      </w:pPr>
      <w:bookmarkStart w:id="27" w:name="_Toc22922"/>
      <w:r>
        <w:rPr>
          <w:rFonts w:hint="eastAsia" w:asciiTheme="minorEastAsia" w:hAnsiTheme="minorEastAsia" w:eastAsiaTheme="minorEastAsia" w:cstheme="minorEastAsia"/>
          <w:b/>
          <w:szCs w:val="21"/>
        </w:rPr>
        <w:t>供应商须知</w:t>
      </w:r>
      <w:bookmarkEnd w:id="27"/>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8" w:name="_Toc11420"/>
      <w:r>
        <w:rPr>
          <w:rFonts w:hint="eastAsia" w:asciiTheme="minorEastAsia" w:hAnsiTheme="minorEastAsia" w:eastAsiaTheme="minorEastAsia" w:cstheme="minorEastAsia"/>
          <w:b/>
          <w:szCs w:val="21"/>
        </w:rPr>
        <w:t>总则</w:t>
      </w:r>
      <w:bookmarkEnd w:id="28"/>
    </w:p>
    <w:p>
      <w:pPr>
        <w:numPr>
          <w:ilvl w:val="0"/>
          <w:numId w:val="11"/>
        </w:numPr>
        <w:spacing w:line="360" w:lineRule="auto"/>
        <w:ind w:hanging="540"/>
        <w:outlineLvl w:val="1"/>
        <w:rPr>
          <w:rFonts w:asciiTheme="minorEastAsia" w:hAnsiTheme="minorEastAsia" w:eastAsiaTheme="minorEastAsia" w:cstheme="minorEastAsia"/>
          <w:b/>
          <w:szCs w:val="21"/>
        </w:rPr>
      </w:pPr>
      <w:bookmarkStart w:id="29" w:name="_Toc27243"/>
      <w:bookmarkStart w:id="30" w:name="_Toc3747"/>
      <w:r>
        <w:rPr>
          <w:rFonts w:hint="eastAsia" w:asciiTheme="minorEastAsia" w:hAnsiTheme="minorEastAsia" w:eastAsiaTheme="minorEastAsia" w:cstheme="minorEastAsia"/>
          <w:b/>
          <w:szCs w:val="21"/>
        </w:rPr>
        <w:t>适用法律及范围</w:t>
      </w:r>
      <w:bookmarkEnd w:id="29"/>
      <w:bookmarkEnd w:id="30"/>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1" w:name="_Toc30547"/>
      <w:bookmarkStart w:id="32" w:name="_Toc15495"/>
      <w:r>
        <w:rPr>
          <w:rFonts w:hint="eastAsia" w:asciiTheme="minorEastAsia" w:hAnsiTheme="minorEastAsia" w:eastAsiaTheme="minorEastAsia" w:cstheme="minorEastAsia"/>
          <w:b/>
          <w:szCs w:val="21"/>
        </w:rPr>
        <w:t>定义</w:t>
      </w:r>
      <w:bookmarkEnd w:id="31"/>
      <w:bookmarkEnd w:id="32"/>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3" w:name="_Toc30503"/>
      <w:bookmarkStart w:id="34" w:name="_Toc17893"/>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5" w:name="_Toc986"/>
      <w:bookmarkStart w:id="36" w:name="_Toc9974"/>
      <w:r>
        <w:rPr>
          <w:rFonts w:hint="eastAsia" w:asciiTheme="minorEastAsia" w:hAnsiTheme="minorEastAsia" w:eastAsiaTheme="minorEastAsia" w:cstheme="minorEastAsia"/>
          <w:b/>
          <w:szCs w:val="21"/>
        </w:rPr>
        <w:t>费用</w:t>
      </w:r>
      <w:bookmarkEnd w:id="35"/>
      <w:bookmarkEnd w:id="36"/>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100---500：400×1.100％=44000.000元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500---1000：500×0.800％=40000.000元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1000---5000：4000×0.500％=200000.000元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5000---6000：1000×0.250％=25000.000元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合计收费=324000.000元</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7" w:name="_Toc16960"/>
      <w:r>
        <w:rPr>
          <w:rFonts w:hint="eastAsia" w:asciiTheme="minorEastAsia" w:hAnsiTheme="minorEastAsia" w:eastAsiaTheme="minorEastAsia" w:cstheme="minorEastAsia"/>
          <w:b/>
          <w:szCs w:val="21"/>
        </w:rPr>
        <w:t>竞争性磋商采购文件</w:t>
      </w:r>
      <w:bookmarkEnd w:id="37"/>
    </w:p>
    <w:p>
      <w:pPr>
        <w:numPr>
          <w:ilvl w:val="0"/>
          <w:numId w:val="11"/>
        </w:numPr>
        <w:spacing w:line="360" w:lineRule="auto"/>
        <w:ind w:hanging="540"/>
        <w:outlineLvl w:val="1"/>
        <w:rPr>
          <w:rFonts w:asciiTheme="minorEastAsia" w:hAnsiTheme="minorEastAsia" w:eastAsiaTheme="minorEastAsia" w:cstheme="minorEastAsia"/>
          <w:b/>
          <w:szCs w:val="21"/>
        </w:rPr>
      </w:pPr>
      <w:bookmarkStart w:id="38" w:name="_Toc19188"/>
      <w:bookmarkStart w:id="39" w:name="_Toc4547"/>
      <w:r>
        <w:rPr>
          <w:rFonts w:hint="eastAsia" w:asciiTheme="minorEastAsia" w:hAnsiTheme="minorEastAsia" w:eastAsiaTheme="minorEastAsia" w:cstheme="minorEastAsia"/>
          <w:b/>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0" w:name="_Toc7958"/>
      <w:bookmarkStart w:id="41" w:name="_Toc29700"/>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31761"/>
      <w:bookmarkStart w:id="43" w:name="_Toc27170"/>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4" w:name="_Toc15380"/>
      <w:r>
        <w:rPr>
          <w:rFonts w:hint="eastAsia" w:asciiTheme="minorEastAsia" w:hAnsiTheme="minorEastAsia" w:eastAsiaTheme="minorEastAsia" w:cstheme="minorEastAsia"/>
          <w:b/>
          <w:szCs w:val="21"/>
        </w:rPr>
        <w:t>竞争性磋商响应文件</w:t>
      </w:r>
      <w:bookmarkEnd w:id="44"/>
    </w:p>
    <w:p>
      <w:pPr>
        <w:numPr>
          <w:ilvl w:val="0"/>
          <w:numId w:val="11"/>
        </w:numPr>
        <w:spacing w:line="360" w:lineRule="auto"/>
        <w:ind w:hanging="540"/>
        <w:outlineLvl w:val="1"/>
        <w:rPr>
          <w:rFonts w:asciiTheme="minorEastAsia" w:hAnsiTheme="minorEastAsia" w:eastAsiaTheme="minorEastAsia" w:cstheme="minorEastAsia"/>
          <w:snapToGrid w:val="0"/>
          <w:kern w:val="0"/>
          <w:szCs w:val="21"/>
          <w:lang w:val="zh-CN"/>
        </w:rPr>
      </w:pPr>
      <w:bookmarkStart w:id="45" w:name="_Toc20653"/>
      <w:bookmarkStart w:id="46" w:name="_Toc30987"/>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7" w:name="_Toc32272"/>
      <w:bookmarkStart w:id="48" w:name="_Toc18561"/>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25217"/>
      <w:bookmarkStart w:id="50" w:name="_Toc346"/>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29251"/>
      <w:bookmarkStart w:id="52" w:name="_Toc24544"/>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6176"/>
      <w:bookmarkStart w:id="54" w:name="_Toc6110"/>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7671"/>
      <w:bookmarkStart w:id="56" w:name="_Toc3324"/>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2434"/>
      <w:bookmarkStart w:id="58" w:name="_Toc18206"/>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30917"/>
      <w:bookmarkStart w:id="60"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32299"/>
      <w:bookmarkStart w:id="62" w:name="_Toc27068"/>
      <w:r>
        <w:rPr>
          <w:rFonts w:hint="eastAsia" w:asciiTheme="minorEastAsia" w:hAnsiTheme="minorEastAsia" w:eastAsiaTheme="minorEastAsia" w:cstheme="minorEastAsia"/>
          <w:b/>
          <w:snapToGrid w:val="0"/>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31194"/>
      <w:bookmarkStart w:id="64" w:name="_Toc5668"/>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4697"/>
      <w:bookmarkStart w:id="66"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7" w:name="_Toc22702"/>
      <w:r>
        <w:rPr>
          <w:rFonts w:hint="eastAsia" w:asciiTheme="minorEastAsia" w:hAnsiTheme="minorEastAsia" w:eastAsiaTheme="minorEastAsia" w:cstheme="minorEastAsia"/>
          <w:b/>
          <w:szCs w:val="21"/>
        </w:rPr>
        <w:t>竞争性磋商响应文件的递交</w:t>
      </w:r>
      <w:bookmarkEnd w:id="6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27305"/>
      <w:bookmarkStart w:id="69" w:name="_Toc32487"/>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26241"/>
      <w:bookmarkStart w:id="71"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3858"/>
      <w:bookmarkStart w:id="73" w:name="_Toc31376"/>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3"/>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27826"/>
      <w:bookmarkStart w:id="75"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6" w:name="_Toc11655"/>
      <w:r>
        <w:rPr>
          <w:rFonts w:hint="eastAsia" w:asciiTheme="minorEastAsia" w:hAnsiTheme="minorEastAsia" w:eastAsiaTheme="minorEastAsia" w:cstheme="minorEastAsia"/>
          <w:b/>
          <w:szCs w:val="21"/>
        </w:rPr>
        <w:t>磋商程序及步骤</w:t>
      </w:r>
      <w:bookmarkEnd w:id="7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7" w:name="_Toc22624"/>
      <w:bookmarkStart w:id="78" w:name="_Toc32477"/>
      <w:r>
        <w:rPr>
          <w:rFonts w:hint="eastAsia" w:asciiTheme="minorEastAsia" w:hAnsiTheme="minorEastAsia" w:eastAsiaTheme="minorEastAsia" w:cstheme="minorEastAsia"/>
          <w:b/>
        </w:rPr>
        <w:t>竞争性磋商小组</w:t>
      </w:r>
      <w:bookmarkEnd w:id="77"/>
      <w:bookmarkEnd w:id="78"/>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9" w:name="_Toc11401"/>
      <w:bookmarkStart w:id="80" w:name="_Toc21483"/>
      <w:r>
        <w:rPr>
          <w:rFonts w:hint="eastAsia" w:asciiTheme="minorEastAsia" w:hAnsiTheme="minorEastAsia" w:eastAsiaTheme="minorEastAsia" w:cstheme="minorEastAsia"/>
          <w:b/>
        </w:rPr>
        <w:t>磋商代表</w:t>
      </w:r>
      <w:bookmarkEnd w:id="79"/>
      <w:bookmarkEnd w:id="80"/>
    </w:p>
    <w:p>
      <w:pPr>
        <w:tabs>
          <w:tab w:val="left" w:pos="864"/>
          <w:tab w:val="left" w:pos="1080"/>
        </w:tabs>
        <w:spacing w:line="360" w:lineRule="auto"/>
        <w:rPr>
          <w:rFonts w:asciiTheme="minorEastAsia" w:hAnsiTheme="minorEastAsia" w:eastAsiaTheme="minorEastAsia" w:cstheme="minorEastAsia"/>
          <w:szCs w:val="21"/>
        </w:rPr>
      </w:pPr>
      <w:bookmarkStart w:id="81" w:name="_Toc9967"/>
      <w:bookmarkStart w:id="82"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rPr>
        <w:t>磋商代表的其他要求见《供应商须知前附表》。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3" w:name="_Toc26344"/>
      <w:r>
        <w:rPr>
          <w:rFonts w:hint="eastAsia" w:asciiTheme="minorEastAsia" w:hAnsiTheme="minorEastAsia" w:eastAsiaTheme="minorEastAsia" w:cstheme="minorEastAsia"/>
          <w:b/>
        </w:rPr>
        <w:t>资格审查和符合性审查</w:t>
      </w:r>
      <w:bookmarkEnd w:id="83"/>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13398"/>
      <w:r>
        <w:rPr>
          <w:rFonts w:hint="eastAsia" w:asciiTheme="minorEastAsia" w:hAnsiTheme="minorEastAsia" w:eastAsiaTheme="minorEastAsia" w:cstheme="minorEastAsia"/>
          <w:b/>
        </w:rPr>
        <w:t>磋商</w:t>
      </w:r>
      <w:bookmarkEnd w:id="84"/>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5" w:name="_Toc16989"/>
      <w:r>
        <w:rPr>
          <w:rFonts w:hint="eastAsia" w:asciiTheme="minorEastAsia" w:hAnsiTheme="minorEastAsia" w:eastAsiaTheme="minorEastAsia" w:cstheme="minorEastAsia"/>
          <w:b/>
          <w:lang w:val="zh-CN"/>
        </w:rPr>
        <w:t>保密</w:t>
      </w:r>
      <w:bookmarkEnd w:id="85"/>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6" w:name="_Toc12675"/>
      <w:r>
        <w:rPr>
          <w:rFonts w:hint="eastAsia" w:asciiTheme="minorEastAsia" w:hAnsiTheme="minorEastAsia" w:eastAsiaTheme="minorEastAsia" w:cstheme="minorEastAsia"/>
          <w:b/>
          <w:szCs w:val="21"/>
        </w:rPr>
        <w:t>成交与签订合同</w:t>
      </w:r>
      <w:bookmarkEnd w:id="8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25550"/>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11114"/>
      <w:r>
        <w:rPr>
          <w:rFonts w:hint="eastAsia" w:asciiTheme="minorEastAsia" w:hAnsiTheme="minorEastAsia" w:eastAsiaTheme="minorEastAsia" w:cstheme="minorEastAsia"/>
          <w:b/>
          <w:lang w:val="zh-CN"/>
        </w:rPr>
        <w:t>签订合同</w:t>
      </w:r>
      <w:bookmarkEnd w:id="88"/>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9" w:name="_Toc13988"/>
      <w:bookmarkStart w:id="90" w:name="_Toc14510"/>
      <w:bookmarkStart w:id="91" w:name="_Toc4883"/>
      <w:bookmarkStart w:id="92" w:name="_Toc24592"/>
      <w:r>
        <w:rPr>
          <w:rFonts w:hint="eastAsia" w:asciiTheme="minorEastAsia" w:hAnsiTheme="minorEastAsia" w:eastAsiaTheme="minorEastAsia" w:cstheme="minorEastAsia"/>
          <w:b/>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27362"/>
      <w:r>
        <w:rPr>
          <w:rFonts w:hint="eastAsia" w:asciiTheme="minorEastAsia" w:hAnsiTheme="minorEastAsia" w:eastAsiaTheme="minorEastAsia" w:cstheme="minorEastAsia"/>
          <w:b/>
          <w:lang w:val="zh-CN"/>
        </w:rPr>
        <w:t>质疑</w:t>
      </w:r>
      <w:bookmarkEnd w:id="93"/>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11918"/>
      <w:r>
        <w:rPr>
          <w:rFonts w:hint="eastAsia" w:asciiTheme="minorEastAsia" w:hAnsiTheme="minorEastAsia" w:eastAsiaTheme="minorEastAsia" w:cstheme="minorEastAsia"/>
          <w:b/>
          <w:lang w:val="zh-CN"/>
        </w:rPr>
        <w:t>质疑回复</w:t>
      </w:r>
      <w:bookmarkEnd w:id="94"/>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5" w:name="_Toc23510"/>
      <w:r>
        <w:rPr>
          <w:rFonts w:hint="eastAsia" w:asciiTheme="minorEastAsia" w:hAnsiTheme="minorEastAsia" w:eastAsiaTheme="minorEastAsia" w:cstheme="minorEastAsia"/>
          <w:b/>
          <w:lang w:val="zh-CN"/>
        </w:rPr>
        <w:t>投诉</w:t>
      </w:r>
      <w:bookmarkEnd w:id="95"/>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6" w:name="_Toc5571"/>
      <w:bookmarkStart w:id="97" w:name="_Toc14767"/>
      <w:bookmarkStart w:id="98" w:name="_Toc28705"/>
      <w:bookmarkStart w:id="99" w:name="_Toc15626"/>
      <w:r>
        <w:rPr>
          <w:rFonts w:hint="eastAsia" w:asciiTheme="minorEastAsia" w:hAnsiTheme="minorEastAsia" w:eastAsiaTheme="minorEastAsia" w:cstheme="minorEastAsia"/>
          <w:b/>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100" w:name="_Toc10360"/>
      <w:r>
        <w:rPr>
          <w:rFonts w:hint="eastAsia" w:asciiTheme="minorEastAsia" w:hAnsiTheme="minorEastAsia" w:eastAsiaTheme="minorEastAsia" w:cstheme="minorEastAsia"/>
          <w:b/>
        </w:rPr>
        <w:t>政府采购政策</w:t>
      </w:r>
      <w:bookmarkEnd w:id="100"/>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1" w:name="_Toc6783"/>
      <w:r>
        <w:rPr>
          <w:rFonts w:hint="eastAsia" w:asciiTheme="minorEastAsia" w:hAnsiTheme="minorEastAsia" w:eastAsiaTheme="minorEastAsia" w:cstheme="minorEastAsia"/>
          <w:b/>
          <w:szCs w:val="21"/>
          <w:lang w:val="zh-CN"/>
        </w:rPr>
        <w:t>其他要求</w:t>
      </w:r>
      <w:bookmarkEnd w:id="101"/>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2" w:name="_Toc17185"/>
      <w:r>
        <w:rPr>
          <w:rFonts w:hint="eastAsia" w:asciiTheme="minorEastAsia" w:hAnsiTheme="minorEastAsia" w:eastAsiaTheme="minorEastAsia" w:cstheme="minorEastAsia"/>
          <w:b/>
          <w:szCs w:val="21"/>
          <w:lang w:val="zh-CN"/>
        </w:rPr>
        <w:t>适用法律</w:t>
      </w:r>
      <w:bookmarkEnd w:id="102"/>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3" w:name="_Toc14856"/>
      <w:r>
        <w:rPr>
          <w:rFonts w:hint="eastAsia" w:asciiTheme="minorEastAsia" w:hAnsiTheme="minorEastAsia" w:eastAsiaTheme="minorEastAsia" w:cstheme="minorEastAsia"/>
          <w:b/>
          <w:bCs/>
          <w:sz w:val="36"/>
          <w:szCs w:val="36"/>
        </w:rPr>
        <w:t>采购需求</w:t>
      </w:r>
      <w:bookmarkEnd w:id="103"/>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4" w:name="_Toc31773"/>
      <w:r>
        <w:rPr>
          <w:rFonts w:hint="eastAsia" w:asciiTheme="minorEastAsia" w:hAnsiTheme="minorEastAsia" w:eastAsiaTheme="minorEastAsia" w:cstheme="minorEastAsia"/>
          <w:b/>
          <w:bCs/>
          <w:sz w:val="24"/>
        </w:rPr>
        <w:t>一、技术需求</w:t>
      </w:r>
      <w:bookmarkEnd w:id="104"/>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1、设备/货物清单</w:t>
      </w:r>
    </w:p>
    <w:tbl>
      <w:tblPr>
        <w:tblStyle w:val="26"/>
        <w:tblW w:w="5073"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86"/>
        <w:gridCol w:w="5151"/>
        <w:gridCol w:w="385"/>
        <w:gridCol w:w="392"/>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序号</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仪器设备名称</w:t>
            </w:r>
          </w:p>
        </w:tc>
        <w:tc>
          <w:tcPr>
            <w:tcW w:w="2732" w:type="pct"/>
            <w:noWrap/>
            <w:vAlign w:val="center"/>
          </w:tcPr>
          <w:p>
            <w:pPr>
              <w:spacing w:line="360" w:lineRule="auto"/>
              <w:jc w:val="center"/>
              <w:rPr>
                <w:rFonts w:ascii="宋体" w:hAnsi="宋体" w:cs="宋体"/>
                <w:szCs w:val="21"/>
              </w:rPr>
            </w:pPr>
            <w:r>
              <w:rPr>
                <w:rFonts w:hint="eastAsia" w:ascii="宋体" w:hAnsi="宋体" w:cs="宋体"/>
                <w:szCs w:val="21"/>
              </w:rPr>
              <w:t>技术性能</w:t>
            </w:r>
          </w:p>
        </w:tc>
        <w:tc>
          <w:tcPr>
            <w:tcW w:w="204" w:type="pct"/>
            <w:noWrap/>
            <w:vAlign w:val="center"/>
          </w:tcPr>
          <w:p>
            <w:pPr>
              <w:spacing w:line="360" w:lineRule="auto"/>
              <w:jc w:val="center"/>
              <w:rPr>
                <w:rFonts w:ascii="宋体" w:hAnsi="宋体" w:cs="宋体"/>
                <w:szCs w:val="21"/>
              </w:rPr>
            </w:pPr>
            <w:r>
              <w:rPr>
                <w:rFonts w:hint="eastAsia" w:ascii="宋体" w:hAnsi="宋体" w:cs="宋体"/>
                <w:szCs w:val="21"/>
              </w:rPr>
              <w:t>数量</w:t>
            </w:r>
          </w:p>
        </w:tc>
        <w:tc>
          <w:tcPr>
            <w:tcW w:w="207" w:type="pct"/>
            <w:noWrap/>
            <w:vAlign w:val="center"/>
          </w:tcPr>
          <w:p>
            <w:pPr>
              <w:spacing w:line="360" w:lineRule="auto"/>
              <w:jc w:val="center"/>
              <w:rPr>
                <w:rFonts w:ascii="宋体" w:hAnsi="宋体" w:cs="宋体"/>
                <w:szCs w:val="21"/>
              </w:rPr>
            </w:pPr>
            <w:r>
              <w:rPr>
                <w:rFonts w:hint="eastAsia" w:ascii="宋体" w:hAnsi="宋体" w:cs="宋体"/>
                <w:szCs w:val="21"/>
              </w:rPr>
              <w:t>单位</w:t>
            </w:r>
          </w:p>
        </w:tc>
        <w:tc>
          <w:tcPr>
            <w:tcW w:w="1216" w:type="pct"/>
            <w:noWrap/>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线路阻抗稳定网络</w:t>
            </w:r>
          </w:p>
        </w:tc>
        <w:tc>
          <w:tcPr>
            <w:tcW w:w="2732" w:type="pct"/>
            <w:noWrap/>
          </w:tcPr>
          <w:p>
            <w:pPr>
              <w:numPr>
                <w:ilvl w:val="0"/>
                <w:numId w:val="36"/>
              </w:numPr>
              <w:spacing w:line="360" w:lineRule="auto"/>
              <w:jc w:val="left"/>
              <w:rPr>
                <w:rFonts w:ascii="宋体" w:hAnsi="宋体" w:cs="宋体"/>
                <w:szCs w:val="21"/>
              </w:rPr>
            </w:pPr>
            <w:r>
              <w:rPr>
                <w:rFonts w:hint="eastAsia" w:ascii="宋体" w:hAnsi="宋体" w:cs="宋体"/>
                <w:szCs w:val="21"/>
              </w:rPr>
              <w:t>主要功能/用途</w:t>
            </w:r>
          </w:p>
          <w:p>
            <w:pPr>
              <w:spacing w:line="360" w:lineRule="auto"/>
              <w:jc w:val="left"/>
              <w:rPr>
                <w:rFonts w:ascii="宋体" w:hAnsi="宋体" w:cs="宋体"/>
                <w:szCs w:val="21"/>
              </w:rPr>
            </w:pPr>
            <w:r>
              <w:rPr>
                <w:rFonts w:hint="eastAsia" w:ascii="宋体" w:hAnsi="宋体" w:cs="宋体"/>
                <w:szCs w:val="21"/>
              </w:rPr>
              <w:t>该设备主要用于测量在可能存在高强度电磁场的工作环境中电场、磁场强度</w:t>
            </w:r>
          </w:p>
          <w:p>
            <w:pPr>
              <w:spacing w:line="360" w:lineRule="auto"/>
              <w:jc w:val="left"/>
              <w:rPr>
                <w:rFonts w:ascii="宋体" w:hAnsi="宋体" w:cs="宋体"/>
                <w:szCs w:val="21"/>
              </w:rPr>
            </w:pPr>
            <w:r>
              <w:rPr>
                <w:rFonts w:hint="eastAsia" w:ascii="宋体" w:hAnsi="宋体" w:cs="宋体"/>
                <w:szCs w:val="21"/>
              </w:rPr>
              <w:t>二、技术参数/指标</w:t>
            </w:r>
          </w:p>
          <w:p>
            <w:pPr>
              <w:spacing w:line="360" w:lineRule="auto"/>
              <w:jc w:val="left"/>
              <w:rPr>
                <w:rFonts w:ascii="宋体" w:hAnsi="宋体" w:cs="宋体"/>
                <w:szCs w:val="21"/>
              </w:rPr>
            </w:pPr>
            <w:r>
              <w:rPr>
                <w:rFonts w:hint="eastAsia" w:ascii="宋体" w:hAnsi="宋体" w:cs="宋体"/>
                <w:szCs w:val="21"/>
              </w:rPr>
              <w:t>★1.频率范围：9kHz~30MHz</w:t>
            </w:r>
          </w:p>
          <w:p>
            <w:pPr>
              <w:spacing w:line="360" w:lineRule="auto"/>
              <w:jc w:val="left"/>
              <w:rPr>
                <w:rFonts w:ascii="宋体" w:hAnsi="宋体" w:cs="宋体"/>
                <w:szCs w:val="21"/>
              </w:rPr>
            </w:pPr>
            <w:r>
              <w:rPr>
                <w:rFonts w:hint="eastAsia" w:ascii="宋体" w:hAnsi="宋体" w:cs="宋体"/>
                <w:szCs w:val="21"/>
              </w:rPr>
              <w:t>★2.最高输出不低于60A连续额定输出电流</w:t>
            </w:r>
          </w:p>
          <w:p>
            <w:pPr>
              <w:spacing w:line="360" w:lineRule="auto"/>
              <w:jc w:val="left"/>
              <w:rPr>
                <w:rFonts w:ascii="宋体" w:hAnsi="宋体" w:cs="宋体"/>
                <w:szCs w:val="21"/>
              </w:rPr>
            </w:pPr>
            <w:r>
              <w:rPr>
                <w:rFonts w:hint="eastAsia" w:ascii="宋体" w:hAnsi="宋体" w:cs="宋体"/>
                <w:szCs w:val="21"/>
              </w:rPr>
              <w:t>★3.兼容单相和三相</w:t>
            </w:r>
          </w:p>
          <w:p>
            <w:pPr>
              <w:spacing w:line="360" w:lineRule="auto"/>
              <w:jc w:val="left"/>
              <w:rPr>
                <w:rFonts w:ascii="宋体" w:hAnsi="宋体" w:cs="宋体"/>
                <w:szCs w:val="21"/>
              </w:rPr>
            </w:pPr>
            <w:r>
              <w:rPr>
                <w:rFonts w:hint="eastAsia" w:ascii="宋体" w:hAnsi="宋体" w:cs="宋体"/>
                <w:szCs w:val="21"/>
              </w:rPr>
              <w:t>4.输入市电频率：DC~60Hz</w:t>
            </w:r>
          </w:p>
          <w:p>
            <w:pPr>
              <w:spacing w:line="360" w:lineRule="auto"/>
              <w:jc w:val="left"/>
              <w:rPr>
                <w:rFonts w:ascii="宋体" w:hAnsi="宋体" w:cs="宋体"/>
                <w:szCs w:val="21"/>
              </w:rPr>
            </w:pPr>
            <w:r>
              <w:rPr>
                <w:rFonts w:hint="eastAsia" w:ascii="宋体" w:hAnsi="宋体" w:cs="宋体"/>
                <w:szCs w:val="21"/>
              </w:rPr>
              <w:t>★5.支持PMM EMI接收机远程和本地控制，配备检测显示设备</w:t>
            </w:r>
          </w:p>
          <w:p>
            <w:pPr>
              <w:spacing w:line="360" w:lineRule="auto"/>
              <w:jc w:val="left"/>
              <w:rPr>
                <w:rFonts w:ascii="宋体" w:hAnsi="宋体" w:cs="宋体"/>
                <w:szCs w:val="21"/>
              </w:rPr>
            </w:pPr>
            <w:r>
              <w:rPr>
                <w:rFonts w:hint="eastAsia" w:ascii="宋体" w:hAnsi="宋体" w:cs="宋体"/>
                <w:szCs w:val="21"/>
              </w:rPr>
              <w:t>★6.RF输出：BNC母口</w:t>
            </w:r>
          </w:p>
          <w:p>
            <w:pPr>
              <w:spacing w:line="360" w:lineRule="auto"/>
              <w:jc w:val="left"/>
              <w:rPr>
                <w:rFonts w:ascii="宋体" w:hAnsi="宋体" w:cs="宋体"/>
                <w:szCs w:val="21"/>
              </w:rPr>
            </w:pPr>
            <w:r>
              <w:rPr>
                <w:rFonts w:hint="eastAsia" w:ascii="宋体" w:hAnsi="宋体" w:cs="宋体"/>
                <w:szCs w:val="21"/>
              </w:rPr>
              <w:t>7.工作温度：-10℃~40℃</w:t>
            </w:r>
          </w:p>
        </w:tc>
        <w:tc>
          <w:tcPr>
            <w:tcW w:w="204"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07"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216"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本设备拟采购进口设备，投标报价包括除报价要求相关内容外，还应包括进口设备代理费等费用；报价时，请按教育科研机构进口免税价进行报价。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电力电子对象实时仿真平台</w:t>
            </w:r>
          </w:p>
        </w:tc>
        <w:tc>
          <w:tcPr>
            <w:tcW w:w="2732" w:type="pct"/>
            <w:noWrap/>
            <w:vAlign w:val="center"/>
          </w:tcPr>
          <w:p>
            <w:pPr>
              <w:spacing w:line="360" w:lineRule="auto"/>
              <w:jc w:val="left"/>
              <w:rPr>
                <w:rFonts w:ascii="宋体" w:hAnsi="宋体" w:cs="宋体"/>
                <w:szCs w:val="21"/>
              </w:rPr>
            </w:pPr>
            <w:r>
              <w:rPr>
                <w:rFonts w:hint="eastAsia" w:ascii="宋体" w:hAnsi="宋体" w:cs="宋体"/>
                <w:szCs w:val="21"/>
              </w:rPr>
              <w:t>一、主要功能/用途：能和电力电子数字物理仿真器接口，实现硬件在环仿真实验；支持Simulink搭建的电力电子主电路拓扑模型下载。</w:t>
            </w:r>
          </w:p>
          <w:p>
            <w:pPr>
              <w:spacing w:line="360" w:lineRule="auto"/>
              <w:jc w:val="left"/>
              <w:rPr>
                <w:rFonts w:ascii="宋体" w:hAnsi="宋体" w:cs="宋体"/>
                <w:szCs w:val="21"/>
              </w:rPr>
            </w:pPr>
            <w:r>
              <w:rPr>
                <w:rFonts w:hint="eastAsia" w:ascii="宋体" w:hAnsi="宋体" w:cs="宋体"/>
                <w:szCs w:val="21"/>
              </w:rPr>
              <w:t>二、技术参数/指标</w:t>
            </w:r>
          </w:p>
          <w:p>
            <w:pPr>
              <w:spacing w:line="360" w:lineRule="auto"/>
              <w:jc w:val="left"/>
              <w:rPr>
                <w:rFonts w:ascii="宋体" w:hAnsi="宋体" w:cs="宋体"/>
                <w:szCs w:val="21"/>
              </w:rPr>
            </w:pPr>
            <w:r>
              <w:rPr>
                <w:rFonts w:hint="eastAsia" w:ascii="宋体" w:hAnsi="宋体" w:cs="宋体"/>
                <w:szCs w:val="21"/>
              </w:rPr>
              <w:t>★①支持电力电子电路模型自由搭建。</w:t>
            </w:r>
          </w:p>
          <w:p>
            <w:pPr>
              <w:spacing w:line="360" w:lineRule="auto"/>
              <w:jc w:val="left"/>
              <w:rPr>
                <w:rFonts w:ascii="宋体" w:hAnsi="宋体" w:cs="宋体"/>
                <w:szCs w:val="21"/>
              </w:rPr>
            </w:pPr>
            <w:r>
              <w:rPr>
                <w:rFonts w:hint="eastAsia" w:ascii="宋体" w:hAnsi="宋体" w:cs="宋体"/>
                <w:szCs w:val="21"/>
              </w:rPr>
              <w:t>★②支持基于CPU的电力电子电路实时仿真，最小仿真步长25μs。</w:t>
            </w:r>
          </w:p>
          <w:p>
            <w:pPr>
              <w:spacing w:line="360" w:lineRule="auto"/>
              <w:jc w:val="left"/>
              <w:rPr>
                <w:rFonts w:ascii="宋体" w:hAnsi="宋体" w:cs="宋体"/>
                <w:szCs w:val="21"/>
              </w:rPr>
            </w:pPr>
            <w:r>
              <w:rPr>
                <w:rFonts w:hint="eastAsia" w:ascii="宋体" w:hAnsi="宋体" w:cs="宋体"/>
                <w:szCs w:val="21"/>
              </w:rPr>
              <w:t>★③支持控制算法的仿真，单套设备能完成自闭环运行。</w:t>
            </w:r>
          </w:p>
          <w:p>
            <w:pPr>
              <w:spacing w:line="360" w:lineRule="auto"/>
              <w:jc w:val="left"/>
              <w:rPr>
                <w:rFonts w:ascii="宋体" w:hAnsi="宋体" w:cs="宋体"/>
                <w:szCs w:val="21"/>
              </w:rPr>
            </w:pPr>
            <w:r>
              <w:rPr>
                <w:rFonts w:hint="eastAsia" w:ascii="宋体" w:hAnsi="宋体" w:cs="宋体"/>
                <w:szCs w:val="21"/>
              </w:rPr>
              <w:t>★④具有可编辑显示的界面，提供模拟量显示与记录的功能或接口。</w:t>
            </w:r>
          </w:p>
          <w:p>
            <w:pPr>
              <w:spacing w:line="360" w:lineRule="auto"/>
              <w:jc w:val="left"/>
              <w:rPr>
                <w:rFonts w:ascii="宋体" w:hAnsi="宋体" w:cs="宋体"/>
                <w:szCs w:val="21"/>
              </w:rPr>
            </w:pPr>
            <w:r>
              <w:rPr>
                <w:rFonts w:hint="eastAsia" w:ascii="宋体" w:hAnsi="宋体" w:cs="宋体"/>
                <w:szCs w:val="21"/>
              </w:rPr>
              <w:t>⑤具有扩展仿真的条件或接口。</w:t>
            </w:r>
          </w:p>
        </w:tc>
        <w:tc>
          <w:tcPr>
            <w:tcW w:w="204"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07"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216" w:type="pct"/>
            <w:noWrap/>
            <w:vAlign w:val="center"/>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基于FPGA的仿真扩展套件</w:t>
            </w:r>
          </w:p>
        </w:tc>
        <w:tc>
          <w:tcPr>
            <w:tcW w:w="2732" w:type="pct"/>
            <w:noWrap/>
            <w:vAlign w:val="center"/>
          </w:tcPr>
          <w:p>
            <w:pPr>
              <w:spacing w:line="360" w:lineRule="auto"/>
              <w:jc w:val="left"/>
              <w:rPr>
                <w:rFonts w:ascii="宋体" w:hAnsi="宋体" w:cs="宋体"/>
                <w:szCs w:val="21"/>
              </w:rPr>
            </w:pPr>
            <w:r>
              <w:rPr>
                <w:rFonts w:hint="eastAsia" w:ascii="宋体" w:hAnsi="宋体" w:cs="宋体"/>
                <w:szCs w:val="21"/>
              </w:rPr>
              <w:t>一、主要功能/用途：与电力电子对象实时仿真平台接口，实现小步长实时仿真功能，具备模拟量、数字量等硬件接口。</w:t>
            </w:r>
          </w:p>
          <w:p>
            <w:pPr>
              <w:spacing w:line="360" w:lineRule="auto"/>
              <w:jc w:val="left"/>
              <w:rPr>
                <w:rFonts w:ascii="宋体" w:hAnsi="宋体" w:cs="宋体"/>
                <w:szCs w:val="21"/>
              </w:rPr>
            </w:pPr>
            <w:r>
              <w:rPr>
                <w:rFonts w:hint="eastAsia" w:ascii="宋体" w:hAnsi="宋体" w:cs="宋体"/>
                <w:szCs w:val="21"/>
              </w:rPr>
              <w:t>二、技术参数/指标</w:t>
            </w:r>
          </w:p>
          <w:p>
            <w:pPr>
              <w:spacing w:line="360" w:lineRule="auto"/>
              <w:jc w:val="left"/>
              <w:rPr>
                <w:rFonts w:ascii="宋体" w:hAnsi="宋体" w:cs="宋体"/>
                <w:szCs w:val="21"/>
              </w:rPr>
            </w:pPr>
            <w:r>
              <w:rPr>
                <w:rFonts w:hint="eastAsia" w:ascii="宋体" w:hAnsi="宋体" w:cs="宋体"/>
                <w:szCs w:val="21"/>
              </w:rPr>
              <w:t>★①支持电力电子电路模型自由搭建，实现最少48个关键器件（包括电源、L、C、开关器件）的仿真规模。</w:t>
            </w:r>
          </w:p>
          <w:p>
            <w:pPr>
              <w:spacing w:line="360" w:lineRule="auto"/>
              <w:jc w:val="left"/>
              <w:rPr>
                <w:rFonts w:ascii="宋体" w:hAnsi="宋体" w:cs="宋体"/>
                <w:szCs w:val="21"/>
              </w:rPr>
            </w:pPr>
            <w:r>
              <w:rPr>
                <w:rFonts w:hint="eastAsia" w:ascii="宋体" w:hAnsi="宋体" w:cs="宋体"/>
                <w:szCs w:val="21"/>
              </w:rPr>
              <w:t>★②能够进行步长0.25μs的实时仿真。</w:t>
            </w:r>
          </w:p>
          <w:p>
            <w:pPr>
              <w:spacing w:line="360" w:lineRule="auto"/>
              <w:jc w:val="left"/>
              <w:rPr>
                <w:rFonts w:ascii="宋体" w:hAnsi="宋体" w:cs="宋体"/>
                <w:szCs w:val="21"/>
              </w:rPr>
            </w:pPr>
            <w:r>
              <w:rPr>
                <w:rFonts w:hint="eastAsia" w:ascii="宋体" w:hAnsi="宋体" w:cs="宋体"/>
                <w:szCs w:val="21"/>
              </w:rPr>
              <w:t>★③提供18路模拟量输出，刷新率1MS/s，16位精度，输出电压±10V。</w:t>
            </w:r>
          </w:p>
          <w:p>
            <w:pPr>
              <w:spacing w:line="360" w:lineRule="auto"/>
              <w:jc w:val="left"/>
              <w:rPr>
                <w:rFonts w:ascii="宋体" w:hAnsi="宋体" w:cs="宋体"/>
                <w:szCs w:val="21"/>
              </w:rPr>
            </w:pPr>
            <w:r>
              <w:rPr>
                <w:rFonts w:hint="eastAsia" w:ascii="宋体" w:hAnsi="宋体" w:cs="宋体"/>
                <w:szCs w:val="21"/>
              </w:rPr>
              <w:t>★④48路数字量输入，刷新率10MHz，全部可作为独立的PWM输入，3.3V 或5V TTL信号。</w:t>
            </w:r>
          </w:p>
          <w:p>
            <w:pPr>
              <w:spacing w:line="360" w:lineRule="auto"/>
              <w:jc w:val="left"/>
              <w:rPr>
                <w:rFonts w:ascii="宋体" w:hAnsi="宋体" w:cs="宋体"/>
                <w:szCs w:val="21"/>
              </w:rPr>
            </w:pPr>
            <w:r>
              <w:rPr>
                <w:rFonts w:hint="eastAsia" w:ascii="宋体" w:hAnsi="宋体" w:cs="宋体"/>
                <w:szCs w:val="21"/>
              </w:rPr>
              <w:t>⑤4路模拟量输入，1MS/s，16位精度。</w:t>
            </w:r>
          </w:p>
        </w:tc>
        <w:tc>
          <w:tcPr>
            <w:tcW w:w="204"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07"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216" w:type="pct"/>
            <w:noWrap/>
            <w:vAlign w:val="center"/>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示波器</w:t>
            </w:r>
          </w:p>
        </w:tc>
        <w:tc>
          <w:tcPr>
            <w:tcW w:w="2732" w:type="pct"/>
            <w:noWrap/>
          </w:tcPr>
          <w:p>
            <w:pPr>
              <w:rPr>
                <w:color w:val="auto"/>
                <w:highlight w:val="none"/>
              </w:rPr>
            </w:pPr>
            <w:r>
              <w:rPr>
                <w:rFonts w:hint="eastAsia"/>
                <w:color w:val="auto"/>
                <w:highlight w:val="none"/>
              </w:rPr>
              <w:t>主要功能/用途</w:t>
            </w:r>
          </w:p>
          <w:p>
            <w:pPr>
              <w:rPr>
                <w:color w:val="auto"/>
                <w:highlight w:val="none"/>
              </w:rPr>
            </w:pPr>
            <w:r>
              <w:rPr>
                <w:rFonts w:hint="eastAsia"/>
                <w:color w:val="auto"/>
                <w:highlight w:val="none"/>
              </w:rPr>
              <w:t>显示被测量的瞬时值轨迹变化情况的仪器，可以用于测试各种不同的电量，如电压、电流、峰峰值、频率、相位差、调幅度等等。</w:t>
            </w:r>
          </w:p>
          <w:p>
            <w:pPr>
              <w:rPr>
                <w:color w:val="auto"/>
                <w:highlight w:val="none"/>
              </w:rPr>
            </w:pPr>
            <w:r>
              <w:rPr>
                <w:rFonts w:hint="eastAsia"/>
                <w:color w:val="auto"/>
                <w:highlight w:val="none"/>
              </w:rPr>
              <w:t>二、技术参数/指标</w:t>
            </w:r>
          </w:p>
          <w:p>
            <w:pPr>
              <w:rPr>
                <w:color w:val="auto"/>
                <w:highlight w:val="none"/>
              </w:rPr>
            </w:pPr>
            <w:r>
              <w:rPr>
                <w:rFonts w:hint="eastAsia"/>
                <w:color w:val="auto"/>
                <w:highlight w:val="none"/>
              </w:rPr>
              <w:t>（1）带宽：200MHz；</w:t>
            </w:r>
          </w:p>
          <w:p>
            <w:pPr>
              <w:rPr>
                <w:color w:val="auto"/>
                <w:highlight w:val="none"/>
              </w:rPr>
            </w:pPr>
            <w:r>
              <w:rPr>
                <w:rFonts w:hint="eastAsia"/>
                <w:color w:val="auto"/>
                <w:highlight w:val="none"/>
              </w:rPr>
              <w:t>（2）模拟通道数：4；</w:t>
            </w:r>
          </w:p>
          <w:p>
            <w:pPr>
              <w:rPr>
                <w:color w:val="auto"/>
                <w:highlight w:val="none"/>
              </w:rPr>
            </w:pPr>
            <w:r>
              <w:rPr>
                <w:rFonts w:hint="eastAsia"/>
                <w:color w:val="auto"/>
                <w:highlight w:val="none"/>
              </w:rPr>
              <w:t>（3）记录长度：31.25M points/ch；</w:t>
            </w:r>
          </w:p>
          <w:p>
            <w:pPr>
              <w:rPr>
                <w:color w:val="auto"/>
                <w:highlight w:val="none"/>
              </w:rPr>
            </w:pPr>
            <w:r>
              <w:rPr>
                <w:rFonts w:hint="eastAsia"/>
                <w:color w:val="auto"/>
                <w:highlight w:val="none"/>
              </w:rPr>
              <w:t>（4）采样率随机6.25GS/s；</w:t>
            </w:r>
          </w:p>
          <w:p>
            <w:pPr>
              <w:rPr>
                <w:color w:val="auto"/>
                <w:highlight w:val="none"/>
              </w:rPr>
            </w:pPr>
            <w:r>
              <w:rPr>
                <w:rFonts w:hint="eastAsia"/>
                <w:color w:val="auto"/>
                <w:highlight w:val="none"/>
              </w:rPr>
              <w:t>（5）垂直分辨率</w:t>
            </w:r>
            <w:r>
              <w:rPr>
                <w:rFonts w:hint="eastAsia"/>
                <w:color w:val="auto"/>
                <w:highlight w:val="none"/>
              </w:rPr>
              <w:tab/>
            </w:r>
            <w:r>
              <w:rPr>
                <w:rFonts w:hint="eastAsia"/>
                <w:color w:val="auto"/>
                <w:highlight w:val="none"/>
              </w:rPr>
              <w:t>8 位；</w:t>
            </w:r>
          </w:p>
          <w:p>
            <w:pPr>
              <w:rPr>
                <w:color w:val="auto"/>
                <w:highlight w:val="none"/>
              </w:rPr>
            </w:pPr>
            <w:r>
              <w:rPr>
                <w:rFonts w:hint="eastAsia"/>
                <w:color w:val="auto"/>
                <w:highlight w:val="none"/>
              </w:rPr>
              <w:t>（6）最大垂直灵敏度 10 (Input)V/div；</w:t>
            </w:r>
          </w:p>
          <w:p>
            <w:pPr>
              <w:rPr>
                <w:color w:val="auto"/>
                <w:highlight w:val="none"/>
              </w:rPr>
            </w:pPr>
            <w:r>
              <w:rPr>
                <w:rFonts w:hint="eastAsia"/>
                <w:color w:val="auto"/>
                <w:highlight w:val="none"/>
              </w:rPr>
              <w:t>（7）输入阻抗 1 MΩ；</w:t>
            </w:r>
          </w:p>
          <w:p>
            <w:pPr>
              <w:rPr>
                <w:b/>
                <w:bCs/>
                <w:color w:val="auto"/>
                <w:highlight w:val="none"/>
              </w:rPr>
            </w:pPr>
            <w:r>
              <w:rPr>
                <w:rFonts w:hint="eastAsia"/>
                <w:color w:val="auto"/>
                <w:highlight w:val="none"/>
              </w:rPr>
              <w:t>（8）显示器类型 TFT；屏幕尺寸 13.3in。</w:t>
            </w:r>
          </w:p>
        </w:tc>
        <w:tc>
          <w:tcPr>
            <w:tcW w:w="204" w:type="pc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07" w:type="pc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216" w:type="pct"/>
            <w:noWrap/>
            <w:vAlign w:val="center"/>
          </w:tcPr>
          <w:p>
            <w:pPr>
              <w:spacing w:line="360" w:lineRule="auto"/>
              <w:jc w:val="center"/>
              <w:rPr>
                <w:rFonts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本设备拟采购进口设备，投标报价包括除报价要求相关内容外，还应包括进口设备代理费等费用；报价时，请按教育科研机构进口免税价进行报价。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可编程交流电源</w:t>
            </w:r>
          </w:p>
        </w:tc>
        <w:tc>
          <w:tcPr>
            <w:tcW w:w="2732" w:type="pct"/>
            <w:noWrap/>
          </w:tcPr>
          <w:p>
            <w:pPr>
              <w:spacing w:line="360" w:lineRule="auto"/>
              <w:rPr>
                <w:rFonts w:ascii="宋体" w:hAnsi="宋体" w:cs="宋体"/>
                <w:color w:val="auto"/>
                <w:szCs w:val="21"/>
                <w:highlight w:val="none"/>
              </w:rPr>
            </w:pPr>
            <w:r>
              <w:rPr>
                <w:rFonts w:hint="eastAsia" w:ascii="宋体" w:hAnsi="宋体" w:cs="宋体"/>
                <w:color w:val="auto"/>
                <w:szCs w:val="21"/>
                <w:highlight w:val="none"/>
              </w:rPr>
              <w:t>一、主要功能/用途</w:t>
            </w:r>
          </w:p>
          <w:p>
            <w:pPr>
              <w:rPr>
                <w:color w:val="auto"/>
                <w:highlight w:val="none"/>
              </w:rPr>
            </w:pPr>
            <w:r>
              <w:rPr>
                <w:rFonts w:hint="eastAsia"/>
                <w:color w:val="auto"/>
                <w:highlight w:val="none"/>
              </w:rPr>
              <w:t>输出复杂的电压波形；能够模拟市电正常和失真的情况；调压调频，输出正常的正弦波</w:t>
            </w:r>
          </w:p>
          <w:p>
            <w:pPr>
              <w:rPr>
                <w:color w:val="auto"/>
                <w:highlight w:val="none"/>
              </w:rPr>
            </w:pPr>
            <w:r>
              <w:rPr>
                <w:rFonts w:hint="eastAsia"/>
                <w:color w:val="auto"/>
                <w:highlight w:val="none"/>
              </w:rPr>
              <w:t>二、技术参数/指标</w:t>
            </w:r>
          </w:p>
          <w:p>
            <w:pPr>
              <w:rPr>
                <w:color w:val="auto"/>
                <w:highlight w:val="none"/>
              </w:rPr>
            </w:pPr>
            <w:r>
              <w:rPr>
                <w:rFonts w:hint="eastAsia"/>
                <w:color w:val="auto"/>
                <w:highlight w:val="none"/>
              </w:rPr>
              <w:t>（1）电压：</w:t>
            </w:r>
            <w:r>
              <w:rPr>
                <w:color w:val="auto"/>
                <w:highlight w:val="none"/>
              </w:rPr>
              <w:t>0-175V/0-350V/Auto</w:t>
            </w:r>
            <w:r>
              <w:rPr>
                <w:rFonts w:hint="eastAsia"/>
                <w:color w:val="auto"/>
                <w:highlight w:val="none"/>
              </w:rPr>
              <w:t>；</w:t>
            </w:r>
          </w:p>
          <w:p>
            <w:pPr>
              <w:rPr>
                <w:color w:val="auto"/>
                <w:highlight w:val="none"/>
              </w:rPr>
            </w:pPr>
            <w:r>
              <w:rPr>
                <w:rFonts w:hint="eastAsia"/>
                <w:color w:val="auto"/>
                <w:highlight w:val="none"/>
              </w:rPr>
              <w:t>（2）频率：15~2kHz；</w:t>
            </w:r>
          </w:p>
          <w:p>
            <w:pPr>
              <w:rPr>
                <w:color w:val="auto"/>
                <w:highlight w:val="none"/>
              </w:rPr>
            </w:pPr>
            <w:r>
              <w:rPr>
                <w:rFonts w:hint="eastAsia"/>
                <w:color w:val="auto"/>
                <w:highlight w:val="none"/>
              </w:rPr>
              <w:t>（3）容量：6kVA；</w:t>
            </w:r>
          </w:p>
          <w:p>
            <w:pPr>
              <w:rPr>
                <w:color w:val="auto"/>
                <w:highlight w:val="none"/>
              </w:rPr>
            </w:pPr>
            <w:r>
              <w:rPr>
                <w:rFonts w:hint="eastAsia"/>
                <w:color w:val="auto"/>
                <w:highlight w:val="none"/>
              </w:rPr>
              <w:t>（4）输出复杂的电压波形，能够模拟市电正常和失真的情况，输出正常的正弦波;</w:t>
            </w:r>
          </w:p>
          <w:p>
            <w:pPr>
              <w:rPr>
                <w:color w:val="auto"/>
                <w:highlight w:val="none"/>
              </w:rPr>
            </w:pPr>
            <w:r>
              <w:rPr>
                <w:rFonts w:hint="eastAsia"/>
                <w:color w:val="auto"/>
                <w:highlight w:val="none"/>
              </w:rPr>
              <w:t>(5)可选择单相或三相交流输出;</w:t>
            </w:r>
          </w:p>
          <w:p>
            <w:pPr>
              <w:rPr>
                <w:color w:val="auto"/>
                <w:highlight w:val="none"/>
              </w:rPr>
            </w:pPr>
            <w:r>
              <w:rPr>
                <w:rFonts w:hint="eastAsia"/>
                <w:color w:val="auto"/>
                <w:highlight w:val="none"/>
              </w:rPr>
              <w:t>(6)可设定电压和频率的输出变动率;</w:t>
            </w:r>
          </w:p>
          <w:p>
            <w:pPr>
              <w:rPr>
                <w:color w:val="auto"/>
                <w:highlight w:val="none"/>
              </w:rPr>
            </w:pPr>
            <w:r>
              <w:rPr>
                <w:rFonts w:hint="eastAsia"/>
                <w:color w:val="auto"/>
                <w:highlight w:val="none"/>
              </w:rPr>
              <w:t>(7)可设定电压和电流的输出限制;</w:t>
            </w:r>
          </w:p>
          <w:p>
            <w:pPr>
              <w:rPr>
                <w:color w:val="auto"/>
                <w:highlight w:val="none"/>
              </w:rPr>
            </w:pPr>
            <w:r>
              <w:rPr>
                <w:rFonts w:hint="eastAsia"/>
                <w:color w:val="auto"/>
                <w:highlight w:val="none"/>
              </w:rPr>
              <w:t>(8)高电流波峰因素，适用于浪涌电流测试;</w:t>
            </w:r>
          </w:p>
          <w:p>
            <w:pPr>
              <w:rPr>
                <w:color w:val="auto"/>
                <w:highlight w:val="none"/>
              </w:rPr>
            </w:pPr>
            <w:r>
              <w:rPr>
                <w:rFonts w:hint="eastAsia"/>
                <w:color w:val="auto"/>
                <w:highlight w:val="none"/>
              </w:rPr>
              <w:t>(9)可设定电压波形启动及关闭的相位角;</w:t>
            </w:r>
          </w:p>
          <w:p>
            <w:pPr>
              <w:rPr>
                <w:color w:val="auto"/>
                <w:highlight w:val="none"/>
              </w:rPr>
            </w:pPr>
            <w:r>
              <w:rPr>
                <w:rFonts w:hint="eastAsia"/>
                <w:color w:val="auto"/>
                <w:highlight w:val="none"/>
              </w:rPr>
              <w:t>(10)输出电压变化的同步TTL信号;</w:t>
            </w:r>
          </w:p>
          <w:p>
            <w:pPr>
              <w:rPr>
                <w:color w:val="auto"/>
                <w:highlight w:val="none"/>
              </w:rPr>
            </w:pPr>
            <w:r>
              <w:rPr>
                <w:rFonts w:hint="eastAsia"/>
                <w:color w:val="auto"/>
                <w:highlight w:val="none"/>
              </w:rPr>
              <w:t>(11)LIST、STEP、PULSE模式做测试电源扰动(PLD)模拟;</w:t>
            </w:r>
          </w:p>
          <w:p>
            <w:pPr>
              <w:rPr>
                <w:color w:val="auto"/>
                <w:highlight w:val="none"/>
              </w:rPr>
            </w:pPr>
            <w:r>
              <w:rPr>
                <w:rFonts w:hint="eastAsia"/>
                <w:color w:val="auto"/>
                <w:highlight w:val="none"/>
              </w:rPr>
              <w:t>(12)电压暂降、短时中断和电压变化模拟</w:t>
            </w:r>
          </w:p>
          <w:p>
            <w:pPr>
              <w:rPr>
                <w:color w:val="auto"/>
                <w:highlight w:val="none"/>
              </w:rPr>
            </w:pPr>
            <w:r>
              <w:rPr>
                <w:rFonts w:hint="eastAsia"/>
                <w:color w:val="auto"/>
                <w:highlight w:val="none"/>
              </w:rPr>
              <w:t>(13)谐波和间谐波的失真波形合成</w:t>
            </w:r>
          </w:p>
          <w:p>
            <w:pPr>
              <w:rPr>
                <w:color w:val="auto"/>
                <w:highlight w:val="none"/>
              </w:rPr>
            </w:pPr>
            <w:r>
              <w:rPr>
                <w:rFonts w:hint="eastAsia"/>
                <w:color w:val="auto"/>
                <w:highlight w:val="none"/>
              </w:rPr>
              <w:t>(14)数位介面 : GPIB、RS-232、USB和Ethernet</w:t>
            </w:r>
          </w:p>
          <w:p>
            <w:pPr>
              <w:rPr>
                <w:color w:val="auto"/>
                <w:highlight w:val="none"/>
              </w:rPr>
            </w:pPr>
            <w:r>
              <w:rPr>
                <w:rFonts w:hint="eastAsia"/>
                <w:color w:val="auto"/>
                <w:highlight w:val="none"/>
              </w:rPr>
              <w:t>透过并联输出模式可提供更高的输出功率</w:t>
            </w:r>
          </w:p>
        </w:tc>
        <w:tc>
          <w:tcPr>
            <w:tcW w:w="204" w:type="pc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07" w:type="pc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216" w:type="pct"/>
            <w:noWrap/>
            <w:vAlign w:val="center"/>
          </w:tcPr>
          <w:p>
            <w:pPr>
              <w:spacing w:line="360" w:lineRule="auto"/>
              <w:jc w:val="center"/>
              <w:rPr>
                <w:rFonts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本设备拟采购进口设备，投标报价包括除报价要求相关内容外，还应包括进口设备代理费等费用；报价时，请按教育科研机构进口免税价进行报价。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417" w:type="pct"/>
            <w:noWrap/>
            <w:vAlign w:val="center"/>
          </w:tcPr>
          <w:p>
            <w:pPr>
              <w:spacing w:line="360" w:lineRule="auto"/>
              <w:ind w:firstLine="230"/>
              <w:jc w:val="center"/>
              <w:rPr>
                <w:rFonts w:ascii="宋体" w:hAnsi="宋体" w:cs="宋体"/>
                <w:szCs w:val="21"/>
              </w:rPr>
            </w:pPr>
            <w:r>
              <w:rPr>
                <w:rFonts w:hint="eastAsia" w:ascii="宋体" w:hAnsi="宋体" w:cs="宋体"/>
                <w:szCs w:val="21"/>
              </w:rPr>
              <w:t>功率分析仪</w:t>
            </w:r>
          </w:p>
        </w:tc>
        <w:tc>
          <w:tcPr>
            <w:tcW w:w="2732" w:type="pct"/>
            <w:noWrap/>
          </w:tcPr>
          <w:p>
            <w:pPr>
              <w:spacing w:line="360" w:lineRule="auto"/>
              <w:rPr>
                <w:rFonts w:ascii="宋体" w:hAnsi="宋体" w:cs="宋体"/>
                <w:color w:val="auto"/>
                <w:szCs w:val="21"/>
                <w:highlight w:val="none"/>
              </w:rPr>
            </w:pPr>
            <w:r>
              <w:rPr>
                <w:rFonts w:hint="eastAsia" w:ascii="宋体" w:hAnsi="宋体" w:cs="宋体"/>
                <w:color w:val="auto"/>
                <w:szCs w:val="21"/>
                <w:highlight w:val="none"/>
              </w:rPr>
              <w:t>一、主要功能/用途</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一种理想1～3相功率分析仪，适用于测试高效率电源、逆变器和驱动器等设备。 用于根据最新法规标准（如VILevel、EnergyStar、CEC、IEC62301 等）来分析和记录真实功率、功率因数、效率、能耗和谐波。</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二、技术参数/指标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（1）4 条通道，支持单相和三相应用；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（2）10 mW待机功率测量；</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（3）1 MS/s 采样率，1MHz 带宽；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（4）16位模数转换器；±0.04%基本电压和电流精度。</w:t>
            </w:r>
          </w:p>
        </w:tc>
        <w:tc>
          <w:tcPr>
            <w:tcW w:w="204" w:type="pc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07" w:type="pc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216" w:type="pct"/>
            <w:noWrap/>
            <w:vAlign w:val="center"/>
          </w:tcPr>
          <w:p>
            <w:pPr>
              <w:spacing w:line="360" w:lineRule="auto"/>
              <w:jc w:val="center"/>
              <w:rPr>
                <w:rFonts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本设备拟采购进口设备，投标报价包括除报价要求相关内容外，还应包括进口设备代理费等费用；报价时，请按教育科研机构进口免税价进行报价。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 w:type="pct"/>
            <w:noWrap/>
            <w:vAlign w:val="center"/>
          </w:tcPr>
          <w:p>
            <w:pPr>
              <w:spacing w:line="360" w:lineRule="auto"/>
              <w:jc w:val="center"/>
              <w:rPr>
                <w:rFonts w:ascii="宋体" w:hAnsi="宋体" w:cs="宋体"/>
                <w:szCs w:val="21"/>
              </w:rPr>
            </w:pPr>
            <w:r>
              <w:rPr>
                <w:rFonts w:hint="eastAsia" w:ascii="宋体" w:hAnsi="宋体" w:cs="宋体"/>
                <w:szCs w:val="21"/>
              </w:rPr>
              <w:t>7</w:t>
            </w:r>
          </w:p>
        </w:tc>
        <w:tc>
          <w:tcPr>
            <w:tcW w:w="417" w:type="pct"/>
            <w:noWrap/>
            <w:vAlign w:val="center"/>
          </w:tcPr>
          <w:p>
            <w:pPr>
              <w:spacing w:line="360" w:lineRule="auto"/>
              <w:jc w:val="center"/>
              <w:rPr>
                <w:rFonts w:ascii="宋体" w:hAnsi="宋体" w:cs="宋体"/>
                <w:szCs w:val="21"/>
              </w:rPr>
            </w:pPr>
            <w:r>
              <w:rPr>
                <w:rFonts w:hint="eastAsia" w:ascii="宋体" w:hAnsi="宋体" w:cs="宋体"/>
                <w:szCs w:val="21"/>
              </w:rPr>
              <w:t>可编程交/直流电子负载(Chroma63803)</w:t>
            </w:r>
          </w:p>
        </w:tc>
        <w:tc>
          <w:tcPr>
            <w:tcW w:w="2732" w:type="pct"/>
            <w:noWrap/>
          </w:tcPr>
          <w:p>
            <w:pPr>
              <w:numPr>
                <w:ilvl w:val="0"/>
                <w:numId w:val="37"/>
              </w:numPr>
              <w:spacing w:line="360" w:lineRule="auto"/>
              <w:rPr>
                <w:rFonts w:ascii="宋体" w:hAnsi="宋体" w:cs="宋体"/>
                <w:szCs w:val="21"/>
              </w:rPr>
            </w:pPr>
            <w:r>
              <w:rPr>
                <w:rFonts w:hint="eastAsia" w:ascii="宋体" w:hAnsi="宋体" w:cs="宋体"/>
                <w:szCs w:val="21"/>
              </w:rPr>
              <w:t>主要功能/用途</w:t>
            </w:r>
          </w:p>
          <w:p>
            <w:pPr>
              <w:spacing w:line="360" w:lineRule="auto"/>
              <w:jc w:val="left"/>
              <w:rPr>
                <w:rFonts w:ascii="宋体" w:hAnsi="宋体" w:cs="宋体"/>
                <w:szCs w:val="21"/>
              </w:rPr>
            </w:pPr>
            <w:r>
              <w:rPr>
                <w:rFonts w:hint="eastAsia" w:ascii="宋体" w:hAnsi="宋体" w:cs="宋体"/>
                <w:szCs w:val="21"/>
              </w:rPr>
              <w:t>(1) 主要用途：主要是给UPS、Off-Grid nverters、车用型变流器、交流电源以及其他的电力元件如开关、断路器、保险丝和连接器等产品测试使用。可模拟于高峰值因素下的负载情况，甚至当电压波形失真时，能即时补偿功率因素。</w:t>
            </w:r>
          </w:p>
          <w:p>
            <w:pPr>
              <w:spacing w:line="360" w:lineRule="auto"/>
              <w:jc w:val="left"/>
              <w:rPr>
                <w:rFonts w:ascii="宋体" w:hAnsi="宋体" w:cs="宋体"/>
                <w:szCs w:val="21"/>
              </w:rPr>
            </w:pPr>
            <w:r>
              <w:rPr>
                <w:rFonts w:hint="eastAsia" w:ascii="宋体" w:hAnsi="宋体" w:cs="宋体"/>
                <w:szCs w:val="21"/>
              </w:rPr>
              <w:t>(2)主要功能：1）具有完整的交流及直流负载模拟功能。交流电子负载应提供一般负载模式及整流负载模式。其中一般负载模式应包括定电流模式，定电阻模式和定功率模式。整流负载模式应包括PLC模式、定功率模式及浪涌电流模式。直流负载模式应包括：定电流、定电阻、定功率、定电压及整流模式。在交流负载模式下应可模拟于高峰值因素下的负载情况，当电压波形失真时可即时补偿功率因素；可模拟非线性整流负载，并可动态调整频宽，以确保系统稳定。</w:t>
            </w:r>
          </w:p>
          <w:p>
            <w:pPr>
              <w:spacing w:line="360" w:lineRule="auto"/>
              <w:jc w:val="left"/>
              <w:rPr>
                <w:rFonts w:ascii="宋体" w:hAnsi="宋体" w:cs="宋体"/>
                <w:szCs w:val="21"/>
              </w:rPr>
            </w:pPr>
            <w:r>
              <w:rPr>
                <w:rFonts w:hint="eastAsia" w:ascii="宋体" w:hAnsi="宋体" w:cs="宋体"/>
                <w:szCs w:val="21"/>
              </w:rPr>
              <w:t>2）多样的量测功率。应具有内建16位精准量测电路以量测稳态及暂态响应。量测项目应包括：电压均方根值(Vrms)、电流均方根值(Arms)、实功率(P)、视在功率(S)、虚功率(Q)、峰值因素(CF)、功率因素(PF)、电压总谐波失真率(THDv)及正负峰值电流(±</w:t>
            </w:r>
            <w:r>
              <w:rPr>
                <w:rFonts w:hint="eastAsia" w:ascii="宋体" w:hAnsi="宋体" w:cs="宋体"/>
                <w:i/>
                <w:szCs w:val="21"/>
              </w:rPr>
              <w:t>I</w:t>
            </w:r>
            <w:r>
              <w:rPr>
                <w:rFonts w:hint="eastAsia" w:ascii="宋体" w:hAnsi="宋体" w:cs="宋体"/>
                <w:szCs w:val="21"/>
                <w:vertAlign w:val="subscript"/>
              </w:rPr>
              <w:t>peak</w:t>
            </w:r>
            <w:r>
              <w:rPr>
                <w:rFonts w:hint="eastAsia" w:ascii="宋体" w:hAnsi="宋体" w:cs="宋体"/>
                <w:szCs w:val="21"/>
              </w:rPr>
              <w:t>)。</w:t>
            </w:r>
          </w:p>
          <w:p>
            <w:pPr>
              <w:spacing w:line="360" w:lineRule="auto"/>
              <w:jc w:val="left"/>
              <w:rPr>
                <w:rFonts w:ascii="宋体" w:hAnsi="宋体" w:cs="宋体"/>
                <w:szCs w:val="21"/>
              </w:rPr>
            </w:pPr>
            <w:r>
              <w:rPr>
                <w:rFonts w:hint="eastAsia" w:ascii="宋体" w:hAnsi="宋体" w:cs="宋体"/>
                <w:szCs w:val="21"/>
              </w:rPr>
              <w:t>3) 此外还应具有时间量测功能、自动频宽调整功能，可提供多台并联、三相与并联三相的功能，以便进行更大功率或三相流流电源的测试应用。</w:t>
            </w:r>
          </w:p>
          <w:p>
            <w:pPr>
              <w:spacing w:line="360" w:lineRule="auto"/>
              <w:rPr>
                <w:rFonts w:ascii="宋体" w:hAnsi="宋体" w:cs="宋体"/>
                <w:szCs w:val="21"/>
              </w:rPr>
            </w:pPr>
            <w:r>
              <w:rPr>
                <w:rFonts w:hint="eastAsia" w:ascii="宋体" w:hAnsi="宋体" w:cs="宋体"/>
                <w:szCs w:val="21"/>
              </w:rPr>
              <w:t>二、技术参数/指标</w:t>
            </w:r>
          </w:p>
          <w:p>
            <w:pPr>
              <w:spacing w:line="360" w:lineRule="auto"/>
              <w:rPr>
                <w:rFonts w:ascii="宋体" w:hAnsi="宋体" w:cs="宋体"/>
                <w:szCs w:val="21"/>
                <w:shd w:val="clear" w:color="auto" w:fill="FFFFFF"/>
              </w:rPr>
            </w:pPr>
            <w:r>
              <w:rPr>
                <w:rFonts w:hint="eastAsia" w:ascii="宋体" w:hAnsi="宋体" w:cs="宋体"/>
                <w:szCs w:val="21"/>
              </w:rPr>
              <w:t>★1、</w:t>
            </w:r>
            <w:r>
              <w:rPr>
                <w:rFonts w:hint="eastAsia" w:ascii="宋体" w:hAnsi="宋体" w:cs="宋体"/>
                <w:szCs w:val="21"/>
                <w:shd w:val="clear" w:color="auto" w:fill="FFFFFF"/>
              </w:rPr>
              <w:t>功率范围：3600W；电压范围：50V ~ 350Vrms；电流范围：高达 36Arms； 峰值电流：不小于108A；频率范围：45 ~ 440Hz, DC；峰值因素范围：1.414 ~ 5.0；功率因素范围：0~1 超前或落后(整流模式)</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shd w:val="clear" w:color="auto" w:fill="FFFFFF"/>
              </w:rPr>
              <w:t>直流负载模式应包括：定电流、定电阻、定电压、定功率；交流负载模式应包括：一般负载模式与整流性负载模式。</w:t>
            </w:r>
          </w:p>
          <w:p>
            <w:pPr>
              <w:spacing w:line="360" w:lineRule="auto"/>
              <w:rPr>
                <w:rFonts w:ascii="宋体" w:hAnsi="宋体" w:cs="宋体"/>
                <w:szCs w:val="21"/>
                <w:shd w:val="clear" w:color="auto" w:fill="FFFFFF"/>
              </w:rPr>
            </w:pPr>
            <w:r>
              <w:rPr>
                <w:rFonts w:hint="eastAsia" w:ascii="宋体" w:hAnsi="宋体" w:cs="宋体"/>
                <w:szCs w:val="21"/>
              </w:rPr>
              <w:t>★3、量测参量就包括：</w:t>
            </w:r>
            <w:r>
              <w:rPr>
                <w:rFonts w:hint="eastAsia" w:ascii="宋体" w:hAnsi="宋体" w:cs="宋体"/>
                <w:szCs w:val="21"/>
                <w:shd w:val="clear" w:color="auto" w:fill="FFFFFF"/>
              </w:rPr>
              <w:t>V, I, PF, CF, P, Q, S, F, R Ip+/- and THDv，同时应具有时间量测功能，可应用于电池、UPS、保险丝和断路器等测试。应具有模拟电压和电流监控功能。</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shd w:val="clear" w:color="auto" w:fill="FFFFFF"/>
              </w:rPr>
              <w:t>应具备GPIB 及 RS-232 控制接口；保护功能应具备过功率、过电流、过电压与过温度保护功能。</w:t>
            </w:r>
          </w:p>
          <w:p>
            <w:pPr>
              <w:spacing w:line="360" w:lineRule="auto"/>
              <w:rPr>
                <w:rFonts w:ascii="宋体" w:hAnsi="宋体" w:cs="宋体"/>
                <w:szCs w:val="21"/>
              </w:rPr>
            </w:pPr>
            <w:r>
              <w:rPr>
                <w:rFonts w:hint="eastAsia" w:ascii="宋体" w:hAnsi="宋体" w:cs="宋体"/>
                <w:szCs w:val="21"/>
              </w:rPr>
              <w:t>★5、主机质保至少一年及以上</w:t>
            </w:r>
          </w:p>
        </w:tc>
        <w:tc>
          <w:tcPr>
            <w:tcW w:w="204"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07"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1216" w:type="pct"/>
            <w:noWrap/>
            <w:vAlign w:val="center"/>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本设备拟采购进口设备，投标报价包括除报价要求相关内容外，还应包括进口设备代理费等费用；报价时，请按教育科研机构进口免税价进行报价。</w:t>
            </w:r>
          </w:p>
        </w:tc>
      </w:tr>
    </w:tbl>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要求其唯一性，供应商可提供同等质量标准或更高标准产品，并提供相应技术参数证明其符合采购需求或优于采购需求，否则视其为不满足采购需求。</w:t>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5" w:name="_Toc5615"/>
      <w:r>
        <w:rPr>
          <w:rFonts w:hint="eastAsia" w:asciiTheme="minorEastAsia" w:hAnsiTheme="minorEastAsia" w:eastAsiaTheme="minorEastAsia" w:cstheme="minorEastAsia"/>
          <w:b/>
          <w:bCs/>
          <w:sz w:val="24"/>
        </w:rPr>
        <w:t>二、商务需求</w:t>
      </w:r>
      <w:bookmarkEnd w:id="105"/>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1.2若非采购人原因，成交供应商逾期交付安装的，成交供应商向采购人支付逾期交付安装违约金，逾期交付安装违约金为每天1000.00元人民币，但其最终累计金额不超过合同价款的10%。</w:t>
      </w:r>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1.3因成交供应商原因产品质量达不到约定的质量标准，成交供应商应负责退换，使其达到合同约定的质量标准，并由成交供应商向采购人支付合同价款10%的违约金。</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2、产品质量要求：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2.1满足执行的国家相关标准、行业标准、地方标准或其他标准，规范；</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2.2所有产品是否满足磋商文件的要求及响应文件的承诺；</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2.3供应商须提供设备的相应参数和技术支持材料，不得完全照搬磋商文件技术参数要求内容或标示无偏离或者符合等。</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2.4本次采购项目的质量必须完全满足中华人民共和国国家质量标准及现行规范要求，供应商应根据企业实际能力在响应文件中对项目质量予以承诺，中标后在合同中加以确认。</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2.5如有在本磋商文件中未说明的设备运行所必须的其他辅助设备及软件系统，请在响应文件中提供详细说明及相关报价。</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2.6供应商在招标及中标后，发生侵犯专利权的行为时，其侵权责任与招标人无关，应由中标人承担相应的责任，并不得影响招标人的利益。</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2.7所投产品可与符合行业标准的其他任何品牌产品无缝集成，协同工作，且其技术指标不会因此而受到影响。供应商需要对此给予明确的承诺，如有不符合的情况，则需提供详细说明。</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2.8完成本项目的培训工作。</w:t>
      </w:r>
      <w:r>
        <w:rPr>
          <w:rFonts w:hint="eastAsia" w:ascii="宋体" w:hAnsi="宋体" w:cs="宋体"/>
          <w:szCs w:val="21"/>
        </w:rPr>
        <w:br w:type="textWrapping"/>
      </w:r>
      <w:r>
        <w:rPr>
          <w:rFonts w:hint="eastAsia" w:ascii="宋体" w:hAnsi="宋体" w:cs="宋体"/>
          <w:szCs w:val="21"/>
        </w:rPr>
        <w:t>3、产品进场安装、调试及验收：安装、校准和初始试运行在到货 15 日内由卖方到用户处进行安装调试，并对设备使用者 2-5 人进行设备操作和维护进行培训，使被培训人员达到能够熟练使用。累计培训时间不少于 5 个工作日，培训费用由卖方承担。最终的验收在用户所在地进行，内容包括：各项参数及性能检验、设备精度检测等。</w:t>
      </w:r>
      <w:r>
        <w:rPr>
          <w:rFonts w:hint="eastAsia" w:ascii="宋体" w:hAnsi="宋体" w:cs="宋体"/>
          <w:szCs w:val="21"/>
        </w:rPr>
        <w:br w:type="textWrapping"/>
      </w:r>
      <w:r>
        <w:rPr>
          <w:rFonts w:hint="eastAsia" w:ascii="宋体" w:hAnsi="宋体" w:cs="宋体"/>
          <w:szCs w:val="21"/>
        </w:rPr>
        <w:t>4、技术及售后服务要求：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4.1 合同生效后，设备制造商（或代理商）对安装设备的实验室工作条件应提出具体要求，并在安装前予以确认（免费）。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4.2 提供的产品为原装正品，相关的配套附件质量优良，数量齐全。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4.3 设备到货后现场开箱，厂家工程师必须在场，并确认货物。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4.4 设备到达用户指定交货地点后，根据买方的时间安排，制造商（或代理商）在接到 用户通知后 2 周内进行安装调试，直至通过验收。安装过程中所发生的费用均由制造商（或代理商）承担。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4.5 设备安装调试合格后，制造商（或代理商）负责对用户技术人员（至少2人）进行免费现场第一阶段培训，培训内容包括设备的性能、原理、操作技术、数据处理、软件的使用和结果分析、设备的保养和维护等；使用户技术人员能够熟练掌握操作和维护技术，能较为熟练地调整实验方法和及时处理各种故障。</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 4.6 高级应用培训：设备运行一段时间后，根据用户的时间要求进行第二阶段培训，主 要针对设备使用中遇到的问题及复杂的高级应用技术，时间不少于 2 天，免费提供国内每年一次集中培训和交流。</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4.7 设备验收合格后，制造商（或代理商）提供质保期，质保期从双方签署验收报告之日起计算。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4.8 设备制造商（或代理商）在国内有维修中心，有专职维修工程师和备品备件库。在用户提出维修要求后，制造商（或代理商）应在4工作小时内对用户的服务要求做出响应； 需要在现场解决问题的，应在2个工作日内到达用户现场维修，一般故障应在两日内修复，重大故障或其他无法迅速解决的问题需在一周内解决或提出明确解决方案。 </w:t>
      </w:r>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 xml:space="preserve">4.9 终身免费提供应用咨询及技术帮助。 </w:t>
      </w:r>
    </w:p>
    <w:p>
      <w:pPr>
        <w:autoSpaceDE w:val="0"/>
        <w:autoSpaceDN w:val="0"/>
        <w:adjustRightInd w:val="0"/>
        <w:spacing w:line="360" w:lineRule="auto"/>
        <w:rPr>
          <w:rFonts w:asciiTheme="minorEastAsia" w:hAnsiTheme="minorEastAsia" w:cstheme="minorEastAsia"/>
          <w:szCs w:val="21"/>
        </w:rPr>
      </w:pPr>
      <w:r>
        <w:rPr>
          <w:rFonts w:hint="eastAsia" w:asciiTheme="minorEastAsia" w:hAnsiTheme="minorEastAsia" w:eastAsiaTheme="minorEastAsia" w:cstheme="minorEastAsia"/>
          <w:szCs w:val="21"/>
        </w:rPr>
        <w:t>5、交货地点：</w:t>
      </w:r>
      <w:r>
        <w:rPr>
          <w:rFonts w:hint="eastAsia" w:ascii="宋体" w:hAnsi="宋体" w:cs="宋体"/>
          <w:szCs w:val="21"/>
        </w:rPr>
        <w:t>湖北工业大学校内，采购人指定地点。</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6、履约保证金：合同金额的5%；签订合同前5个工作日递交，以支票、汇票、本票或者金融机构、担保机构出具的保函等非现金形式提交。</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付款方式：本项目无预付款，成交供应商按时提供设备并安装完毕、校方验收合格后，全额支付给成交供应商本合同约定的设备款，履约保证金自动转为质保金，质保期满后一次性（无息）返还给乙方。同时，乙方须开具甲方财务部门认可的增值税发票。</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8、</w:t>
      </w:r>
      <w:r>
        <w:rPr>
          <w:rFonts w:hint="eastAsia" w:ascii="宋体" w:hAnsi="宋体" w:cs="宋体"/>
          <w:szCs w:val="21"/>
        </w:rPr>
        <w:t>特殊约定：其他未尽事宜由成交供应商和采购人按合同进行约定。</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rPr>
          <w:rFonts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rPr>
        <w:br w:type="textWrapping"/>
      </w:r>
      <w:r>
        <w:rPr>
          <w:rFonts w:hint="eastAsia" w:asciiTheme="minorEastAsia" w:hAnsiTheme="minorEastAsia" w:eastAsiaTheme="minorEastAsia" w:cstheme="minorEastAsia"/>
          <w:b/>
          <w:bCs/>
          <w:color w:val="FF0000"/>
          <w:szCs w:val="21"/>
        </w:rPr>
        <w:br w:type="textWrapping"/>
      </w:r>
      <w:r>
        <w:rPr>
          <w:rFonts w:hint="eastAsia" w:asciiTheme="minorEastAsia" w:hAnsiTheme="minorEastAsia" w:eastAsiaTheme="minorEastAsia" w:cstheme="minorEastAsia"/>
          <w:b/>
          <w:bCs/>
          <w:color w:val="FF0000"/>
          <w:szCs w:val="21"/>
        </w:rPr>
        <w:br w:type="textWrapping"/>
      </w:r>
    </w:p>
    <w:p/>
    <w:p>
      <w:r>
        <w:rPr>
          <w:rFonts w:hint="eastAsia" w:asciiTheme="minorEastAsia" w:hAnsiTheme="minorEastAsia" w:eastAsiaTheme="minorEastAsia" w:cstheme="minorEastAsia"/>
          <w:b/>
          <w:bCs/>
          <w:szCs w:val="21"/>
        </w:rPr>
        <w:br w:type="page"/>
      </w:r>
    </w:p>
    <w:p>
      <w:pPr>
        <w:pStyle w:val="3"/>
        <w:numPr>
          <w:ilvl w:val="0"/>
          <w:numId w:val="4"/>
        </w:numPr>
        <w:jc w:val="center"/>
        <w:rPr>
          <w:rFonts w:asciiTheme="minorEastAsia" w:hAnsiTheme="minorEastAsia" w:eastAsiaTheme="minorEastAsia" w:cstheme="minorEastAsia"/>
          <w:szCs w:val="21"/>
        </w:rPr>
      </w:pPr>
      <w:bookmarkStart w:id="106" w:name="_Toc27383"/>
      <w:r>
        <w:rPr>
          <w:rFonts w:hint="eastAsia" w:asciiTheme="minorEastAsia" w:hAnsiTheme="minorEastAsia" w:eastAsiaTheme="minorEastAsia" w:cstheme="minorEastAsia"/>
          <w:sz w:val="36"/>
          <w:szCs w:val="36"/>
        </w:rPr>
        <w:t>竞争性磋商采购评定办法</w:t>
      </w:r>
      <w:bookmarkEnd w:id="106"/>
    </w:p>
    <w:p>
      <w:pPr>
        <w:spacing w:line="360" w:lineRule="auto"/>
        <w:outlineLvl w:val="1"/>
        <w:rPr>
          <w:rFonts w:asciiTheme="minorEastAsia" w:hAnsiTheme="minorEastAsia" w:eastAsiaTheme="minorEastAsia" w:cstheme="minorEastAsia"/>
          <w:b/>
          <w:szCs w:val="21"/>
        </w:rPr>
      </w:pPr>
      <w:bookmarkStart w:id="107" w:name="_Toc31831"/>
      <w:r>
        <w:rPr>
          <w:rFonts w:hint="eastAsia" w:asciiTheme="minorEastAsia" w:hAnsiTheme="minorEastAsia" w:eastAsiaTheme="minorEastAsia" w:cstheme="minorEastAsia"/>
          <w:b/>
          <w:szCs w:val="21"/>
        </w:rPr>
        <w:t>一、评定办法前附表</w:t>
      </w:r>
      <w:bookmarkEnd w:id="107"/>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w:t>
            </w:r>
          </w:p>
        </w:tc>
        <w:tc>
          <w:tcPr>
            <w:tcW w:w="3101" w:type="dxa"/>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相同品牌处理原则（本项目不适用）</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小型：营业收入从业人员资产总额</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微型：营业收入从业人员资产总额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8" w:name="_Toc28415"/>
      <w:r>
        <w:rPr>
          <w:rFonts w:hint="eastAsia" w:asciiTheme="minorEastAsia" w:hAnsiTheme="minorEastAsia" w:eastAsiaTheme="minorEastAsia" w:cstheme="minorEastAsia"/>
          <w:b/>
          <w:szCs w:val="21"/>
        </w:rPr>
        <w:t>二、计算办法</w:t>
      </w:r>
      <w:bookmarkEnd w:id="108"/>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p>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09" w:name="_Toc23072"/>
      <w:r>
        <w:rPr>
          <w:rFonts w:hint="eastAsia" w:asciiTheme="minorEastAsia" w:hAnsiTheme="minorEastAsia" w:eastAsiaTheme="minorEastAsia" w:cstheme="minorEastAsia"/>
          <w:b/>
          <w:szCs w:val="21"/>
        </w:rPr>
        <w:t>三、评分细则</w:t>
      </w:r>
      <w:bookmarkEnd w:id="109"/>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376"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6512"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66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竞标报价</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lang w:val="en-US" w:eastAsia="zh-CN"/>
              </w:rPr>
              <w:t>50</w:t>
            </w:r>
            <w:r>
              <w:rPr>
                <w:rFonts w:hint="eastAsia" w:asciiTheme="minorEastAsia" w:hAnsiTheme="minorEastAsia" w:eastAsiaTheme="minorEastAsia" w:cstheme="minorEastAsia"/>
                <w:kern w:val="0"/>
                <w:szCs w:val="21"/>
              </w:rPr>
              <w:t>分</w:t>
            </w:r>
          </w:p>
        </w:tc>
        <w:tc>
          <w:tcPr>
            <w:tcW w:w="1376"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最后报价</w:t>
            </w:r>
          </w:p>
        </w:tc>
        <w:tc>
          <w:tcPr>
            <w:tcW w:w="6512" w:type="dxa"/>
            <w:vAlign w:val="center"/>
          </w:tcPr>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1、报价采用低价优先法计算，即满足磋商采购文件要求且报价最低的报价为磋商基准价，其报价分为满分</w:t>
            </w:r>
            <w:r>
              <w:rPr>
                <w:rFonts w:hint="eastAsia" w:asciiTheme="minorEastAsia" w:hAnsiTheme="minorEastAsia" w:eastAsiaTheme="minorEastAsia" w:cstheme="minorEastAsia"/>
                <w:lang w:val="en-US" w:eastAsia="zh-CN"/>
              </w:rPr>
              <w:t>50</w:t>
            </w:r>
            <w:r>
              <w:rPr>
                <w:rFonts w:hint="eastAsia" w:asciiTheme="minorEastAsia" w:hAnsiTheme="minorEastAsia" w:eastAsiaTheme="minorEastAsia" w:cstheme="minorEastAsia"/>
              </w:rPr>
              <w:t>分；</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2、其他供应商的报价分按照下列公式计算：</w:t>
            </w:r>
          </w:p>
          <w:p>
            <w:pPr>
              <w:widowControl/>
              <w:spacing w:line="260" w:lineRule="exact"/>
              <w:jc w:val="left"/>
              <w:textAlignment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报价分=（磋商基准价/磋商报价）×</w:t>
            </w:r>
            <w:r>
              <w:rPr>
                <w:rFonts w:hint="eastAsia" w:asciiTheme="minorEastAsia" w:hAnsiTheme="minorEastAsia" w:eastAsiaTheme="minorEastAsia" w:cstheme="minorEastAsia"/>
                <w:lang w:val="en-US" w:eastAsia="zh-CN"/>
              </w:rPr>
              <w:t>50</w:t>
            </w:r>
          </w:p>
          <w:p>
            <w:pPr>
              <w:widowControl/>
              <w:spacing w:line="260" w:lineRule="exact"/>
              <w:jc w:val="left"/>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bCs/>
              </w:rPr>
              <w:t>2、符合本磋商文件第四章“政策支持”条件的，在评审时予以价格扣除，用扣除后的价格参与评审。</w:t>
            </w:r>
          </w:p>
        </w:tc>
        <w:tc>
          <w:tcPr>
            <w:tcW w:w="664" w:type="dxa"/>
            <w:vAlign w:val="center"/>
          </w:tcPr>
          <w:p>
            <w:pPr>
              <w:widowControl/>
              <w:spacing w:line="260" w:lineRule="exact"/>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lang w:val="en-US" w:eastAsia="zh-CN"/>
              </w:rPr>
              <w:t>50</w:t>
            </w:r>
            <w:r>
              <w:rPr>
                <w:rFonts w:hint="eastAsia" w:asciiTheme="minorEastAsia" w:hAnsiTheme="minorEastAsia" w:eastAsiaTheme="minorEastAsia" w:cstheme="minorEastAsia"/>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restart"/>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商务</w:t>
            </w:r>
            <w:r>
              <w:rPr>
                <w:rFonts w:hint="eastAsia" w:asciiTheme="minorEastAsia" w:hAnsiTheme="minorEastAsia" w:eastAsiaTheme="minorEastAsia" w:cstheme="minorEastAsia"/>
                <w:spacing w:val="-6"/>
                <w:szCs w:val="21"/>
                <w:lang w:val="en-US" w:eastAsia="zh-CN"/>
              </w:rPr>
              <w:t>20</w:t>
            </w:r>
            <w:r>
              <w:rPr>
                <w:rFonts w:hint="eastAsia" w:asciiTheme="minorEastAsia" w:hAnsiTheme="minorEastAsia" w:eastAsiaTheme="minorEastAsia" w:cstheme="minorEastAsia"/>
                <w:spacing w:val="-6"/>
                <w:szCs w:val="21"/>
              </w:rPr>
              <w:t>分</w:t>
            </w:r>
          </w:p>
        </w:tc>
        <w:tc>
          <w:tcPr>
            <w:tcW w:w="1376" w:type="dxa"/>
            <w:vAlign w:val="center"/>
          </w:tcPr>
          <w:p>
            <w:pPr>
              <w:jc w:val="center"/>
              <w:rPr>
                <w:rFonts w:ascii="宋体" w:hAnsi="宋体" w:cs="宋体"/>
                <w:szCs w:val="21"/>
              </w:rPr>
            </w:pPr>
            <w:r>
              <w:rPr>
                <w:rFonts w:hint="eastAsia" w:ascii="宋体" w:hAnsi="宋体" w:cs="宋体"/>
                <w:szCs w:val="21"/>
              </w:rPr>
              <w:t>企业信誉</w:t>
            </w:r>
          </w:p>
        </w:tc>
        <w:tc>
          <w:tcPr>
            <w:tcW w:w="6512" w:type="dxa"/>
            <w:vAlign w:val="center"/>
          </w:tcPr>
          <w:p>
            <w:pPr>
              <w:jc w:val="left"/>
              <w:rPr>
                <w:rFonts w:ascii="宋体" w:hAnsi="宋体" w:cs="宋体"/>
                <w:szCs w:val="21"/>
              </w:rPr>
            </w:pPr>
            <w:r>
              <w:rPr>
                <w:rFonts w:hint="eastAsia" w:ascii="宋体" w:hAnsi="宋体" w:cs="宋体"/>
                <w:szCs w:val="21"/>
              </w:rPr>
              <w:t>获得信用管理服务中心信用等级、银行信用等级或第三方服务中心，ＡＡＡ的得 3 分；ＡＡ的得 2 分；Ａ的得 1 分；未提供证书清晰复印件的不得分。</w:t>
            </w:r>
          </w:p>
        </w:tc>
        <w:tc>
          <w:tcPr>
            <w:tcW w:w="664" w:type="dxa"/>
            <w:vAlign w:val="center"/>
          </w:tcPr>
          <w:p>
            <w:pPr>
              <w:jc w:val="center"/>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jc w:val="center"/>
              <w:rPr>
                <w:rFonts w:ascii="宋体" w:hAnsi="宋体" w:cs="宋体"/>
                <w:spacing w:val="-6"/>
                <w:kern w:val="0"/>
                <w:szCs w:val="21"/>
              </w:rPr>
            </w:pPr>
            <w:r>
              <w:rPr>
                <w:rFonts w:hint="eastAsia" w:ascii="宋体" w:hAnsi="宋体" w:cs="宋体"/>
                <w:szCs w:val="21"/>
              </w:rPr>
              <w:t>类似业绩</w:t>
            </w:r>
          </w:p>
        </w:tc>
        <w:tc>
          <w:tcPr>
            <w:tcW w:w="6512" w:type="dxa"/>
            <w:vAlign w:val="center"/>
          </w:tcPr>
          <w:p>
            <w:pPr>
              <w:jc w:val="left"/>
              <w:rPr>
                <w:rFonts w:ascii="宋体" w:hAnsi="宋体" w:cs="宋体"/>
                <w:spacing w:val="-6"/>
                <w:szCs w:val="21"/>
              </w:rPr>
            </w:pPr>
            <w:r>
              <w:rPr>
                <w:rFonts w:hint="eastAsia" w:ascii="宋体" w:hAnsi="宋体" w:cs="宋体"/>
                <w:szCs w:val="21"/>
              </w:rPr>
              <w:t>近三年（磋商截止时间往前推算36个月）承担过的类似项目业绩一个得1分，最高得</w:t>
            </w:r>
            <w:r>
              <w:rPr>
                <w:rFonts w:hint="eastAsia" w:ascii="宋体" w:hAnsi="宋体" w:cs="宋体"/>
                <w:szCs w:val="21"/>
                <w:lang w:val="en-US" w:eastAsia="zh-CN"/>
              </w:rPr>
              <w:t>4</w:t>
            </w:r>
            <w:r>
              <w:rPr>
                <w:rFonts w:hint="eastAsia" w:ascii="宋体" w:hAnsi="宋体" w:cs="宋体"/>
                <w:szCs w:val="21"/>
              </w:rPr>
              <w:t>分。（须提供中标通知书(或验收报告）及合同复印件加盖公章）</w:t>
            </w:r>
          </w:p>
        </w:tc>
        <w:tc>
          <w:tcPr>
            <w:tcW w:w="664" w:type="dxa"/>
            <w:vAlign w:val="center"/>
          </w:tcPr>
          <w:p>
            <w:pPr>
              <w:jc w:val="center"/>
              <w:rPr>
                <w:rFonts w:ascii="宋体" w:hAnsi="宋体" w:cs="宋体"/>
                <w:spacing w:val="-6"/>
                <w:szCs w:val="21"/>
              </w:rPr>
            </w:pPr>
            <w:r>
              <w:rPr>
                <w:rFonts w:hint="eastAsia" w:ascii="宋体" w:hAnsi="宋体" w:cs="宋体"/>
                <w:szCs w:val="21"/>
                <w:lang w:val="en-US" w:eastAsia="zh-CN"/>
              </w:rPr>
              <w:t>4</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jc w:val="center"/>
              <w:rPr>
                <w:rFonts w:ascii="宋体" w:hAnsi="宋体" w:cs="宋体"/>
                <w:spacing w:val="-6"/>
                <w:kern w:val="0"/>
                <w:szCs w:val="21"/>
              </w:rPr>
            </w:pPr>
            <w:r>
              <w:rPr>
                <w:rFonts w:hint="eastAsia" w:ascii="宋体" w:hAnsi="宋体" w:cs="宋体"/>
                <w:szCs w:val="21"/>
              </w:rPr>
              <w:t>用户反馈</w:t>
            </w:r>
          </w:p>
        </w:tc>
        <w:tc>
          <w:tcPr>
            <w:tcW w:w="6512" w:type="dxa"/>
            <w:vAlign w:val="center"/>
          </w:tcPr>
          <w:p>
            <w:pPr>
              <w:jc w:val="left"/>
              <w:rPr>
                <w:rFonts w:ascii="宋体" w:hAnsi="宋体" w:cs="宋体"/>
                <w:spacing w:val="-6"/>
                <w:kern w:val="0"/>
                <w:szCs w:val="21"/>
              </w:rPr>
            </w:pPr>
            <w:r>
              <w:rPr>
                <w:rFonts w:hint="eastAsia" w:ascii="宋体" w:hAnsi="宋体" w:cs="宋体"/>
                <w:szCs w:val="21"/>
              </w:rPr>
              <w:t>近3年内（磋商截止时间往前推算36个月）以来业主出具的服务良好评价证明，每提供1个业主单位的评价得1分，最高得</w:t>
            </w:r>
            <w:r>
              <w:rPr>
                <w:rFonts w:hint="eastAsia" w:ascii="宋体" w:hAnsi="宋体" w:cs="宋体"/>
                <w:szCs w:val="21"/>
                <w:lang w:val="en-US" w:eastAsia="zh-CN"/>
              </w:rPr>
              <w:t>4</w:t>
            </w:r>
            <w:r>
              <w:rPr>
                <w:rFonts w:hint="eastAsia" w:ascii="宋体" w:hAnsi="宋体" w:cs="宋体"/>
                <w:szCs w:val="21"/>
              </w:rPr>
              <w:t>分（需提供盖用户单位公章相关证明，未提供不得分）</w:t>
            </w:r>
          </w:p>
        </w:tc>
        <w:tc>
          <w:tcPr>
            <w:tcW w:w="664" w:type="dxa"/>
            <w:vAlign w:val="center"/>
          </w:tcPr>
          <w:p>
            <w:pPr>
              <w:jc w:val="center"/>
              <w:rPr>
                <w:rFonts w:ascii="宋体" w:hAnsi="宋体" w:cs="宋体"/>
                <w:spacing w:val="-6"/>
                <w:kern w:val="0"/>
                <w:szCs w:val="21"/>
              </w:rPr>
            </w:pPr>
            <w:r>
              <w:rPr>
                <w:rFonts w:hint="eastAsia" w:ascii="宋体" w:hAnsi="宋体" w:cs="宋体"/>
                <w:szCs w:val="21"/>
                <w:lang w:val="en-US" w:eastAsia="zh-CN"/>
              </w:rPr>
              <w:t>4</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财务状况</w:t>
            </w:r>
          </w:p>
        </w:tc>
        <w:tc>
          <w:tcPr>
            <w:tcW w:w="6512" w:type="dxa"/>
            <w:tcBorders>
              <w:bottom w:val="single" w:color="auto" w:sz="4" w:space="0"/>
            </w:tcBorders>
            <w:vAlign w:val="center"/>
          </w:tcPr>
          <w:p>
            <w:pPr>
              <w:widowControl/>
              <w:jc w:val="left"/>
              <w:rPr>
                <w:rFonts w:ascii="宋体" w:hAnsi="宋体" w:cs="宋体"/>
                <w:szCs w:val="21"/>
              </w:rPr>
            </w:pPr>
            <w:r>
              <w:rPr>
                <w:rFonts w:hint="eastAsia" w:ascii="宋体" w:hAnsi="宋体" w:cs="宋体"/>
                <w:szCs w:val="21"/>
              </w:rPr>
              <w:t>根据供应商提供的近三年（2017、2018、2019）财务报告，对其经营状况、财务状况相互比较：</w:t>
            </w:r>
          </w:p>
          <w:p>
            <w:pPr>
              <w:widowControl/>
              <w:jc w:val="left"/>
              <w:rPr>
                <w:rFonts w:ascii="宋体" w:hAnsi="宋体" w:cs="宋体"/>
                <w:szCs w:val="21"/>
              </w:rPr>
            </w:pPr>
            <w:r>
              <w:rPr>
                <w:rFonts w:hint="eastAsia" w:ascii="宋体" w:hAnsi="宋体" w:cs="宋体"/>
                <w:szCs w:val="21"/>
              </w:rPr>
              <w:t>连续盈利，偿债能力、盈利能力和抗风险能力强的，得</w:t>
            </w:r>
            <w:r>
              <w:rPr>
                <w:rFonts w:hint="eastAsia" w:ascii="宋体" w:hAnsi="宋体" w:cs="宋体"/>
                <w:szCs w:val="21"/>
                <w:lang w:val="en-US" w:eastAsia="zh-CN"/>
              </w:rPr>
              <w:t>3</w:t>
            </w:r>
            <w:r>
              <w:rPr>
                <w:rFonts w:hint="eastAsia" w:ascii="宋体" w:hAnsi="宋体" w:cs="宋体"/>
                <w:szCs w:val="21"/>
              </w:rPr>
              <w:t>分；</w:t>
            </w:r>
          </w:p>
          <w:p>
            <w:pPr>
              <w:widowControl/>
              <w:jc w:val="left"/>
              <w:rPr>
                <w:rFonts w:ascii="宋体" w:hAnsi="宋体" w:cs="宋体"/>
                <w:szCs w:val="21"/>
              </w:rPr>
            </w:pPr>
            <w:r>
              <w:rPr>
                <w:rFonts w:hint="eastAsia" w:ascii="宋体" w:hAnsi="宋体" w:cs="宋体"/>
                <w:szCs w:val="21"/>
              </w:rPr>
              <w:t>盈利情况一般，偿债能力和抗风险能力较弱的，得</w:t>
            </w:r>
            <w:r>
              <w:rPr>
                <w:rFonts w:hint="eastAsia" w:ascii="宋体" w:hAnsi="宋体" w:cs="宋体"/>
                <w:szCs w:val="21"/>
                <w:lang w:val="en-US" w:eastAsia="zh-CN"/>
              </w:rPr>
              <w:t>2</w:t>
            </w:r>
            <w:r>
              <w:rPr>
                <w:rFonts w:hint="eastAsia" w:ascii="宋体" w:hAnsi="宋体" w:cs="宋体"/>
                <w:szCs w:val="21"/>
              </w:rPr>
              <w:t>分；</w:t>
            </w:r>
          </w:p>
          <w:p>
            <w:pPr>
              <w:widowControl/>
              <w:jc w:val="left"/>
              <w:rPr>
                <w:rFonts w:ascii="宋体" w:hAnsi="宋体" w:cs="宋体"/>
                <w:szCs w:val="21"/>
              </w:rPr>
            </w:pPr>
            <w:r>
              <w:rPr>
                <w:rFonts w:hint="eastAsia" w:ascii="宋体" w:hAnsi="宋体" w:cs="宋体"/>
                <w:szCs w:val="21"/>
              </w:rPr>
              <w:t>无盈利，偿债能力和抗风险能力差的，得</w:t>
            </w:r>
            <w:r>
              <w:rPr>
                <w:rFonts w:hint="eastAsia" w:ascii="宋体" w:hAnsi="宋体" w:cs="宋体"/>
                <w:szCs w:val="21"/>
                <w:lang w:val="en-US" w:eastAsia="zh-CN"/>
              </w:rPr>
              <w:t>1</w:t>
            </w:r>
            <w:r>
              <w:rPr>
                <w:rFonts w:hint="eastAsia" w:ascii="宋体" w:hAnsi="宋体" w:cs="宋体"/>
                <w:szCs w:val="21"/>
              </w:rPr>
              <w:t>分；</w:t>
            </w:r>
          </w:p>
          <w:p>
            <w:pPr>
              <w:widowControl/>
              <w:jc w:val="left"/>
              <w:rPr>
                <w:rFonts w:ascii="宋体" w:hAnsi="宋体" w:cs="宋体"/>
                <w:szCs w:val="21"/>
              </w:rPr>
            </w:pPr>
            <w:r>
              <w:rPr>
                <w:rFonts w:hint="eastAsia" w:ascii="宋体" w:hAnsi="宋体" w:cs="宋体"/>
                <w:szCs w:val="21"/>
              </w:rPr>
              <w:t>（成立不足三年的按公司成立时间起算）</w:t>
            </w:r>
          </w:p>
        </w:tc>
        <w:tc>
          <w:tcPr>
            <w:tcW w:w="664" w:type="dxa"/>
            <w:tcBorders>
              <w:bottom w:val="single" w:color="auto" w:sz="4" w:space="0"/>
            </w:tcBorders>
            <w:vAlign w:val="center"/>
          </w:tcPr>
          <w:p>
            <w:pPr>
              <w:widowControl/>
              <w:jc w:val="center"/>
              <w:rPr>
                <w:rFonts w:ascii="宋体" w:hAnsi="宋体" w:cs="宋体"/>
                <w:szCs w:val="21"/>
              </w:rPr>
            </w:pPr>
            <w:r>
              <w:rPr>
                <w:rFonts w:hint="eastAsia" w:ascii="宋体" w:hAnsi="宋体" w:cs="宋体"/>
                <w:spacing w:val="-10"/>
                <w:kern w:val="0"/>
                <w:szCs w:val="21"/>
                <w:lang w:val="en-US" w:eastAsia="zh-CN"/>
              </w:rPr>
              <w:t>3</w:t>
            </w:r>
            <w:r>
              <w:rPr>
                <w:rFonts w:hint="eastAsia" w:ascii="宋体" w:hAnsi="宋体" w:cs="宋体"/>
                <w:spacing w:val="-1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Merge w:val="restart"/>
            <w:tcBorders>
              <w:top w:val="single" w:color="auto" w:sz="4" w:space="0"/>
            </w:tcBorders>
            <w:vAlign w:val="center"/>
          </w:tcPr>
          <w:p>
            <w:pPr>
              <w:jc w:val="center"/>
              <w:rPr>
                <w:rFonts w:ascii="宋体" w:hAnsi="宋体" w:cs="宋体"/>
                <w:spacing w:val="-6"/>
                <w:kern w:val="0"/>
                <w:szCs w:val="21"/>
              </w:rPr>
            </w:pPr>
            <w:r>
              <w:rPr>
                <w:rFonts w:hint="eastAsia" w:ascii="宋体" w:hAnsi="宋体" w:cs="宋体"/>
                <w:spacing w:val="-6"/>
                <w:kern w:val="0"/>
                <w:szCs w:val="21"/>
              </w:rPr>
              <w:t>认证证书</w:t>
            </w:r>
          </w:p>
          <w:p>
            <w:pPr>
              <w:rPr>
                <w:rFonts w:asciiTheme="minorEastAsia" w:hAnsiTheme="minorEastAsia" w:eastAsiaTheme="minorEastAsia" w:cstheme="minorEastAsia"/>
                <w:spacing w:val="-6"/>
                <w:kern w:val="0"/>
                <w:szCs w:val="21"/>
              </w:rPr>
            </w:pPr>
          </w:p>
        </w:tc>
        <w:tc>
          <w:tcPr>
            <w:tcW w:w="6512" w:type="dxa"/>
            <w:tcBorders>
              <w:top w:val="single" w:color="auto" w:sz="4" w:space="0"/>
            </w:tcBorders>
            <w:vAlign w:val="center"/>
          </w:tcPr>
          <w:p>
            <w:pPr>
              <w:widowControl/>
              <w:jc w:val="left"/>
              <w:textAlignment w:val="center"/>
              <w:rPr>
                <w:rFonts w:ascii="宋体" w:hAnsi="宋体" w:cs="宋体"/>
              </w:rPr>
            </w:pPr>
            <w:r>
              <w:rPr>
                <w:rFonts w:hint="eastAsia" w:ascii="宋体" w:hAnsi="宋体" w:cs="宋体"/>
                <w:szCs w:val="21"/>
              </w:rPr>
              <w:t>供应商提供ISO9001质量管理体系认证证书得1分；没有不得分；</w:t>
            </w:r>
          </w:p>
        </w:tc>
        <w:tc>
          <w:tcPr>
            <w:tcW w:w="664" w:type="dxa"/>
            <w:tcBorders>
              <w:top w:val="single" w:color="auto" w:sz="4" w:space="0"/>
            </w:tcBorders>
            <w:vAlign w:val="center"/>
          </w:tcPr>
          <w:p>
            <w:pPr>
              <w:widowControl/>
              <w:jc w:val="center"/>
              <w:textAlignment w:val="center"/>
              <w:rPr>
                <w:rFonts w:ascii="宋体" w:hAnsi="宋体" w:cs="宋体"/>
                <w:szCs w:val="21"/>
              </w:rPr>
            </w:pPr>
            <w:r>
              <w:rPr>
                <w:rFonts w:hint="eastAsia" w:ascii="宋体" w:hAnsi="宋体" w:cs="宋体"/>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trPr>
        <w:tc>
          <w:tcPr>
            <w:tcW w:w="736" w:type="dxa"/>
            <w:vMerge w:val="continue"/>
            <w:vAlign w:val="center"/>
          </w:tcPr>
          <w:p>
            <w:pPr>
              <w:autoSpaceDE w:val="0"/>
              <w:autoSpaceDN w:val="0"/>
              <w:adjustRightInd w:val="0"/>
              <w:ind w:right="71" w:rightChars="34"/>
            </w:pPr>
          </w:p>
        </w:tc>
        <w:tc>
          <w:tcPr>
            <w:tcW w:w="1376" w:type="dxa"/>
            <w:vMerge w:val="continue"/>
            <w:vAlign w:val="center"/>
          </w:tcPr>
          <w:p>
            <w:pPr>
              <w:autoSpaceDE w:val="0"/>
              <w:autoSpaceDN w:val="0"/>
              <w:adjustRightInd w:val="0"/>
              <w:ind w:right="71" w:rightChars="34"/>
            </w:pPr>
          </w:p>
        </w:tc>
        <w:tc>
          <w:tcPr>
            <w:tcW w:w="6512" w:type="dxa"/>
            <w:tcBorders>
              <w:top w:val="single" w:color="auto" w:sz="4" w:space="0"/>
            </w:tcBorders>
            <w:vAlign w:val="center"/>
          </w:tcPr>
          <w:p>
            <w:pPr>
              <w:widowControl/>
              <w:jc w:val="left"/>
              <w:textAlignment w:val="center"/>
              <w:rPr>
                <w:rFonts w:ascii="宋体" w:hAnsi="宋体" w:cs="宋体"/>
                <w:szCs w:val="21"/>
              </w:rPr>
            </w:pPr>
            <w:r>
              <w:rPr>
                <w:rFonts w:hint="eastAsia" w:ascii="宋体" w:hAnsi="宋体" w:cs="宋体"/>
                <w:szCs w:val="21"/>
              </w:rPr>
              <w:t>供应商提供ISO14001环境管理体系认证证书得1分；没有不得分；</w:t>
            </w:r>
          </w:p>
        </w:tc>
        <w:tc>
          <w:tcPr>
            <w:tcW w:w="664" w:type="dxa"/>
            <w:vAlign w:val="center"/>
          </w:tcPr>
          <w:p>
            <w:pPr>
              <w:widowControl/>
              <w:jc w:val="center"/>
              <w:textAlignment w:val="center"/>
              <w:rPr>
                <w:rFonts w:ascii="宋体" w:hAnsi="宋体" w:cs="宋体"/>
                <w:szCs w:val="21"/>
              </w:rPr>
            </w:pPr>
            <w:r>
              <w:rPr>
                <w:rFonts w:hint="eastAsia" w:ascii="宋体" w:hAnsi="宋体" w:cs="宋体"/>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trPr>
        <w:tc>
          <w:tcPr>
            <w:tcW w:w="736" w:type="dxa"/>
            <w:vMerge w:val="continue"/>
            <w:vAlign w:val="center"/>
          </w:tcPr>
          <w:p>
            <w:pPr>
              <w:autoSpaceDE w:val="0"/>
              <w:autoSpaceDN w:val="0"/>
              <w:adjustRightInd w:val="0"/>
              <w:ind w:right="71" w:rightChars="34"/>
              <w:rPr>
                <w:rFonts w:asciiTheme="minorEastAsia" w:hAnsiTheme="minorEastAsia" w:eastAsiaTheme="minorEastAsia" w:cstheme="minorEastAsia"/>
                <w:spacing w:val="-6"/>
                <w:kern w:val="0"/>
                <w:szCs w:val="21"/>
              </w:rPr>
            </w:pPr>
          </w:p>
        </w:tc>
        <w:tc>
          <w:tcPr>
            <w:tcW w:w="1376" w:type="dxa"/>
            <w:vMerge w:val="continue"/>
            <w:vAlign w:val="center"/>
          </w:tcPr>
          <w:p>
            <w:pPr>
              <w:autoSpaceDE w:val="0"/>
              <w:autoSpaceDN w:val="0"/>
              <w:adjustRightInd w:val="0"/>
              <w:ind w:right="71" w:rightChars="34"/>
              <w:rPr>
                <w:rFonts w:asciiTheme="minorEastAsia" w:hAnsiTheme="minorEastAsia" w:eastAsiaTheme="minorEastAsia" w:cstheme="minorEastAsia"/>
                <w:spacing w:val="-6"/>
                <w:kern w:val="0"/>
                <w:szCs w:val="21"/>
              </w:rPr>
            </w:pPr>
          </w:p>
        </w:tc>
        <w:tc>
          <w:tcPr>
            <w:tcW w:w="6512" w:type="dxa"/>
            <w:tcBorders>
              <w:top w:val="single" w:color="auto" w:sz="4" w:space="0"/>
            </w:tcBorders>
            <w:vAlign w:val="center"/>
          </w:tcPr>
          <w:p>
            <w:pPr>
              <w:widowControl/>
              <w:jc w:val="left"/>
              <w:rPr>
                <w:rFonts w:ascii="宋体" w:hAnsi="宋体" w:cs="宋体"/>
                <w:szCs w:val="21"/>
              </w:rPr>
            </w:pPr>
            <w:r>
              <w:rPr>
                <w:rFonts w:hint="eastAsia" w:ascii="宋体" w:hAnsi="宋体" w:cs="宋体"/>
                <w:szCs w:val="21"/>
              </w:rPr>
              <w:t>供应商提供ISO45001职业健康安全管理体系认证证书得1分；没有不得分；</w:t>
            </w:r>
          </w:p>
        </w:tc>
        <w:tc>
          <w:tcPr>
            <w:tcW w:w="664" w:type="dxa"/>
            <w:vAlign w:val="center"/>
          </w:tcPr>
          <w:p>
            <w:pPr>
              <w:widowControl/>
              <w:jc w:val="center"/>
              <w:textAlignment w:val="center"/>
              <w:rPr>
                <w:rFonts w:ascii="宋体" w:hAnsi="宋体" w:cs="宋体"/>
                <w:szCs w:val="21"/>
              </w:rPr>
            </w:pPr>
            <w:r>
              <w:rPr>
                <w:rFonts w:hint="eastAsia" w:ascii="宋体" w:hAnsi="宋体" w:cs="宋体"/>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trPr>
        <w:tc>
          <w:tcPr>
            <w:tcW w:w="736" w:type="dxa"/>
            <w:vMerge w:val="continue"/>
            <w:vAlign w:val="center"/>
          </w:tcPr>
          <w:p>
            <w:pPr>
              <w:autoSpaceDE w:val="0"/>
              <w:autoSpaceDN w:val="0"/>
              <w:adjustRightInd w:val="0"/>
              <w:ind w:right="71" w:rightChars="34"/>
              <w:rPr>
                <w:rFonts w:asciiTheme="minorEastAsia" w:hAnsiTheme="minorEastAsia" w:eastAsiaTheme="minorEastAsia" w:cstheme="minorEastAsia"/>
                <w:spacing w:val="-6"/>
                <w:kern w:val="0"/>
                <w:szCs w:val="21"/>
              </w:rPr>
            </w:pPr>
          </w:p>
        </w:tc>
        <w:tc>
          <w:tcPr>
            <w:tcW w:w="1376" w:type="dxa"/>
            <w:vAlign w:val="center"/>
          </w:tcPr>
          <w:p>
            <w:pPr>
              <w:widowControl/>
              <w:jc w:val="center"/>
              <w:rPr>
                <w:rFonts w:ascii="宋体" w:hAnsi="宋体" w:cs="宋体"/>
                <w:szCs w:val="21"/>
              </w:rPr>
            </w:pPr>
            <w:r>
              <w:rPr>
                <w:rFonts w:hint="eastAsia" w:ascii="宋体" w:hAnsi="宋体" w:cs="宋体"/>
                <w:szCs w:val="21"/>
              </w:rPr>
              <w:t>人员组成情况</w:t>
            </w:r>
          </w:p>
        </w:tc>
        <w:tc>
          <w:tcPr>
            <w:tcW w:w="6512" w:type="dxa"/>
            <w:tcBorders>
              <w:top w:val="single" w:color="auto" w:sz="4" w:space="0"/>
            </w:tcBorders>
            <w:vAlign w:val="center"/>
          </w:tcPr>
          <w:p>
            <w:pPr>
              <w:autoSpaceDE w:val="0"/>
              <w:autoSpaceDN w:val="0"/>
              <w:adjustRightInd w:val="0"/>
              <w:ind w:right="71" w:rightChars="34"/>
              <w:rPr>
                <w:rFonts w:ascii="宋体" w:hAnsi="宋体" w:cs="宋体"/>
                <w:szCs w:val="21"/>
              </w:rPr>
            </w:pPr>
            <w:r>
              <w:rPr>
                <w:rFonts w:hint="eastAsia" w:ascii="宋体" w:hAnsi="宋体" w:cs="宋体"/>
                <w:szCs w:val="21"/>
              </w:rPr>
              <w:t>根据供应商针对此项目配备专职售后人员综合评议：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人员完备、合理，针对性强，3分；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人员完备、可行，2分；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人员完备、基本可行，1分；</w:t>
            </w:r>
          </w:p>
          <w:p>
            <w:pPr>
              <w:jc w:val="left"/>
              <w:rPr>
                <w:rFonts w:ascii="宋体" w:hAnsi="宋体" w:cs="宋体"/>
                <w:szCs w:val="21"/>
              </w:rPr>
            </w:pPr>
            <w:r>
              <w:rPr>
                <w:rFonts w:hint="eastAsia" w:ascii="宋体" w:hAnsi="宋体" w:cs="宋体"/>
                <w:spacing w:val="-6"/>
                <w:kern w:val="0"/>
                <w:szCs w:val="21"/>
              </w:rPr>
              <w:t>不可行，0分。</w:t>
            </w:r>
          </w:p>
        </w:tc>
        <w:tc>
          <w:tcPr>
            <w:tcW w:w="664" w:type="dxa"/>
            <w:vAlign w:val="center"/>
          </w:tcPr>
          <w:p>
            <w:pPr>
              <w:widowControl/>
              <w:jc w:val="center"/>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技术服务</w:t>
            </w:r>
            <w:r>
              <w:rPr>
                <w:rFonts w:hint="eastAsia" w:asciiTheme="minorEastAsia" w:hAnsiTheme="minorEastAsia" w:eastAsiaTheme="minorEastAsia" w:cstheme="minorEastAsia"/>
                <w:spacing w:val="-6"/>
                <w:szCs w:val="21"/>
                <w:lang w:val="en-US" w:eastAsia="zh-CN"/>
              </w:rPr>
              <w:t>30</w:t>
            </w:r>
            <w:r>
              <w:rPr>
                <w:rFonts w:hint="eastAsia" w:asciiTheme="minorEastAsia" w:hAnsiTheme="minorEastAsia" w:eastAsiaTheme="minorEastAsia" w:cstheme="minorEastAsia"/>
                <w:spacing w:val="-6"/>
                <w:szCs w:val="21"/>
              </w:rPr>
              <w:t>分</w:t>
            </w:r>
          </w:p>
        </w:tc>
        <w:tc>
          <w:tcPr>
            <w:tcW w:w="1376" w:type="dxa"/>
            <w:vAlign w:val="center"/>
          </w:tcPr>
          <w:p>
            <w:pPr>
              <w:rPr>
                <w:rFonts w:asciiTheme="minorEastAsia" w:hAnsiTheme="minorEastAsia" w:eastAsiaTheme="minorEastAsia" w:cstheme="minorEastAsia"/>
                <w:spacing w:val="-6"/>
                <w:szCs w:val="21"/>
              </w:rPr>
            </w:pPr>
            <w:r>
              <w:rPr>
                <w:rFonts w:hint="eastAsia" w:ascii="宋体" w:hAnsi="宋体" w:cs="宋体"/>
                <w:szCs w:val="21"/>
              </w:rPr>
              <w:t>指标偏离</w:t>
            </w:r>
          </w:p>
        </w:tc>
        <w:tc>
          <w:tcPr>
            <w:tcW w:w="6512" w:type="dxa"/>
            <w:vAlign w:val="center"/>
          </w:tcPr>
          <w:p>
            <w:pPr>
              <w:jc w:val="left"/>
              <w:rPr>
                <w:rFonts w:ascii="宋体" w:hAnsi="宋体" w:cs="宋体"/>
                <w:szCs w:val="21"/>
              </w:rPr>
            </w:pPr>
            <w:r>
              <w:rPr>
                <w:rFonts w:hint="eastAsia" w:ascii="宋体" w:hAnsi="宋体" w:cs="宋体"/>
                <w:szCs w:val="21"/>
              </w:rPr>
              <w:t>技术参数响应情况占</w:t>
            </w:r>
            <w:r>
              <w:rPr>
                <w:rFonts w:hint="eastAsia" w:ascii="宋体" w:hAnsi="宋体" w:cs="宋体"/>
                <w:szCs w:val="21"/>
                <w:lang w:val="en-US" w:eastAsia="zh-CN"/>
              </w:rPr>
              <w:t>20</w:t>
            </w:r>
            <w:r>
              <w:rPr>
                <w:rFonts w:hint="eastAsia" w:ascii="宋体" w:hAnsi="宋体" w:cs="宋体"/>
                <w:szCs w:val="21"/>
              </w:rPr>
              <w:t>分，具体由评委根据供应商的投标文件中产品情况、《技术响应、偏离说明表》等有关资料打分。</w:t>
            </w:r>
          </w:p>
          <w:p>
            <w:pPr>
              <w:jc w:val="left"/>
              <w:rPr>
                <w:rFonts w:ascii="宋体" w:hAnsi="宋体" w:cs="宋体"/>
                <w:szCs w:val="21"/>
              </w:rPr>
            </w:pPr>
            <w:r>
              <w:rPr>
                <w:rFonts w:hint="eastAsia" w:ascii="宋体" w:hAnsi="宋体" w:cs="宋体"/>
                <w:szCs w:val="21"/>
              </w:rPr>
              <w:t>其中：完全满足招标文件技术参数要求的得</w:t>
            </w:r>
            <w:r>
              <w:rPr>
                <w:rFonts w:hint="eastAsia" w:ascii="宋体" w:hAnsi="宋体" w:cs="宋体"/>
                <w:szCs w:val="21"/>
                <w:lang w:val="en-US" w:eastAsia="zh-CN"/>
              </w:rPr>
              <w:t>20</w:t>
            </w:r>
            <w:r>
              <w:rPr>
                <w:rFonts w:hint="eastAsia" w:ascii="宋体" w:hAnsi="宋体" w:cs="宋体"/>
                <w:szCs w:val="21"/>
              </w:rPr>
              <w:t>分；在此基础上，招标文件中内容带“★”号条款有一项不符合的则每项扣3分，普通条款有一项不符合的则每项扣 1分扣完为止。</w:t>
            </w:r>
          </w:p>
          <w:p>
            <w:pPr>
              <w:ind w:left="-4" w:leftChars="-2" w:firstLine="2" w:firstLineChars="1"/>
              <w:rPr>
                <w:rFonts w:asciiTheme="minorEastAsia" w:hAnsiTheme="minorEastAsia" w:eastAsiaTheme="minorEastAsia" w:cstheme="minorEastAsia"/>
                <w:spacing w:val="-6"/>
                <w:szCs w:val="21"/>
              </w:rPr>
            </w:pPr>
            <w:r>
              <w:rPr>
                <w:rFonts w:hint="eastAsia" w:ascii="宋体" w:hAnsi="宋体" w:cs="宋体"/>
                <w:szCs w:val="21"/>
              </w:rPr>
              <w:t>备注：复制招标文件技术要求作为实际响应数据或投标响应数据无对应支持文件的，其技术响应将可能按负偏离处理。参数需列出证明文件予以佐证,未予以佐证视为不响应。</w:t>
            </w:r>
          </w:p>
        </w:tc>
        <w:tc>
          <w:tcPr>
            <w:tcW w:w="664" w:type="dxa"/>
            <w:vAlign w:val="center"/>
          </w:tcPr>
          <w:p>
            <w:pPr>
              <w:ind w:left="-4" w:leftChars="-2" w:firstLine="1" w:firstLineChars="1"/>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lang w:val="en-US" w:eastAsia="zh-CN"/>
              </w:rPr>
              <w:t>20</w:t>
            </w:r>
            <w:r>
              <w:rPr>
                <w:rFonts w:hint="eastAsia" w:asciiTheme="minorEastAsia" w:hAnsiTheme="minorEastAsia" w:eastAsiaTheme="minorEastAsia" w:cstheme="minorEastAsia"/>
                <w:spacing w:val="-6"/>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szCs w:val="21"/>
              </w:rPr>
            </w:pPr>
          </w:p>
        </w:tc>
        <w:tc>
          <w:tcPr>
            <w:tcW w:w="1376" w:type="dxa"/>
            <w:vAlign w:val="center"/>
          </w:tcPr>
          <w:p>
            <w:pPr>
              <w:jc w:val="center"/>
              <w:rPr>
                <w:rFonts w:ascii="宋体" w:hAnsi="宋体" w:cs="宋体"/>
                <w:szCs w:val="21"/>
              </w:rPr>
            </w:pPr>
            <w:r>
              <w:rPr>
                <w:rFonts w:hint="eastAsia" w:ascii="宋体" w:hAnsi="宋体" w:cs="宋体"/>
                <w:szCs w:val="21"/>
              </w:rPr>
              <w:t>售后服务方案</w:t>
            </w:r>
          </w:p>
        </w:tc>
        <w:tc>
          <w:tcPr>
            <w:tcW w:w="6512" w:type="dxa"/>
            <w:vAlign w:val="center"/>
          </w:tcPr>
          <w:p>
            <w:pPr>
              <w:autoSpaceDE w:val="0"/>
              <w:autoSpaceDN w:val="0"/>
              <w:adjustRightInd w:val="0"/>
              <w:ind w:right="71" w:rightChars="34"/>
              <w:rPr>
                <w:rFonts w:ascii="宋体" w:hAnsi="宋体" w:cs="宋体"/>
                <w:szCs w:val="21"/>
              </w:rPr>
            </w:pPr>
            <w:r>
              <w:rPr>
                <w:rFonts w:hint="eastAsia" w:ascii="宋体" w:hAnsi="宋体" w:cs="宋体"/>
                <w:szCs w:val="21"/>
              </w:rPr>
              <w:t>根据供应商针对本项目的售后服务方案（系统定期巡检、质保期方案、服务响应时间、维护维修方案、服务承诺等）进行评议：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w:t>
            </w:r>
            <w:r>
              <w:rPr>
                <w:rFonts w:hint="eastAsia" w:ascii="宋体" w:hAnsi="宋体" w:cs="宋体"/>
                <w:spacing w:val="-6"/>
                <w:kern w:val="0"/>
                <w:szCs w:val="21"/>
                <w:lang w:val="en-US" w:eastAsia="zh-CN"/>
              </w:rPr>
              <w:t>3</w:t>
            </w:r>
            <w:r>
              <w:rPr>
                <w:rFonts w:hint="eastAsia" w:ascii="宋体" w:hAnsi="宋体" w:cs="宋体"/>
                <w:spacing w:val="-6"/>
                <w:kern w:val="0"/>
                <w:szCs w:val="21"/>
              </w:rPr>
              <w:t>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w:t>
            </w:r>
            <w:r>
              <w:rPr>
                <w:rFonts w:hint="eastAsia" w:ascii="宋体" w:hAnsi="宋体" w:cs="宋体"/>
                <w:spacing w:val="-6"/>
                <w:kern w:val="0"/>
                <w:szCs w:val="21"/>
                <w:lang w:val="en-US" w:eastAsia="zh-CN"/>
              </w:rPr>
              <w:t>2</w:t>
            </w:r>
            <w:r>
              <w:rPr>
                <w:rFonts w:hint="eastAsia" w:ascii="宋体" w:hAnsi="宋体" w:cs="宋体"/>
                <w:spacing w:val="-6"/>
                <w:kern w:val="0"/>
                <w:szCs w:val="21"/>
              </w:rPr>
              <w:t>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内容欠完备，基本可行，1分；</w:t>
            </w:r>
          </w:p>
          <w:p>
            <w:pPr>
              <w:rPr>
                <w:rFonts w:ascii="宋体" w:hAnsi="宋体" w:cs="宋体"/>
                <w:szCs w:val="21"/>
              </w:rPr>
            </w:pPr>
            <w:r>
              <w:rPr>
                <w:rFonts w:hint="eastAsia" w:ascii="宋体" w:hAnsi="宋体" w:cs="宋体"/>
                <w:spacing w:val="-6"/>
                <w:kern w:val="0"/>
                <w:szCs w:val="21"/>
              </w:rPr>
              <w:t>不可行，0分。</w:t>
            </w:r>
          </w:p>
        </w:tc>
        <w:tc>
          <w:tcPr>
            <w:tcW w:w="664" w:type="dxa"/>
            <w:vAlign w:val="center"/>
          </w:tcPr>
          <w:p>
            <w:pPr>
              <w:jc w:val="center"/>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jc w:val="center"/>
              <w:rPr>
                <w:rFonts w:ascii="宋体" w:hAnsi="宋体" w:cs="宋体"/>
                <w:spacing w:val="-6"/>
                <w:szCs w:val="21"/>
              </w:rPr>
            </w:pPr>
            <w:r>
              <w:rPr>
                <w:rFonts w:hint="eastAsia" w:ascii="宋体" w:hAnsi="宋体" w:cs="宋体"/>
                <w:szCs w:val="21"/>
              </w:rPr>
              <w:t>产品选型</w:t>
            </w:r>
          </w:p>
        </w:tc>
        <w:tc>
          <w:tcPr>
            <w:tcW w:w="6512" w:type="dxa"/>
            <w:vAlign w:val="center"/>
          </w:tcPr>
          <w:p>
            <w:pPr>
              <w:autoSpaceDE w:val="0"/>
              <w:autoSpaceDN w:val="0"/>
              <w:adjustRightInd w:val="0"/>
              <w:ind w:right="71" w:rightChars="34"/>
              <w:rPr>
                <w:rFonts w:ascii="宋体" w:hAnsi="宋体" w:cs="宋体"/>
                <w:szCs w:val="21"/>
              </w:rPr>
            </w:pPr>
            <w:r>
              <w:rPr>
                <w:rFonts w:hint="eastAsia" w:ascii="宋体" w:hAnsi="宋体" w:cs="宋体"/>
                <w:szCs w:val="21"/>
              </w:rPr>
              <w:t>根据供应商所投产品在品牌规格、选型配置、质量保障、运行维护成本、配置合理性、性价比等方面（需提供产品技术彩页）进行评议：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w:t>
            </w:r>
            <w:r>
              <w:rPr>
                <w:rFonts w:hint="eastAsia" w:ascii="宋体" w:hAnsi="宋体" w:cs="宋体"/>
                <w:spacing w:val="-6"/>
                <w:kern w:val="0"/>
                <w:szCs w:val="21"/>
                <w:lang w:val="en-US" w:eastAsia="zh-CN"/>
              </w:rPr>
              <w:t>3</w:t>
            </w:r>
            <w:r>
              <w:rPr>
                <w:rFonts w:hint="eastAsia" w:ascii="宋体" w:hAnsi="宋体" w:cs="宋体"/>
                <w:spacing w:val="-6"/>
                <w:kern w:val="0"/>
                <w:szCs w:val="21"/>
              </w:rPr>
              <w:t>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w:t>
            </w:r>
            <w:r>
              <w:rPr>
                <w:rFonts w:hint="eastAsia" w:ascii="宋体" w:hAnsi="宋体" w:cs="宋体"/>
                <w:spacing w:val="-6"/>
                <w:kern w:val="0"/>
                <w:szCs w:val="21"/>
                <w:lang w:val="en-US" w:eastAsia="zh-CN"/>
              </w:rPr>
              <w:t>2</w:t>
            </w:r>
            <w:r>
              <w:rPr>
                <w:rFonts w:hint="eastAsia" w:ascii="宋体" w:hAnsi="宋体" w:cs="宋体"/>
                <w:spacing w:val="-6"/>
                <w:kern w:val="0"/>
                <w:szCs w:val="21"/>
              </w:rPr>
              <w:t>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内容欠完备，基本可行，1分；</w:t>
            </w:r>
          </w:p>
          <w:p>
            <w:pPr>
              <w:ind w:left="-4" w:leftChars="-2" w:firstLine="1" w:firstLineChars="1"/>
              <w:rPr>
                <w:rFonts w:ascii="宋体" w:hAnsi="宋体" w:cs="宋体"/>
                <w:spacing w:val="-6"/>
                <w:szCs w:val="21"/>
              </w:rPr>
            </w:pPr>
            <w:r>
              <w:rPr>
                <w:rFonts w:hint="eastAsia" w:ascii="宋体" w:hAnsi="宋体" w:cs="宋体"/>
                <w:spacing w:val="-6"/>
                <w:kern w:val="0"/>
                <w:szCs w:val="21"/>
              </w:rPr>
              <w:t>不可行，0分。</w:t>
            </w:r>
          </w:p>
        </w:tc>
        <w:tc>
          <w:tcPr>
            <w:tcW w:w="664" w:type="dxa"/>
            <w:vAlign w:val="center"/>
          </w:tcPr>
          <w:p>
            <w:pPr>
              <w:ind w:left="-4" w:leftChars="-2" w:firstLine="1" w:firstLineChars="1"/>
              <w:jc w:val="center"/>
              <w:rPr>
                <w:rFonts w:ascii="宋体" w:hAnsi="宋体" w:cs="宋体"/>
                <w:spacing w:val="-6"/>
                <w:szCs w:val="21"/>
              </w:rPr>
            </w:pPr>
            <w:r>
              <w:rPr>
                <w:rFonts w:hint="eastAsia" w:ascii="宋体" w:hAnsi="宋体" w:cs="宋体"/>
                <w:spacing w:val="-6"/>
                <w:szCs w:val="21"/>
                <w:lang w:val="en-US" w:eastAsia="zh-CN"/>
              </w:rPr>
              <w:t>3</w:t>
            </w:r>
            <w:r>
              <w:rPr>
                <w:rFonts w:hint="eastAsia" w:ascii="宋体" w:hAnsi="宋体" w:cs="宋体"/>
                <w:spacing w:val="-6"/>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rPr>
                <w:rFonts w:ascii="宋体" w:hAnsi="宋体" w:cs="宋体"/>
                <w:spacing w:val="-6"/>
                <w:szCs w:val="21"/>
              </w:rPr>
            </w:pPr>
            <w:r>
              <w:rPr>
                <w:rFonts w:hint="eastAsia" w:ascii="宋体" w:hAnsi="宋体" w:cs="宋体"/>
                <w:szCs w:val="21"/>
              </w:rPr>
              <w:t>项目实施</w:t>
            </w:r>
          </w:p>
        </w:tc>
        <w:tc>
          <w:tcPr>
            <w:tcW w:w="6512" w:type="dxa"/>
            <w:vAlign w:val="center"/>
          </w:tcPr>
          <w:p>
            <w:pPr>
              <w:autoSpaceDE w:val="0"/>
              <w:autoSpaceDN w:val="0"/>
              <w:adjustRightInd w:val="0"/>
              <w:ind w:right="71" w:rightChars="34"/>
              <w:rPr>
                <w:rFonts w:ascii="宋体" w:hAnsi="宋体" w:cs="宋体"/>
                <w:szCs w:val="21"/>
              </w:rPr>
            </w:pPr>
            <w:r>
              <w:rPr>
                <w:rFonts w:hint="eastAsia" w:ascii="宋体" w:hAnsi="宋体" w:cs="宋体"/>
                <w:szCs w:val="21"/>
              </w:rPr>
              <w:t>根据实施方案的具体描述、人员组织安排的合理性、项目实施步骤、质量控制、进度规划、项目验收等方面进行综合评议：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w:t>
            </w:r>
            <w:r>
              <w:rPr>
                <w:rFonts w:hint="eastAsia" w:ascii="宋体" w:hAnsi="宋体" w:cs="宋体"/>
                <w:spacing w:val="-6"/>
                <w:kern w:val="0"/>
                <w:szCs w:val="21"/>
                <w:lang w:val="en-US" w:eastAsia="zh-CN"/>
              </w:rPr>
              <w:t>2</w:t>
            </w:r>
            <w:r>
              <w:rPr>
                <w:rFonts w:hint="eastAsia" w:ascii="宋体" w:hAnsi="宋体" w:cs="宋体"/>
                <w:spacing w:val="-6"/>
                <w:kern w:val="0"/>
                <w:szCs w:val="21"/>
              </w:rPr>
              <w:t>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w:t>
            </w:r>
            <w:r>
              <w:rPr>
                <w:rFonts w:hint="eastAsia" w:ascii="宋体" w:hAnsi="宋体" w:cs="宋体"/>
                <w:spacing w:val="-6"/>
                <w:kern w:val="0"/>
                <w:szCs w:val="21"/>
                <w:lang w:val="en-US" w:eastAsia="zh-CN"/>
              </w:rPr>
              <w:t>1</w:t>
            </w:r>
            <w:r>
              <w:rPr>
                <w:rFonts w:hint="eastAsia" w:ascii="宋体" w:hAnsi="宋体" w:cs="宋体"/>
                <w:spacing w:val="-6"/>
                <w:kern w:val="0"/>
                <w:szCs w:val="21"/>
              </w:rPr>
              <w:t>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w:t>
            </w:r>
            <w:r>
              <w:rPr>
                <w:rFonts w:hint="eastAsia" w:ascii="宋体" w:hAnsi="宋体" w:cs="宋体"/>
                <w:spacing w:val="-6"/>
                <w:kern w:val="0"/>
                <w:szCs w:val="21"/>
                <w:lang w:val="en-US" w:eastAsia="zh-CN"/>
              </w:rPr>
              <w:t>0.5</w:t>
            </w:r>
            <w:r>
              <w:rPr>
                <w:rFonts w:hint="eastAsia" w:ascii="宋体" w:hAnsi="宋体" w:cs="宋体"/>
                <w:spacing w:val="-6"/>
                <w:kern w:val="0"/>
                <w:szCs w:val="21"/>
              </w:rPr>
              <w:t>分；</w:t>
            </w:r>
          </w:p>
          <w:p>
            <w:pPr>
              <w:ind w:left="-4" w:leftChars="-2" w:firstLine="1" w:firstLineChars="1"/>
              <w:rPr>
                <w:rFonts w:ascii="宋体" w:hAnsi="宋体" w:cs="宋体"/>
                <w:spacing w:val="-6"/>
                <w:szCs w:val="21"/>
              </w:rPr>
            </w:pPr>
            <w:r>
              <w:rPr>
                <w:rFonts w:hint="eastAsia" w:ascii="宋体" w:hAnsi="宋体" w:cs="宋体"/>
                <w:spacing w:val="-6"/>
                <w:kern w:val="0"/>
                <w:szCs w:val="21"/>
              </w:rPr>
              <w:t>不可行，0分。</w:t>
            </w:r>
          </w:p>
        </w:tc>
        <w:tc>
          <w:tcPr>
            <w:tcW w:w="664" w:type="dxa"/>
            <w:vAlign w:val="center"/>
          </w:tcPr>
          <w:p>
            <w:pPr>
              <w:ind w:left="-4" w:leftChars="-2" w:firstLine="1" w:firstLineChars="1"/>
              <w:jc w:val="center"/>
              <w:rPr>
                <w:rFonts w:ascii="宋体" w:hAnsi="宋体" w:cs="宋体"/>
                <w:spacing w:val="-6"/>
                <w:szCs w:val="21"/>
              </w:rPr>
            </w:pPr>
            <w:r>
              <w:rPr>
                <w:rFonts w:hint="eastAsia" w:ascii="宋体" w:hAnsi="宋体" w:cs="宋体"/>
                <w:spacing w:val="-6"/>
                <w:szCs w:val="21"/>
                <w:lang w:val="en-US" w:eastAsia="zh-CN"/>
              </w:rPr>
              <w:t>2</w:t>
            </w:r>
            <w:r>
              <w:rPr>
                <w:rFonts w:hint="eastAsia" w:ascii="宋体" w:hAnsi="宋体" w:cs="宋体"/>
                <w:spacing w:val="-6"/>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widowControl/>
              <w:jc w:val="center"/>
              <w:rPr>
                <w:rFonts w:ascii="宋体" w:hAnsi="宋体" w:cs="宋体"/>
                <w:szCs w:val="21"/>
              </w:rPr>
            </w:pPr>
            <w:r>
              <w:rPr>
                <w:rFonts w:hint="eastAsia" w:ascii="宋体" w:hAnsi="宋体" w:cs="宋体"/>
                <w:szCs w:val="21"/>
              </w:rPr>
              <w:t>应急响应</w:t>
            </w:r>
          </w:p>
        </w:tc>
        <w:tc>
          <w:tcPr>
            <w:tcW w:w="6512" w:type="dxa"/>
            <w:vAlign w:val="center"/>
          </w:tcPr>
          <w:p>
            <w:pPr>
              <w:widowControl/>
              <w:jc w:val="left"/>
              <w:rPr>
                <w:rFonts w:ascii="宋体" w:hAnsi="宋体" w:cs="宋体"/>
              </w:rPr>
            </w:pPr>
            <w:r>
              <w:rPr>
                <w:rFonts w:hint="eastAsia" w:ascii="宋体" w:hAnsi="宋体" w:cs="宋体"/>
              </w:rPr>
              <w:t>根据供应商提供的应急方案，对设备故障时处理方案等的描述及可性性、以及售后服务机构配置情况、交通便捷性、突发状况及时响应情况和售后应急响应到位时间承诺函（格式自拟）进行综合评议：</w:t>
            </w:r>
          </w:p>
          <w:p>
            <w:pPr>
              <w:widowControl/>
              <w:jc w:val="left"/>
              <w:rPr>
                <w:rFonts w:ascii="宋体" w:hAnsi="宋体" w:cs="宋体"/>
              </w:rPr>
            </w:pPr>
            <w:r>
              <w:rPr>
                <w:rFonts w:hint="eastAsia" w:ascii="宋体" w:hAnsi="宋体" w:cs="宋体"/>
              </w:rPr>
              <w:t>售后服务机构配置情况良好、交通便捷、响应时间快得</w:t>
            </w:r>
            <w:r>
              <w:rPr>
                <w:rFonts w:hint="eastAsia" w:ascii="宋体" w:hAnsi="宋体" w:cs="宋体"/>
                <w:lang w:val="en-US" w:eastAsia="zh-CN"/>
              </w:rPr>
              <w:t>2</w:t>
            </w:r>
            <w:r>
              <w:rPr>
                <w:rFonts w:hint="eastAsia" w:ascii="宋体" w:hAnsi="宋体" w:cs="宋体"/>
              </w:rPr>
              <w:t>分；</w:t>
            </w:r>
          </w:p>
          <w:p>
            <w:pPr>
              <w:widowControl/>
              <w:jc w:val="left"/>
              <w:rPr>
                <w:rFonts w:ascii="宋体" w:hAnsi="宋体" w:cs="宋体"/>
              </w:rPr>
            </w:pPr>
            <w:r>
              <w:rPr>
                <w:rFonts w:hint="eastAsia" w:ascii="宋体" w:hAnsi="宋体" w:cs="宋体"/>
              </w:rPr>
              <w:t>配置情况、交通便捷、响应时间一般的得</w:t>
            </w:r>
            <w:r>
              <w:rPr>
                <w:rFonts w:hint="eastAsia" w:ascii="宋体" w:hAnsi="宋体" w:cs="宋体"/>
                <w:lang w:val="en-US" w:eastAsia="zh-CN"/>
              </w:rPr>
              <w:t>1</w:t>
            </w:r>
            <w:r>
              <w:rPr>
                <w:rFonts w:hint="eastAsia" w:ascii="宋体" w:hAnsi="宋体" w:cs="宋体"/>
              </w:rPr>
              <w:t>分；</w:t>
            </w:r>
          </w:p>
          <w:p>
            <w:pPr>
              <w:widowControl/>
              <w:jc w:val="left"/>
              <w:rPr>
                <w:rFonts w:ascii="宋体" w:hAnsi="宋体" w:cs="宋体"/>
              </w:rPr>
            </w:pPr>
            <w:r>
              <w:rPr>
                <w:rFonts w:hint="eastAsia" w:ascii="宋体" w:hAnsi="宋体" w:cs="宋体"/>
              </w:rPr>
              <w:t>配置情况、交通便捷、响应时间较差的得</w:t>
            </w:r>
            <w:r>
              <w:rPr>
                <w:rFonts w:hint="eastAsia" w:ascii="宋体" w:hAnsi="宋体" w:cs="宋体"/>
                <w:lang w:val="en-US" w:eastAsia="zh-CN"/>
              </w:rPr>
              <w:t>0.5</w:t>
            </w:r>
            <w:r>
              <w:rPr>
                <w:rFonts w:hint="eastAsia" w:ascii="宋体" w:hAnsi="宋体" w:cs="宋体"/>
              </w:rPr>
              <w:t>分；</w:t>
            </w:r>
          </w:p>
          <w:p>
            <w:pPr>
              <w:widowControl/>
              <w:jc w:val="left"/>
              <w:rPr>
                <w:rFonts w:ascii="宋体" w:hAnsi="宋体" w:cs="宋体"/>
              </w:rPr>
            </w:pPr>
            <w:r>
              <w:rPr>
                <w:rFonts w:hint="eastAsia" w:ascii="宋体" w:hAnsi="宋体" w:cs="宋体"/>
              </w:rPr>
              <w:t>本项无承诺函不得分；</w:t>
            </w:r>
          </w:p>
        </w:tc>
        <w:tc>
          <w:tcPr>
            <w:tcW w:w="664" w:type="dxa"/>
            <w:vAlign w:val="center"/>
          </w:tcPr>
          <w:p>
            <w:pPr>
              <w:widowControl/>
              <w:jc w:val="center"/>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w:t>
            </w:r>
          </w:p>
        </w:tc>
        <w:tc>
          <w:tcPr>
            <w:tcW w:w="8552" w:type="dxa"/>
            <w:gridSpan w:val="3"/>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100</w:t>
            </w:r>
          </w:p>
        </w:tc>
      </w:tr>
    </w:tbl>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10" w:name="_Toc26911"/>
      <w:r>
        <w:rPr>
          <w:rFonts w:hint="eastAsia" w:asciiTheme="minorEastAsia" w:hAnsiTheme="minorEastAsia" w:eastAsiaTheme="minorEastAsia" w:cstheme="minorEastAsia"/>
          <w:b/>
          <w:szCs w:val="21"/>
        </w:rPr>
        <w:t>四、评定办法</w:t>
      </w:r>
      <w:bookmarkEnd w:id="110"/>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9"/>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9"/>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9"/>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1" w:name="_Toc15857"/>
      <w:r>
        <w:rPr>
          <w:rFonts w:hint="eastAsia" w:asciiTheme="minorEastAsia" w:hAnsiTheme="minorEastAsia" w:eastAsiaTheme="minorEastAsia" w:cstheme="minorEastAsia"/>
          <w:b/>
          <w:szCs w:val="21"/>
        </w:rPr>
        <w:t>五、磋商及评审步骤</w:t>
      </w:r>
      <w:bookmarkEnd w:id="111"/>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12" w:name="_Toc211783328"/>
      <w:bookmarkStart w:id="113" w:name="_Toc318643471"/>
      <w:bookmarkStart w:id="114" w:name="_Toc8506"/>
      <w:r>
        <w:rPr>
          <w:rFonts w:hint="eastAsia" w:asciiTheme="minorEastAsia" w:hAnsiTheme="minorEastAsia" w:eastAsiaTheme="minorEastAsia" w:cstheme="minorEastAsia"/>
          <w:sz w:val="36"/>
          <w:szCs w:val="36"/>
        </w:rPr>
        <w:t>合同书</w:t>
      </w:r>
      <w:bookmarkEnd w:id="112"/>
      <w:bookmarkEnd w:id="113"/>
      <w:r>
        <w:rPr>
          <w:rFonts w:hint="eastAsia" w:asciiTheme="minorEastAsia" w:hAnsiTheme="minorEastAsia" w:eastAsiaTheme="minorEastAsia" w:cstheme="minorEastAsia"/>
          <w:sz w:val="36"/>
          <w:szCs w:val="36"/>
        </w:rPr>
        <w:t>格式</w:t>
      </w:r>
      <w:bookmarkEnd w:id="114"/>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本合同由（以下简称“需方”）与（以下简称“供方”）签订。供方以总金额万元人民币（用大写数字书写）向需方提供如下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本合同正本一式份，需方执份，供方执份；副本一式份，需方执份，供方执份，主管部门执份。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5" w:name="_Toc23696"/>
      <w:r>
        <w:rPr>
          <w:rFonts w:hint="eastAsia" w:asciiTheme="minorEastAsia" w:hAnsiTheme="minorEastAsia" w:eastAsiaTheme="minorEastAsia" w:cstheme="minorEastAsia"/>
          <w:sz w:val="36"/>
          <w:szCs w:val="36"/>
        </w:rPr>
        <w:t>竞争性磋商响应文件格式</w:t>
      </w:r>
      <w:bookmarkEnd w:id="115"/>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w:t>
      </w: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预算执行计划：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bookmarkStart w:id="116" w:name="_Toc5751"/>
      <w:bookmarkStart w:id="117" w:name="_Toc23858"/>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期：年月日</w:t>
      </w:r>
    </w:p>
    <w:bookmarkEnd w:id="116"/>
    <w:bookmarkEnd w:id="117"/>
    <w:p>
      <w:pPr>
        <w:autoSpaceDE w:val="0"/>
        <w:autoSpaceDN w:val="0"/>
        <w:adjustRightInd w:val="0"/>
        <w:spacing w:line="360" w:lineRule="auto"/>
        <w:jc w:val="center"/>
        <w:rPr>
          <w:rFonts w:asciiTheme="minorEastAsia" w:hAnsiTheme="minorEastAsia" w:eastAsiaTheme="minorEastAsia" w:cstheme="minorEastAsia"/>
          <w:b/>
          <w:bCs/>
          <w:sz w:val="24"/>
        </w:rPr>
      </w:pPr>
      <w:bookmarkStart w:id="118" w:name="_Toc360174584"/>
      <w:bookmarkStart w:id="119" w:name="_Toc264644272"/>
      <w:bookmarkStart w:id="120" w:name="_Toc11320441"/>
      <w:bookmarkStart w:id="121" w:name="_Toc533330957"/>
      <w:bookmarkStart w:id="122" w:name="_Toc533331084"/>
      <w:bookmarkStart w:id="123"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8"/>
      <w:bookmarkEnd w:id="119"/>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注：响应文件目录及内容每页须顺序编写页码。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4" w:name="_Toc7085"/>
      <w:r>
        <w:rPr>
          <w:rFonts w:hint="eastAsia" w:ascii="宋体" w:hAnsi="宋体" w:cs="宋体"/>
          <w:b/>
          <w:szCs w:val="21"/>
        </w:rPr>
        <w:br w:type="textWrapping"/>
      </w:r>
      <w:r>
        <w:rPr>
          <w:rFonts w:hint="eastAsia" w:ascii="宋体" w:hAnsi="宋体" w:cs="宋体"/>
          <w:b/>
          <w:szCs w:val="21"/>
        </w:rPr>
        <w:t>一、评分标准索引表</w:t>
      </w:r>
      <w:bookmarkEnd w:id="124"/>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noWrap/>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noWrap/>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noWrap/>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noWrap/>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ign w:val="center"/>
          </w:tcPr>
          <w:p>
            <w:pPr>
              <w:widowControl/>
              <w:spacing w:line="360" w:lineRule="auto"/>
              <w:jc w:val="center"/>
              <w:textAlignment w:val="center"/>
              <w:rPr>
                <w:rFonts w:ascii="宋体" w:hAnsi="宋体" w:cs="宋体"/>
                <w:spacing w:val="-6"/>
                <w:szCs w:val="21"/>
              </w:rPr>
            </w:pPr>
          </w:p>
        </w:tc>
        <w:tc>
          <w:tcPr>
            <w:tcW w:w="1285" w:type="dxa"/>
            <w:noWrap/>
            <w:vAlign w:val="center"/>
          </w:tcPr>
          <w:p>
            <w:pPr>
              <w:widowControl/>
              <w:spacing w:line="360" w:lineRule="auto"/>
              <w:jc w:val="center"/>
              <w:textAlignment w:val="center"/>
              <w:rPr>
                <w:rFonts w:ascii="宋体" w:hAnsi="宋体" w:cs="宋体"/>
                <w:spacing w:val="-6"/>
                <w:szCs w:val="21"/>
              </w:rPr>
            </w:pPr>
          </w:p>
        </w:tc>
        <w:tc>
          <w:tcPr>
            <w:tcW w:w="5358" w:type="dxa"/>
            <w:noWrap/>
            <w:vAlign w:val="center"/>
          </w:tcPr>
          <w:p>
            <w:pPr>
              <w:widowControl/>
              <w:spacing w:line="360" w:lineRule="auto"/>
              <w:jc w:val="left"/>
              <w:textAlignment w:val="center"/>
              <w:rPr>
                <w:rFonts w:ascii="宋体" w:hAnsi="宋体" w:cs="宋体"/>
                <w:szCs w:val="21"/>
              </w:rPr>
            </w:pPr>
          </w:p>
        </w:tc>
        <w:tc>
          <w:tcPr>
            <w:tcW w:w="825" w:type="dxa"/>
            <w:noWrap/>
            <w:vAlign w:val="center"/>
          </w:tcPr>
          <w:p>
            <w:pPr>
              <w:widowControl/>
              <w:spacing w:line="360" w:lineRule="auto"/>
              <w:jc w:val="center"/>
              <w:textAlignment w:val="center"/>
              <w:rPr>
                <w:rFonts w:ascii="宋体" w:hAnsi="宋体" w:cs="宋体"/>
                <w:szCs w:val="21"/>
              </w:rPr>
            </w:pPr>
          </w:p>
        </w:tc>
        <w:tc>
          <w:tcPr>
            <w:tcW w:w="1133" w:type="dxa"/>
            <w:noWrap/>
            <w:vAlign w:val="center"/>
          </w:tcPr>
          <w:p>
            <w:pPr>
              <w:widowControl/>
              <w:spacing w:line="360" w:lineRule="auto"/>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ign w:val="center"/>
          </w:tcPr>
          <w:p>
            <w:pPr>
              <w:spacing w:line="360" w:lineRule="auto"/>
              <w:jc w:val="center"/>
              <w:rPr>
                <w:rFonts w:ascii="宋体" w:hAnsi="宋体" w:cs="宋体"/>
                <w:spacing w:val="-6"/>
                <w:szCs w:val="21"/>
              </w:rPr>
            </w:pPr>
          </w:p>
        </w:tc>
        <w:tc>
          <w:tcPr>
            <w:tcW w:w="1285" w:type="dxa"/>
            <w:noWrap/>
            <w:vAlign w:val="center"/>
          </w:tcPr>
          <w:p>
            <w:pPr>
              <w:spacing w:line="360" w:lineRule="auto"/>
              <w:rPr>
                <w:rFonts w:ascii="宋体" w:hAnsi="宋体" w:cs="宋体"/>
                <w:spacing w:val="-6"/>
                <w:kern w:val="0"/>
                <w:szCs w:val="21"/>
              </w:rPr>
            </w:pPr>
          </w:p>
        </w:tc>
        <w:tc>
          <w:tcPr>
            <w:tcW w:w="5358" w:type="dxa"/>
            <w:noWrap/>
            <w:vAlign w:val="center"/>
          </w:tcPr>
          <w:p>
            <w:pPr>
              <w:spacing w:line="360" w:lineRule="auto"/>
              <w:rPr>
                <w:rFonts w:ascii="宋体" w:hAnsi="宋体" w:cs="宋体"/>
                <w:spacing w:val="-6"/>
                <w:szCs w:val="21"/>
              </w:rPr>
            </w:pPr>
          </w:p>
        </w:tc>
        <w:tc>
          <w:tcPr>
            <w:tcW w:w="825" w:type="dxa"/>
            <w:noWrap/>
            <w:vAlign w:val="center"/>
          </w:tcPr>
          <w:p>
            <w:pPr>
              <w:spacing w:line="360" w:lineRule="auto"/>
              <w:rPr>
                <w:rFonts w:ascii="宋体" w:hAnsi="宋体" w:cs="宋体"/>
                <w:spacing w:val="-6"/>
                <w:szCs w:val="21"/>
              </w:rPr>
            </w:pPr>
          </w:p>
        </w:tc>
        <w:tc>
          <w:tcPr>
            <w:tcW w:w="1133" w:type="dxa"/>
            <w:noWrap/>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noWrap/>
            <w:vAlign w:val="center"/>
          </w:tcPr>
          <w:p>
            <w:pPr>
              <w:spacing w:line="360" w:lineRule="auto"/>
              <w:rPr>
                <w:rFonts w:ascii="宋体" w:hAnsi="宋体" w:cs="宋体"/>
                <w:spacing w:val="-6"/>
                <w:kern w:val="0"/>
                <w:szCs w:val="21"/>
              </w:rPr>
            </w:pPr>
          </w:p>
        </w:tc>
        <w:tc>
          <w:tcPr>
            <w:tcW w:w="5358" w:type="dxa"/>
            <w:noWrap/>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noWrap/>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noWrap/>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noWrap/>
            <w:vAlign w:val="center"/>
          </w:tcPr>
          <w:p>
            <w:pPr>
              <w:spacing w:line="360" w:lineRule="auto"/>
              <w:rPr>
                <w:rFonts w:ascii="宋体" w:hAnsi="宋体" w:cs="宋体"/>
                <w:color w:val="000000"/>
                <w:spacing w:val="-6"/>
                <w:szCs w:val="21"/>
              </w:rPr>
            </w:pPr>
          </w:p>
        </w:tc>
        <w:tc>
          <w:tcPr>
            <w:tcW w:w="5358" w:type="dxa"/>
            <w:noWrap/>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825" w:type="dxa"/>
            <w:noWrap/>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1133" w:type="dxa"/>
            <w:noWrap/>
            <w:vAlign w:val="center"/>
          </w:tcPr>
          <w:p>
            <w:pPr>
              <w:autoSpaceDE w:val="0"/>
              <w:autoSpaceDN w:val="0"/>
              <w:adjustRightInd w:val="0"/>
              <w:spacing w:line="360" w:lineRule="auto"/>
              <w:ind w:right="71" w:rightChars="34"/>
              <w:rPr>
                <w:rFonts w:ascii="宋体" w:hAnsi="宋体" w:cs="宋体"/>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tcBorders>
              <w:bottom w:val="single" w:color="auto" w:sz="4" w:space="0"/>
            </w:tcBorders>
            <w:noWrap/>
            <w:vAlign w:val="center"/>
          </w:tcPr>
          <w:p>
            <w:pPr>
              <w:spacing w:line="360" w:lineRule="auto"/>
              <w:rPr>
                <w:rFonts w:ascii="宋体" w:hAnsi="宋体" w:cs="宋体"/>
                <w:spacing w:val="-6"/>
                <w:kern w:val="0"/>
                <w:szCs w:val="21"/>
              </w:rPr>
            </w:pPr>
          </w:p>
        </w:tc>
        <w:tc>
          <w:tcPr>
            <w:tcW w:w="5358" w:type="dxa"/>
            <w:tcBorders>
              <w:bottom w:val="single" w:color="auto" w:sz="4" w:space="0"/>
            </w:tcBorders>
            <w:noWrap/>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noWrap/>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noWrap/>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tcBorders>
              <w:top w:val="single" w:color="auto" w:sz="4" w:space="0"/>
            </w:tcBorders>
            <w:noWrap/>
            <w:vAlign w:val="center"/>
          </w:tcPr>
          <w:p>
            <w:pPr>
              <w:spacing w:line="360" w:lineRule="auto"/>
              <w:rPr>
                <w:rFonts w:ascii="宋体" w:hAnsi="宋体" w:cs="宋体"/>
                <w:spacing w:val="-6"/>
                <w:kern w:val="0"/>
                <w:szCs w:val="21"/>
              </w:rPr>
            </w:pPr>
          </w:p>
        </w:tc>
        <w:tc>
          <w:tcPr>
            <w:tcW w:w="5358" w:type="dxa"/>
            <w:tcBorders>
              <w:top w:val="single" w:color="auto" w:sz="4" w:space="0"/>
            </w:tcBorders>
            <w:noWrap/>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noWrap/>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noWrap/>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ign w:val="center"/>
          </w:tcPr>
          <w:p>
            <w:pPr>
              <w:spacing w:line="360" w:lineRule="auto"/>
              <w:jc w:val="center"/>
              <w:rPr>
                <w:rFonts w:ascii="宋体" w:hAnsi="宋体" w:cs="宋体"/>
                <w:spacing w:val="-6"/>
                <w:szCs w:val="21"/>
              </w:rPr>
            </w:pPr>
          </w:p>
        </w:tc>
        <w:tc>
          <w:tcPr>
            <w:tcW w:w="1285" w:type="dxa"/>
            <w:noWrap/>
            <w:vAlign w:val="center"/>
          </w:tcPr>
          <w:p>
            <w:pPr>
              <w:spacing w:line="360" w:lineRule="auto"/>
              <w:rPr>
                <w:rFonts w:ascii="宋体" w:hAnsi="宋体" w:cs="宋体"/>
                <w:spacing w:val="-6"/>
                <w:szCs w:val="21"/>
              </w:rPr>
            </w:pPr>
          </w:p>
        </w:tc>
        <w:tc>
          <w:tcPr>
            <w:tcW w:w="5358" w:type="dxa"/>
            <w:noWrap/>
            <w:vAlign w:val="center"/>
          </w:tcPr>
          <w:p>
            <w:pPr>
              <w:spacing w:line="360" w:lineRule="auto"/>
              <w:ind w:left="-4" w:leftChars="-2" w:firstLine="1" w:firstLineChars="1"/>
              <w:rPr>
                <w:rFonts w:ascii="宋体" w:hAnsi="宋体" w:cs="宋体"/>
                <w:spacing w:val="-6"/>
                <w:szCs w:val="21"/>
              </w:rPr>
            </w:pPr>
          </w:p>
        </w:tc>
        <w:tc>
          <w:tcPr>
            <w:tcW w:w="825" w:type="dxa"/>
            <w:noWrap/>
            <w:vAlign w:val="center"/>
          </w:tcPr>
          <w:p>
            <w:pPr>
              <w:spacing w:line="360" w:lineRule="auto"/>
              <w:ind w:left="-4" w:leftChars="-2" w:firstLine="1" w:firstLineChars="1"/>
              <w:rPr>
                <w:rFonts w:ascii="宋体" w:hAnsi="宋体" w:cs="宋体"/>
                <w:spacing w:val="-6"/>
                <w:szCs w:val="21"/>
              </w:rPr>
            </w:pPr>
          </w:p>
        </w:tc>
        <w:tc>
          <w:tcPr>
            <w:tcW w:w="1133" w:type="dxa"/>
            <w:noWrap/>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ind w:left="-4" w:leftChars="-2" w:firstLine="2" w:firstLineChars="1"/>
              <w:rPr>
                <w:rFonts w:ascii="宋体" w:hAnsi="宋体" w:cs="宋体"/>
                <w:szCs w:val="21"/>
              </w:rPr>
            </w:pPr>
          </w:p>
        </w:tc>
        <w:tc>
          <w:tcPr>
            <w:tcW w:w="1285" w:type="dxa"/>
            <w:noWrap/>
            <w:vAlign w:val="center"/>
          </w:tcPr>
          <w:p>
            <w:pPr>
              <w:spacing w:line="360" w:lineRule="auto"/>
              <w:ind w:left="-4" w:leftChars="-2" w:firstLine="2" w:firstLineChars="1"/>
              <w:rPr>
                <w:rFonts w:ascii="宋体" w:hAnsi="宋体" w:cs="宋体"/>
                <w:szCs w:val="21"/>
              </w:rPr>
            </w:pPr>
          </w:p>
        </w:tc>
        <w:tc>
          <w:tcPr>
            <w:tcW w:w="5358" w:type="dxa"/>
            <w:noWrap/>
            <w:vAlign w:val="center"/>
          </w:tcPr>
          <w:p>
            <w:pPr>
              <w:spacing w:line="360" w:lineRule="auto"/>
              <w:ind w:left="-4" w:leftChars="-2" w:firstLine="2" w:firstLineChars="1"/>
              <w:rPr>
                <w:rFonts w:ascii="宋体" w:hAnsi="宋体" w:cs="宋体"/>
                <w:szCs w:val="21"/>
              </w:rPr>
            </w:pPr>
          </w:p>
        </w:tc>
        <w:tc>
          <w:tcPr>
            <w:tcW w:w="825" w:type="dxa"/>
            <w:noWrap/>
            <w:vAlign w:val="center"/>
          </w:tcPr>
          <w:p>
            <w:pPr>
              <w:spacing w:line="360" w:lineRule="auto"/>
              <w:ind w:left="-4" w:leftChars="-2" w:firstLine="2" w:firstLineChars="1"/>
              <w:rPr>
                <w:rFonts w:ascii="宋体" w:hAnsi="宋体" w:cs="宋体"/>
                <w:szCs w:val="21"/>
              </w:rPr>
            </w:pPr>
          </w:p>
        </w:tc>
        <w:tc>
          <w:tcPr>
            <w:tcW w:w="1133" w:type="dxa"/>
            <w:noWrap/>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noWrap/>
            <w:vAlign w:val="center"/>
          </w:tcPr>
          <w:p>
            <w:pPr>
              <w:spacing w:line="360" w:lineRule="auto"/>
              <w:rPr>
                <w:rFonts w:ascii="宋体" w:hAnsi="宋体" w:cs="宋体"/>
                <w:spacing w:val="-6"/>
                <w:kern w:val="0"/>
                <w:szCs w:val="21"/>
              </w:rPr>
            </w:pPr>
          </w:p>
        </w:tc>
        <w:tc>
          <w:tcPr>
            <w:tcW w:w="5358" w:type="dxa"/>
            <w:noWrap/>
            <w:vAlign w:val="center"/>
          </w:tcPr>
          <w:p>
            <w:pPr>
              <w:autoSpaceDE w:val="0"/>
              <w:autoSpaceDN w:val="0"/>
              <w:adjustRightInd w:val="0"/>
              <w:spacing w:line="360" w:lineRule="auto"/>
              <w:rPr>
                <w:rFonts w:ascii="宋体" w:hAnsi="宋体" w:cs="宋体"/>
                <w:spacing w:val="-6"/>
                <w:kern w:val="0"/>
                <w:szCs w:val="21"/>
              </w:rPr>
            </w:pPr>
          </w:p>
        </w:tc>
        <w:tc>
          <w:tcPr>
            <w:tcW w:w="825" w:type="dxa"/>
            <w:noWrap/>
            <w:vAlign w:val="center"/>
          </w:tcPr>
          <w:p>
            <w:pPr>
              <w:autoSpaceDE w:val="0"/>
              <w:autoSpaceDN w:val="0"/>
              <w:adjustRightInd w:val="0"/>
              <w:spacing w:line="360" w:lineRule="auto"/>
              <w:rPr>
                <w:rFonts w:ascii="宋体" w:hAnsi="宋体" w:cs="宋体"/>
                <w:spacing w:val="-6"/>
                <w:kern w:val="0"/>
                <w:szCs w:val="21"/>
              </w:rPr>
            </w:pPr>
          </w:p>
        </w:tc>
        <w:tc>
          <w:tcPr>
            <w:tcW w:w="1133" w:type="dxa"/>
            <w:noWrap/>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noWrap/>
            <w:vAlign w:val="center"/>
          </w:tcPr>
          <w:p>
            <w:pPr>
              <w:spacing w:line="360" w:lineRule="auto"/>
              <w:rPr>
                <w:rFonts w:ascii="宋体" w:hAnsi="宋体" w:cs="宋体"/>
                <w:spacing w:val="-6"/>
                <w:szCs w:val="21"/>
              </w:rPr>
            </w:pPr>
          </w:p>
        </w:tc>
        <w:tc>
          <w:tcPr>
            <w:tcW w:w="5358" w:type="dxa"/>
            <w:noWrap/>
            <w:vAlign w:val="center"/>
          </w:tcPr>
          <w:p>
            <w:pPr>
              <w:spacing w:line="360" w:lineRule="auto"/>
              <w:ind w:left="-4" w:leftChars="-2" w:firstLine="1" w:firstLineChars="1"/>
              <w:rPr>
                <w:rFonts w:ascii="宋体" w:hAnsi="宋体" w:cs="宋体"/>
                <w:spacing w:val="-6"/>
                <w:szCs w:val="21"/>
              </w:rPr>
            </w:pPr>
          </w:p>
        </w:tc>
        <w:tc>
          <w:tcPr>
            <w:tcW w:w="825" w:type="dxa"/>
            <w:noWrap/>
            <w:vAlign w:val="center"/>
          </w:tcPr>
          <w:p>
            <w:pPr>
              <w:spacing w:line="360" w:lineRule="auto"/>
              <w:ind w:left="-4" w:leftChars="-2" w:firstLine="1" w:firstLineChars="1"/>
              <w:rPr>
                <w:rFonts w:ascii="宋体" w:hAnsi="宋体" w:cs="宋体"/>
                <w:spacing w:val="-6"/>
                <w:szCs w:val="21"/>
              </w:rPr>
            </w:pPr>
          </w:p>
        </w:tc>
        <w:tc>
          <w:tcPr>
            <w:tcW w:w="1133" w:type="dxa"/>
            <w:noWrap/>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ign w:val="center"/>
          </w:tcPr>
          <w:p>
            <w:pPr>
              <w:spacing w:line="360" w:lineRule="auto"/>
              <w:rPr>
                <w:rFonts w:ascii="宋体" w:hAnsi="宋体" w:cs="宋体"/>
                <w:szCs w:val="21"/>
              </w:rPr>
            </w:pPr>
          </w:p>
        </w:tc>
        <w:tc>
          <w:tcPr>
            <w:tcW w:w="1285" w:type="dxa"/>
            <w:noWrap/>
            <w:vAlign w:val="center"/>
          </w:tcPr>
          <w:p>
            <w:pPr>
              <w:spacing w:line="360" w:lineRule="auto"/>
              <w:rPr>
                <w:rFonts w:ascii="宋体" w:hAnsi="宋体" w:cs="宋体"/>
                <w:spacing w:val="-6"/>
                <w:szCs w:val="21"/>
              </w:rPr>
            </w:pPr>
          </w:p>
        </w:tc>
        <w:tc>
          <w:tcPr>
            <w:tcW w:w="5358" w:type="dxa"/>
            <w:noWrap/>
            <w:vAlign w:val="center"/>
          </w:tcPr>
          <w:p>
            <w:pPr>
              <w:spacing w:line="360" w:lineRule="auto"/>
              <w:rPr>
                <w:rFonts w:ascii="宋体" w:hAnsi="宋体" w:cs="宋体"/>
                <w:spacing w:val="-6"/>
                <w:szCs w:val="21"/>
              </w:rPr>
            </w:pPr>
          </w:p>
        </w:tc>
        <w:tc>
          <w:tcPr>
            <w:tcW w:w="825" w:type="dxa"/>
            <w:noWrap/>
            <w:vAlign w:val="center"/>
          </w:tcPr>
          <w:p>
            <w:pPr>
              <w:spacing w:line="360" w:lineRule="auto"/>
              <w:rPr>
                <w:rFonts w:ascii="宋体" w:hAnsi="宋体" w:cs="宋体"/>
                <w:spacing w:val="-6"/>
                <w:szCs w:val="21"/>
              </w:rPr>
            </w:pPr>
          </w:p>
        </w:tc>
        <w:tc>
          <w:tcPr>
            <w:tcW w:w="1133" w:type="dxa"/>
            <w:noWrap/>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5" w:name="_Toc26858"/>
      <w:bookmarkStart w:id="126" w:name="_Toc15789"/>
      <w:bookmarkStart w:id="127" w:name="_Toc30144"/>
      <w:bookmarkStart w:id="128" w:name="_Toc479184125"/>
      <w:r>
        <w:rPr>
          <w:rFonts w:hint="eastAsia" w:asciiTheme="minorEastAsia" w:hAnsiTheme="minorEastAsia" w:eastAsiaTheme="minorEastAsia" w:cstheme="minorEastAsia"/>
          <w:b/>
        </w:rPr>
        <w:t>二、磋商书</w:t>
      </w:r>
      <w:bookmarkEnd w:id="125"/>
      <w:bookmarkEnd w:id="126"/>
      <w:bookmarkEnd w:id="127"/>
      <w:bookmarkEnd w:id="128"/>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依据贵方（项目名称/项目编号）项目第包货物的磋商邀请，我方代表（姓名、职务）经正式授权并代表供应商（供应商的名称、地址）提交下述文件正本一份，副本份。</w:t>
      </w:r>
    </w:p>
    <w:p>
      <w:pPr>
        <w:numPr>
          <w:ilvl w:val="1"/>
          <w:numId w:val="40"/>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0"/>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0"/>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本竞争性磋商响应文件的有效期自磋商截止时间起共日历天。</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29" w:name="_Toc479184126"/>
      <w:bookmarkStart w:id="130" w:name="_Toc13969"/>
      <w:bookmarkStart w:id="131" w:name="_Toc24205"/>
      <w:bookmarkStart w:id="132" w:name="_Toc1961"/>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29"/>
      <w:bookmarkEnd w:id="130"/>
      <w:bookmarkEnd w:id="131"/>
      <w:bookmarkEnd w:id="132"/>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采购活动的供应商代表人（磋商代表），全权代表我公司处理在该项目采购活动中的一切事宜。代理期限从年 月日起至年 月日止。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3" w:name="_Toc360120184"/>
      <w:bookmarkStart w:id="134" w:name="_Toc29904"/>
      <w:bookmarkStart w:id="135" w:name="_Toc432149008"/>
      <w:bookmarkStart w:id="136" w:name="_Toc30245"/>
      <w:bookmarkStart w:id="137" w:name="_Toc424832832"/>
      <w:bookmarkStart w:id="138" w:name="_Toc479184127"/>
      <w:bookmarkStart w:id="139" w:name="_Toc30476"/>
      <w:bookmarkStart w:id="140" w:name="_Toc25981"/>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33"/>
      <w:bookmarkEnd w:id="134"/>
      <w:bookmarkEnd w:id="135"/>
      <w:bookmarkEnd w:id="136"/>
      <w:bookmarkEnd w:id="137"/>
      <w:bookmarkEnd w:id="138"/>
      <w:bookmarkEnd w:id="139"/>
      <w:bookmarkEnd w:id="140"/>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41" w:name="_Toc422466732"/>
      <w:bookmarkStart w:id="142" w:name="_Toc432149006"/>
      <w:r>
        <w:rPr>
          <w:rFonts w:hint="eastAsia" w:asciiTheme="minorEastAsia" w:hAnsiTheme="minorEastAsia" w:eastAsiaTheme="minorEastAsia" w:cstheme="minorEastAsia"/>
          <w:b/>
          <w:bCs/>
          <w:sz w:val="24"/>
        </w:rPr>
        <w:br w:type="page"/>
      </w:r>
      <w:bookmarkStart w:id="143" w:name="_Toc479184128"/>
      <w:bookmarkStart w:id="144" w:name="_Toc4741"/>
      <w:bookmarkStart w:id="145" w:name="_Toc4301"/>
      <w:bookmarkStart w:id="146" w:name="_Toc30073"/>
      <w:r>
        <w:rPr>
          <w:rFonts w:hint="eastAsia" w:asciiTheme="minorEastAsia" w:hAnsiTheme="minorEastAsia" w:eastAsiaTheme="minorEastAsia" w:cstheme="minorEastAsia"/>
          <w:b/>
          <w:bCs/>
          <w:szCs w:val="21"/>
        </w:rPr>
        <w:t>四、报价一览表</w:t>
      </w:r>
      <w:bookmarkEnd w:id="141"/>
      <w:bookmarkEnd w:id="142"/>
      <w:bookmarkEnd w:id="143"/>
      <w:bookmarkEnd w:id="144"/>
      <w:bookmarkEnd w:id="145"/>
      <w:bookmarkEnd w:id="146"/>
    </w:p>
    <w:p>
      <w:pPr>
        <w:adjustRightInd w:val="0"/>
        <w:snapToGrid w:val="0"/>
        <w:ind w:left="-88"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大写：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小写：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7" w:name="_Toc460258117"/>
      <w:bookmarkStart w:id="148" w:name="_Toc259028723"/>
      <w:bookmarkStart w:id="149" w:name="_Toc424832831"/>
      <w:bookmarkStart w:id="150" w:name="_Toc432149007"/>
      <w:r>
        <w:rPr>
          <w:rFonts w:hint="eastAsia" w:asciiTheme="minorEastAsia" w:hAnsiTheme="minorEastAsia" w:eastAsiaTheme="minorEastAsia" w:cstheme="minorEastAsia"/>
          <w:b/>
          <w:bCs/>
          <w:sz w:val="24"/>
        </w:rPr>
        <w:br w:type="page"/>
      </w:r>
      <w:bookmarkStart w:id="151" w:name="_Toc1079"/>
      <w:bookmarkStart w:id="152" w:name="_Toc18559"/>
      <w:bookmarkStart w:id="153" w:name="_Toc479184129"/>
      <w:bookmarkStart w:id="154" w:name="_Toc522"/>
      <w:r>
        <w:rPr>
          <w:rFonts w:hint="eastAsia" w:asciiTheme="minorEastAsia" w:hAnsiTheme="minorEastAsia" w:eastAsiaTheme="minorEastAsia" w:cstheme="minorEastAsia"/>
          <w:b/>
          <w:bCs/>
          <w:szCs w:val="21"/>
        </w:rPr>
        <w:t>五、</w:t>
      </w:r>
      <w:bookmarkEnd w:id="147"/>
      <w:bookmarkEnd w:id="148"/>
      <w:bookmarkEnd w:id="151"/>
      <w:bookmarkEnd w:id="152"/>
      <w:bookmarkEnd w:id="153"/>
      <w:r>
        <w:rPr>
          <w:rFonts w:hint="eastAsia" w:asciiTheme="minorEastAsia" w:hAnsiTheme="minorEastAsia" w:eastAsiaTheme="minorEastAsia" w:cstheme="minorEastAsia"/>
          <w:b/>
          <w:bCs/>
          <w:szCs w:val="21"/>
        </w:rPr>
        <w:t>报价费用构成表</w:t>
      </w:r>
      <w:bookmarkEnd w:id="154"/>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5" w:name="_Toc15355"/>
      <w:bookmarkStart w:id="156" w:name="_Toc479184130"/>
      <w:bookmarkStart w:id="157" w:name="_Toc28656"/>
      <w:bookmarkStart w:id="158" w:name="_Toc26825"/>
      <w:r>
        <w:rPr>
          <w:rFonts w:hint="eastAsia" w:asciiTheme="minorEastAsia" w:hAnsiTheme="minorEastAsia" w:eastAsiaTheme="minorEastAsia" w:cstheme="minorEastAsia"/>
          <w:b/>
          <w:bCs/>
          <w:szCs w:val="21"/>
        </w:rPr>
        <w:t>六、耗材清单</w:t>
      </w:r>
      <w:bookmarkEnd w:id="155"/>
      <w:bookmarkEnd w:id="156"/>
      <w:bookmarkEnd w:id="157"/>
      <w:bookmarkEnd w:id="158"/>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9" w:name="_Toc7535"/>
      <w:bookmarkStart w:id="160" w:name="_Toc32726"/>
      <w:bookmarkStart w:id="161" w:name="_Toc479184131"/>
      <w:bookmarkStart w:id="162" w:name="_Toc28585"/>
      <w:r>
        <w:rPr>
          <w:rFonts w:hint="eastAsia" w:asciiTheme="minorEastAsia" w:hAnsiTheme="minorEastAsia" w:eastAsiaTheme="minorEastAsia" w:cstheme="minorEastAsia"/>
          <w:b/>
          <w:bCs/>
          <w:szCs w:val="21"/>
        </w:rPr>
        <w:t>七、拟投入设备/备件、工具情况</w:t>
      </w:r>
      <w:bookmarkEnd w:id="159"/>
      <w:bookmarkEnd w:id="160"/>
      <w:bookmarkEnd w:id="161"/>
      <w:bookmarkEnd w:id="162"/>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3" w:name="_Toc450827818"/>
      <w:bookmarkStart w:id="164" w:name="_Toc479184132"/>
      <w:bookmarkStart w:id="165" w:name="_Toc27053"/>
      <w:bookmarkStart w:id="166" w:name="_Toc10449"/>
      <w:bookmarkStart w:id="167" w:name="_Toc28367"/>
      <w:r>
        <w:rPr>
          <w:rFonts w:hint="eastAsia" w:asciiTheme="minorEastAsia" w:hAnsiTheme="minorEastAsia" w:eastAsiaTheme="minorEastAsia" w:cstheme="minorEastAsia"/>
          <w:b/>
          <w:bCs/>
          <w:szCs w:val="21"/>
        </w:rPr>
        <w:t>八、缴纳保证金的银行凭证</w:t>
      </w:r>
      <w:bookmarkEnd w:id="163"/>
      <w:bookmarkEnd w:id="164"/>
      <w:bookmarkEnd w:id="165"/>
      <w:bookmarkEnd w:id="166"/>
      <w:r>
        <w:rPr>
          <w:rFonts w:hint="eastAsia" w:asciiTheme="minorEastAsia" w:hAnsiTheme="minorEastAsia" w:eastAsiaTheme="minorEastAsia" w:cstheme="minorEastAsia"/>
          <w:b/>
          <w:bCs/>
          <w:szCs w:val="21"/>
        </w:rPr>
        <w:t>（如有）</w:t>
      </w:r>
      <w:bookmarkEnd w:id="167"/>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间：年月日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8" w:name="_Toc479184133"/>
      <w:bookmarkStart w:id="169" w:name="_Toc422466736"/>
      <w:bookmarkStart w:id="170" w:name="_Toc28200"/>
      <w:bookmarkStart w:id="171" w:name="_Toc432149012"/>
      <w:bookmarkStart w:id="172" w:name="_Toc1591"/>
      <w:bookmarkStart w:id="173" w:name="_Toc9916"/>
      <w:r>
        <w:rPr>
          <w:rFonts w:hint="eastAsia" w:asciiTheme="minorEastAsia" w:hAnsiTheme="minorEastAsia" w:eastAsiaTheme="minorEastAsia" w:cstheme="minorEastAsia"/>
          <w:b/>
          <w:bCs/>
          <w:szCs w:val="21"/>
        </w:rPr>
        <w:t>九、偏离说明表</w:t>
      </w:r>
      <w:bookmarkEnd w:id="168"/>
      <w:bookmarkEnd w:id="169"/>
      <w:bookmarkEnd w:id="170"/>
      <w:bookmarkEnd w:id="171"/>
      <w:bookmarkEnd w:id="172"/>
      <w:bookmarkEnd w:id="173"/>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4"/>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4"/>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4" w:name="_Toc362935521"/>
      <w:bookmarkStart w:id="175" w:name="_Toc432149013"/>
      <w:bookmarkStart w:id="176" w:name="_Toc479184134"/>
      <w:bookmarkStart w:id="177" w:name="_Toc28283"/>
      <w:bookmarkStart w:id="178" w:name="_Toc32060"/>
      <w:bookmarkStart w:id="179" w:name="_Toc4873"/>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szCs w:val="21"/>
        </w:rPr>
        <w:br w:type="textWrapping"/>
      </w:r>
      <w:bookmarkEnd w:id="179"/>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330"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771"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是否投</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入使用</w:t>
            </w:r>
          </w:p>
        </w:tc>
        <w:tc>
          <w:tcPr>
            <w:tcW w:w="59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80" w:name="_Toc460258118"/>
      <w:bookmarkStart w:id="181"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2" w:name="_Toc479184135"/>
      <w:bookmarkStart w:id="183" w:name="_Toc4834"/>
      <w:bookmarkStart w:id="184" w:name="_Toc30455"/>
      <w:bookmarkStart w:id="185" w:name="_Toc13659"/>
      <w:r>
        <w:rPr>
          <w:rFonts w:hint="eastAsia" w:asciiTheme="minorEastAsia" w:hAnsiTheme="minorEastAsia" w:eastAsiaTheme="minorEastAsia" w:cstheme="minorEastAsia"/>
          <w:b/>
          <w:bCs/>
          <w:szCs w:val="21"/>
        </w:rPr>
        <w:t>十一、拟投入项目组人员一览表</w:t>
      </w:r>
      <w:bookmarkEnd w:id="180"/>
      <w:bookmarkEnd w:id="181"/>
      <w:bookmarkEnd w:id="182"/>
      <w:bookmarkEnd w:id="183"/>
      <w:bookmarkEnd w:id="184"/>
      <w:bookmarkEnd w:id="185"/>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6" w:name="_Toc432149014"/>
      <w:bookmarkStart w:id="187" w:name="_Toc10429"/>
      <w:bookmarkStart w:id="188" w:name="_Toc479184136"/>
      <w:bookmarkStart w:id="189" w:name="_Toc26838"/>
      <w:bookmarkStart w:id="190" w:name="_Toc422466737"/>
      <w:bookmarkStart w:id="191" w:name="_Toc28264"/>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6"/>
      <w:bookmarkEnd w:id="187"/>
      <w:bookmarkEnd w:id="188"/>
      <w:bookmarkEnd w:id="189"/>
      <w:bookmarkEnd w:id="190"/>
      <w:bookmarkEnd w:id="191"/>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 邮箱：</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 传真：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   净值：</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2" w:name="_Toc479184137"/>
      <w:bookmarkStart w:id="193" w:name="_Toc450827823"/>
      <w:bookmarkStart w:id="194" w:name="_Toc17527"/>
      <w:bookmarkStart w:id="195" w:name="_Toc259028731"/>
      <w:bookmarkStart w:id="196" w:name="_Toc17331"/>
      <w:bookmarkStart w:id="197" w:name="_Toc8742"/>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2"/>
      <w:bookmarkEnd w:id="193"/>
      <w:bookmarkEnd w:id="194"/>
      <w:bookmarkEnd w:id="195"/>
      <w:bookmarkEnd w:id="196"/>
      <w:bookmarkEnd w:id="197"/>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8" w:name="_Toc5793"/>
      <w:bookmarkStart w:id="199" w:name="_Toc364868916"/>
      <w:bookmarkStart w:id="200" w:name="_Toc18555"/>
      <w:bookmarkStart w:id="201" w:name="_Toc32187"/>
      <w:bookmarkStart w:id="202" w:name="_Toc427239751"/>
      <w:bookmarkStart w:id="203" w:name="_Toc358447587"/>
      <w:bookmarkStart w:id="204" w:name="_Toc290207179"/>
      <w:r>
        <w:rPr>
          <w:rFonts w:hint="eastAsia" w:asciiTheme="minorEastAsia" w:hAnsiTheme="minorEastAsia" w:eastAsiaTheme="minorEastAsia" w:cstheme="minorEastAsia"/>
          <w:b/>
          <w:bCs/>
          <w:kern w:val="0"/>
          <w:szCs w:val="21"/>
        </w:rPr>
        <w:t>十四、</w:t>
      </w:r>
      <w:bookmarkEnd w:id="198"/>
      <w:bookmarkEnd w:id="199"/>
      <w:bookmarkEnd w:id="200"/>
      <w:bookmarkEnd w:id="201"/>
      <w:bookmarkEnd w:id="202"/>
      <w:bookmarkEnd w:id="203"/>
      <w:bookmarkEnd w:id="204"/>
      <w:bookmarkStart w:id="205" w:name="_Toc460258123"/>
      <w:bookmarkStart w:id="206" w:name="_Toc27229"/>
      <w:bookmarkStart w:id="207" w:name="_Toc29785"/>
      <w:bookmarkStart w:id="208" w:name="_Toc479184138"/>
      <w:r>
        <w:rPr>
          <w:rFonts w:hint="eastAsia" w:asciiTheme="minorEastAsia" w:hAnsiTheme="minorEastAsia" w:eastAsiaTheme="minorEastAsia" w:cstheme="minorEastAsia"/>
          <w:b/>
        </w:rPr>
        <w:t>报价技术文件</w:t>
      </w:r>
      <w:bookmarkEnd w:id="205"/>
      <w:bookmarkEnd w:id="206"/>
      <w:bookmarkEnd w:id="207"/>
      <w:bookmarkEnd w:id="208"/>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09" w:name="_Toc356836516"/>
      <w:bookmarkStart w:id="210" w:name="_Toc355802499"/>
      <w:bookmarkStart w:id="211" w:name="_Toc422466739"/>
      <w:bookmarkStart w:id="212" w:name="_Toc479184140"/>
      <w:bookmarkStart w:id="213" w:name="_Toc432149016"/>
      <w:bookmarkStart w:id="214" w:name="_Toc12119"/>
      <w:bookmarkStart w:id="215" w:name="_Toc8098"/>
      <w:bookmarkStart w:id="216" w:name="_Toc2101"/>
      <w:bookmarkStart w:id="217" w:name="_Toc22465"/>
      <w:bookmarkStart w:id="218" w:name="_Toc28006"/>
      <w:r>
        <w:rPr>
          <w:rFonts w:hint="eastAsia" w:asciiTheme="minorEastAsia" w:hAnsiTheme="minorEastAsia" w:eastAsiaTheme="minorEastAsia" w:cstheme="minorEastAsia"/>
          <w:b/>
        </w:rPr>
        <w:t>十五、中小企业声明函</w:t>
      </w:r>
      <w:bookmarkEnd w:id="209"/>
      <w:bookmarkEnd w:id="210"/>
      <w:bookmarkEnd w:id="211"/>
      <w:bookmarkEnd w:id="212"/>
      <w:bookmarkEnd w:id="213"/>
      <w:bookmarkEnd w:id="214"/>
      <w:bookmarkEnd w:id="215"/>
      <w:bookmarkEnd w:id="216"/>
      <w:bookmarkEnd w:id="217"/>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8"/>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19" w:name="OLE_LINK5"/>
      <w:r>
        <w:rPr>
          <w:rFonts w:hint="eastAsia" w:asciiTheme="minorEastAsia" w:hAnsiTheme="minorEastAsia" w:eastAsiaTheme="minorEastAsia" w:cstheme="minorEastAsia"/>
          <w:spacing w:val="6"/>
          <w:szCs w:val="21"/>
        </w:rPr>
        <w:t>______（请填写：中型、小型、微型）企业</w:t>
      </w:r>
      <w:bookmarkEnd w:id="219"/>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6"/>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6"/>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p>
    <w:bookmarkEnd w:id="120"/>
    <w:bookmarkEnd w:id="121"/>
    <w:bookmarkEnd w:id="122"/>
    <w:bookmarkEnd w:id="123"/>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0" w:name="_Toc3750"/>
      <w:bookmarkStart w:id="221" w:name="_Toc4320"/>
      <w:bookmarkStart w:id="222" w:name="_Toc7229"/>
      <w:bookmarkStart w:id="223" w:name="_Toc30406"/>
      <w:bookmarkStart w:id="224" w:name="_Toc479184141"/>
      <w:bookmarkStart w:id="225" w:name="_Toc476839034"/>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0"/>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6" w:name="_Toc16025"/>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6"/>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7" w:name="_Toc23962"/>
      <w:r>
        <w:rPr>
          <w:rFonts w:hint="eastAsia" w:asciiTheme="minorEastAsia" w:hAnsiTheme="minorEastAsia" w:eastAsiaTheme="minorEastAsia" w:cstheme="minorEastAsia"/>
          <w:b/>
        </w:rPr>
        <w:t>十八、节能环保产品证明材料（若符合）</w:t>
      </w:r>
      <w:bookmarkEnd w:id="227"/>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8" w:name="_Toc30264"/>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1"/>
      <w:bookmarkEnd w:id="222"/>
      <w:bookmarkEnd w:id="223"/>
      <w:bookmarkEnd w:id="224"/>
      <w:bookmarkEnd w:id="225"/>
      <w:bookmarkEnd w:id="228"/>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line="36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szCs w:val="21"/>
          <w:lang w:val="zh-CN"/>
        </w:rPr>
        <w:t>时                 间：           年          月          日</w:t>
      </w:r>
    </w:p>
    <w:p>
      <w:pPr>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asciiTheme="minorEastAsia" w:hAnsiTheme="minorEastAsia" w:eastAsiaTheme="minorEastAsia" w:cstheme="minorEastAsia"/>
          <w:spacing w:val="6"/>
          <w:szCs w:val="21"/>
        </w:rPr>
      </w:pPr>
      <w:bookmarkStart w:id="229" w:name="_Toc10829"/>
      <w:bookmarkStart w:id="230" w:name="_Toc1261"/>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二十、磋商供应商认为应该提交的其它文件（格式自拟）</w:t>
      </w:r>
      <w:bookmarkEnd w:id="229"/>
      <w:bookmarkEnd w:id="230"/>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28</w:t>
    </w:r>
    <w:r>
      <w:rPr>
        <w:lang w:val="zh-CN"/>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990125"/>
    <w:multiLevelType w:val="multilevel"/>
    <w:tmpl w:val="22990125"/>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3E9C3A44"/>
    <w:multiLevelType w:val="multilevel"/>
    <w:tmpl w:val="3E9C3A44"/>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6">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9">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1">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3">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4">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1">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4">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6">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9"/>
  </w:num>
  <w:num w:numId="2">
    <w:abstractNumId w:val="10"/>
  </w:num>
  <w:num w:numId="3">
    <w:abstractNumId w:val="19"/>
  </w:num>
  <w:num w:numId="4">
    <w:abstractNumId w:val="29"/>
  </w:num>
  <w:num w:numId="5">
    <w:abstractNumId w:val="13"/>
  </w:num>
  <w:num w:numId="6">
    <w:abstractNumId w:val="12"/>
  </w:num>
  <w:num w:numId="7">
    <w:abstractNumId w:val="1"/>
  </w:num>
  <w:num w:numId="8">
    <w:abstractNumId w:val="33"/>
  </w:num>
  <w:num w:numId="9">
    <w:abstractNumId w:val="15"/>
  </w:num>
  <w:num w:numId="10">
    <w:abstractNumId w:val="8"/>
  </w:num>
  <w:num w:numId="11">
    <w:abstractNumId w:val="14"/>
  </w:num>
  <w:num w:numId="12">
    <w:abstractNumId w:val="35"/>
  </w:num>
  <w:num w:numId="13">
    <w:abstractNumId w:val="45"/>
  </w:num>
  <w:num w:numId="14">
    <w:abstractNumId w:val="46"/>
  </w:num>
  <w:num w:numId="15">
    <w:abstractNumId w:val="28"/>
  </w:num>
  <w:num w:numId="16">
    <w:abstractNumId w:val="31"/>
  </w:num>
  <w:num w:numId="17">
    <w:abstractNumId w:val="34"/>
  </w:num>
  <w:num w:numId="18">
    <w:abstractNumId w:val="36"/>
  </w:num>
  <w:num w:numId="19">
    <w:abstractNumId w:val="3"/>
  </w:num>
  <w:num w:numId="20">
    <w:abstractNumId w:val="38"/>
  </w:num>
  <w:num w:numId="21">
    <w:abstractNumId w:val="5"/>
  </w:num>
  <w:num w:numId="22">
    <w:abstractNumId w:val="26"/>
  </w:num>
  <w:num w:numId="23">
    <w:abstractNumId w:val="21"/>
  </w:num>
  <w:num w:numId="24">
    <w:abstractNumId w:val="41"/>
  </w:num>
  <w:num w:numId="25">
    <w:abstractNumId w:val="11"/>
  </w:num>
  <w:num w:numId="26">
    <w:abstractNumId w:val="27"/>
  </w:num>
  <w:num w:numId="27">
    <w:abstractNumId w:val="7"/>
  </w:num>
  <w:num w:numId="28">
    <w:abstractNumId w:val="40"/>
  </w:num>
  <w:num w:numId="29">
    <w:abstractNumId w:val="44"/>
  </w:num>
  <w:num w:numId="30">
    <w:abstractNumId w:val="30"/>
  </w:num>
  <w:num w:numId="31">
    <w:abstractNumId w:val="23"/>
  </w:num>
  <w:num w:numId="32">
    <w:abstractNumId w:val="9"/>
  </w:num>
  <w:num w:numId="33">
    <w:abstractNumId w:val="20"/>
  </w:num>
  <w:num w:numId="34">
    <w:abstractNumId w:val="43"/>
  </w:num>
  <w:num w:numId="35">
    <w:abstractNumId w:val="25"/>
  </w:num>
  <w:num w:numId="36">
    <w:abstractNumId w:val="24"/>
  </w:num>
  <w:num w:numId="37">
    <w:abstractNumId w:val="16"/>
  </w:num>
  <w:num w:numId="38">
    <w:abstractNumId w:val="42"/>
  </w:num>
  <w:num w:numId="39">
    <w:abstractNumId w:val="37"/>
  </w:num>
  <w:num w:numId="40">
    <w:abstractNumId w:val="17"/>
  </w:num>
  <w:num w:numId="41">
    <w:abstractNumId w:val="32"/>
  </w:num>
  <w:num w:numId="42">
    <w:abstractNumId w:val="2"/>
  </w:num>
  <w:num w:numId="43">
    <w:abstractNumId w:val="18"/>
  </w:num>
  <w:num w:numId="44">
    <w:abstractNumId w:val="22"/>
  </w:num>
  <w:num w:numId="45">
    <w:abstractNumId w:val="6"/>
  </w:num>
  <w:num w:numId="46">
    <w:abstractNumId w:val="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2856"/>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1746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2CB1"/>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587A"/>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2AD"/>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2F92"/>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1754A"/>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09E6"/>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1381"/>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F02600"/>
    <w:rsid w:val="0D162766"/>
    <w:rsid w:val="0D30615A"/>
    <w:rsid w:val="0D50445B"/>
    <w:rsid w:val="0D7807F1"/>
    <w:rsid w:val="0D895A46"/>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795D7A"/>
    <w:rsid w:val="0FA03F81"/>
    <w:rsid w:val="0FC5121F"/>
    <w:rsid w:val="0FC52200"/>
    <w:rsid w:val="0FC57219"/>
    <w:rsid w:val="0FF11896"/>
    <w:rsid w:val="0FF743B8"/>
    <w:rsid w:val="104114BC"/>
    <w:rsid w:val="104F21E7"/>
    <w:rsid w:val="10522A43"/>
    <w:rsid w:val="105950B7"/>
    <w:rsid w:val="10681B45"/>
    <w:rsid w:val="10D545EB"/>
    <w:rsid w:val="10E51E7E"/>
    <w:rsid w:val="10FF0DFD"/>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9E02FC"/>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C60A0"/>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81E88"/>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4DA79D2"/>
    <w:rsid w:val="255D2F2A"/>
    <w:rsid w:val="256C5A3D"/>
    <w:rsid w:val="257963F1"/>
    <w:rsid w:val="25A7402B"/>
    <w:rsid w:val="25FE15DC"/>
    <w:rsid w:val="26806C09"/>
    <w:rsid w:val="26863962"/>
    <w:rsid w:val="26983FA4"/>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E42B9F"/>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2396D"/>
    <w:rsid w:val="2F1B0798"/>
    <w:rsid w:val="2F4F0438"/>
    <w:rsid w:val="2F506BFB"/>
    <w:rsid w:val="2F7E2CC0"/>
    <w:rsid w:val="2F921764"/>
    <w:rsid w:val="2F98405A"/>
    <w:rsid w:val="2FD11EB8"/>
    <w:rsid w:val="2FE1749B"/>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6264E0"/>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D43B66"/>
    <w:rsid w:val="39EC03FA"/>
    <w:rsid w:val="3A0F43E5"/>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1212AA"/>
    <w:rsid w:val="45485BDE"/>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C56067"/>
    <w:rsid w:val="4FD11AC0"/>
    <w:rsid w:val="502F75EB"/>
    <w:rsid w:val="50400243"/>
    <w:rsid w:val="50494336"/>
    <w:rsid w:val="50784012"/>
    <w:rsid w:val="50813C12"/>
    <w:rsid w:val="5087463E"/>
    <w:rsid w:val="50A11680"/>
    <w:rsid w:val="50B77550"/>
    <w:rsid w:val="50C773AE"/>
    <w:rsid w:val="50CD6602"/>
    <w:rsid w:val="510D0F23"/>
    <w:rsid w:val="51197B59"/>
    <w:rsid w:val="51422961"/>
    <w:rsid w:val="51615030"/>
    <w:rsid w:val="51627812"/>
    <w:rsid w:val="51C136D4"/>
    <w:rsid w:val="51D33F6D"/>
    <w:rsid w:val="51DB1448"/>
    <w:rsid w:val="52045DB4"/>
    <w:rsid w:val="522C275E"/>
    <w:rsid w:val="524C13A2"/>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F35AE"/>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185132"/>
    <w:rsid w:val="5E2A0167"/>
    <w:rsid w:val="5E5D68E8"/>
    <w:rsid w:val="5E802A96"/>
    <w:rsid w:val="5E9074FF"/>
    <w:rsid w:val="5EAE1AF2"/>
    <w:rsid w:val="5EB62A77"/>
    <w:rsid w:val="5EB80355"/>
    <w:rsid w:val="5EBB2226"/>
    <w:rsid w:val="5EBE5F24"/>
    <w:rsid w:val="5EF07004"/>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3D573F"/>
    <w:rsid w:val="68457681"/>
    <w:rsid w:val="684977D5"/>
    <w:rsid w:val="68552C50"/>
    <w:rsid w:val="68575A0D"/>
    <w:rsid w:val="685D34E7"/>
    <w:rsid w:val="68665922"/>
    <w:rsid w:val="68A8123A"/>
    <w:rsid w:val="68B84F4C"/>
    <w:rsid w:val="69055229"/>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3983"/>
    <w:rsid w:val="6E95768E"/>
    <w:rsid w:val="6EA14900"/>
    <w:rsid w:val="6EB27AA3"/>
    <w:rsid w:val="6EBD1CFE"/>
    <w:rsid w:val="6EF9461D"/>
    <w:rsid w:val="6F1348E9"/>
    <w:rsid w:val="6F2A01FE"/>
    <w:rsid w:val="6F2A71A4"/>
    <w:rsid w:val="6F9415EA"/>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45B09"/>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B1443"/>
    <w:rsid w:val="75CD3F16"/>
    <w:rsid w:val="761A34DA"/>
    <w:rsid w:val="76781DCD"/>
    <w:rsid w:val="76D84698"/>
    <w:rsid w:val="775865D7"/>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DDD18D5"/>
    <w:rsid w:val="7E5C79E7"/>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layui-laypage-curr"/>
    <w:basedOn w:val="28"/>
    <w:qFormat/>
    <w:uiPriority w:val="0"/>
  </w:style>
  <w:style w:type="character" w:customStyle="1" w:styleId="99">
    <w:name w:val="label"/>
    <w:basedOn w:val="28"/>
    <w:qFormat/>
    <w:uiPriority w:val="0"/>
    <w:rPr>
      <w:color w:val="999999"/>
    </w:rPr>
  </w:style>
  <w:style w:type="paragraph" w:customStyle="1" w:styleId="100">
    <w:name w:val="_Style 99"/>
    <w:basedOn w:val="1"/>
    <w:next w:val="1"/>
    <w:qFormat/>
    <w:uiPriority w:val="0"/>
    <w:pPr>
      <w:pBdr>
        <w:bottom w:val="single" w:color="auto" w:sz="6" w:space="1"/>
      </w:pBdr>
      <w:jc w:val="center"/>
    </w:pPr>
    <w:rPr>
      <w:rFonts w:ascii="Arial"/>
      <w:vanish/>
      <w:sz w:val="16"/>
    </w:rPr>
  </w:style>
  <w:style w:type="paragraph" w:customStyle="1" w:styleId="101">
    <w:name w:val="_Style 100"/>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AA10F-7FCA-4141-AA32-5ED936A67D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6696</Words>
  <Characters>38169</Characters>
  <Lines>318</Lines>
  <Paragraphs>89</Paragraphs>
  <TotalTime>9</TotalTime>
  <ScaleCrop>false</ScaleCrop>
  <LinksUpToDate>false</LinksUpToDate>
  <CharactersWithSpaces>44776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2020-08-02T04:04:26Z</dcterms:modified>
  <dc:title>湖 北  招 标</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