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br w:type="textWrapping"/>
      </w:r>
      <w:r>
        <w:rPr>
          <w:rFonts w:hint="eastAsia" w:asciiTheme="minorEastAsia" w:hAnsiTheme="minorEastAsia" w:eastAsiaTheme="minorEastAsia" w:cstheme="minorEastAsia"/>
          <w:sz w:val="28"/>
        </w:rPr>
        <w:br w:type="textWrapping"/>
      </w:r>
    </w:p>
    <w:p>
      <w:pPr>
        <w:pStyle w:val="10"/>
        <w:kinsoku w:val="0"/>
        <w:overflowPunct w:val="0"/>
        <w:spacing w:before="194"/>
        <w:jc w:val="center"/>
        <w:rPr>
          <w:rFonts w:asciiTheme="minorEastAsia" w:hAnsiTheme="minorEastAsia" w:eastAsiaTheme="minorEastAsia" w:cstheme="minorEastAsia"/>
          <w:sz w:val="92"/>
        </w:rPr>
      </w:pPr>
      <w:r>
        <w:rPr>
          <w:rFonts w:hint="eastAsia" w:asciiTheme="minorEastAsia" w:hAnsiTheme="minorEastAsia" w:eastAsiaTheme="minorEastAsia" w:cstheme="minorEastAsia"/>
          <w:shadow/>
          <w:sz w:val="92"/>
        </w:rPr>
        <w:t>竞争性磋商采购文件</w:t>
      </w:r>
    </w:p>
    <w:p>
      <w:pPr>
        <w:pStyle w:val="10"/>
        <w:kinsoku w:val="0"/>
        <w:overflowPunct w:val="0"/>
        <w:rPr>
          <w:rFonts w:asciiTheme="minorEastAsia" w:hAnsiTheme="minorEastAsia" w:eastAsiaTheme="minorEastAsia" w:cstheme="minorEastAsia"/>
          <w:sz w:val="20"/>
        </w:rPr>
      </w:pPr>
    </w:p>
    <w:p>
      <w:pPr>
        <w:pStyle w:val="10"/>
        <w:kinsoku w:val="0"/>
        <w:overflowPunct w:val="0"/>
        <w:jc w:val="center"/>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2" w:after="1"/>
        <w:rPr>
          <w:rFonts w:asciiTheme="minorEastAsia" w:hAnsiTheme="minorEastAsia" w:eastAsiaTheme="minorEastAsia" w:cstheme="minorEastAsia"/>
          <w:sz w:val="11"/>
        </w:rPr>
      </w:pPr>
    </w:p>
    <w:tbl>
      <w:tblPr>
        <w:tblStyle w:val="26"/>
        <w:tblW w:w="8146" w:type="dxa"/>
        <w:tblInd w:w="690" w:type="dxa"/>
        <w:tblLayout w:type="fixed"/>
        <w:tblCellMar>
          <w:top w:w="0" w:type="dxa"/>
          <w:left w:w="0" w:type="dxa"/>
          <w:bottom w:w="0" w:type="dxa"/>
          <w:right w:w="0" w:type="dxa"/>
        </w:tblCellMar>
      </w:tblPr>
      <w:tblGrid>
        <w:gridCol w:w="2093"/>
        <w:gridCol w:w="6053"/>
      </w:tblGrid>
      <w:tr>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项 目  编 号：</w:t>
            </w:r>
          </w:p>
        </w:tc>
        <w:tc>
          <w:tcPr>
            <w:tcW w:w="6053" w:type="dxa"/>
            <w:tcBorders>
              <w:top w:val="nil"/>
              <w:left w:val="nil"/>
              <w:bottom w:val="nil"/>
              <w:right w:val="nil"/>
              <w:tl2br w:val="nil"/>
              <w:tr2bl w:val="nil"/>
            </w:tcBorders>
            <w:vAlign w:val="center"/>
          </w:tcPr>
          <w:p>
            <w:pPr>
              <w:pStyle w:val="95"/>
              <w:kinsoku w:val="0"/>
              <w:overflowPunct w:val="0"/>
              <w:spacing w:before="122"/>
              <w:ind w:left="55"/>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ZJZB-202007-213</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项 目  名 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rPr>
                <w:rFonts w:hint="eastAsia" w:asciiTheme="minorEastAsia" w:hAnsiTheme="minorEastAsia" w:eastAsiaTheme="minorEastAsia" w:cstheme="minorEastAsia"/>
                <w:b/>
                <w:color w:val="000000" w:themeColor="text1"/>
                <w:sz w:val="28"/>
                <w:lang w:eastAsia="zh-CN"/>
              </w:rPr>
            </w:pPr>
            <w:r>
              <w:rPr>
                <w:rFonts w:hint="eastAsia" w:asciiTheme="minorEastAsia" w:hAnsiTheme="minorEastAsia" w:eastAsiaTheme="minorEastAsia" w:cstheme="minorEastAsia"/>
                <w:b/>
                <w:color w:val="000000" w:themeColor="text1"/>
                <w:sz w:val="28"/>
                <w:lang w:eastAsia="zh-CN"/>
              </w:rPr>
              <w:t>湖北鑫盛工贸有限责任公司2020年度备品备件采购项目</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方 式：</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货物</w:t>
            </w:r>
          </w:p>
        </w:tc>
      </w:tr>
    </w:tbl>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4"/>
        <w:rPr>
          <w:rFonts w:asciiTheme="minorEastAsia" w:hAnsiTheme="minorEastAsia" w:eastAsiaTheme="minorEastAsia" w:cstheme="minorEastAsia"/>
          <w:sz w:val="20"/>
        </w:rPr>
      </w:pPr>
    </w:p>
    <w:tbl>
      <w:tblPr>
        <w:tblStyle w:val="26"/>
        <w:tblW w:w="8123" w:type="dxa"/>
        <w:tblInd w:w="713" w:type="dxa"/>
        <w:tblLayout w:type="fixed"/>
        <w:tblCellMar>
          <w:top w:w="0" w:type="dxa"/>
          <w:left w:w="0" w:type="dxa"/>
          <w:bottom w:w="0" w:type="dxa"/>
          <w:right w:w="0" w:type="dxa"/>
        </w:tblCellMar>
      </w:tblPr>
      <w:tblGrid>
        <w:gridCol w:w="2041"/>
        <w:gridCol w:w="6082"/>
      </w:tblGrid>
      <w:tr>
        <w:tblPrEx>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湖北鑫盛工贸有限责任公司</w:t>
            </w:r>
          </w:p>
        </w:tc>
      </w:tr>
      <w:tr>
        <w:tblPrEx>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中经国际招标集团有限公司</w:t>
            </w:r>
          </w:p>
        </w:tc>
      </w:tr>
      <w:tr>
        <w:tblPrEx>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000000" w:themeColor="text1"/>
                <w:sz w:val="28"/>
              </w:rPr>
            </w:pPr>
            <w:r>
              <w:rPr>
                <w:rFonts w:asciiTheme="minorEastAsia" w:hAnsiTheme="minorEastAsia" w:eastAsiaTheme="minorEastAsia" w:cstheme="minorEastAsia"/>
                <w:b/>
                <w:color w:val="000000" w:themeColor="text1"/>
                <w:sz w:val="28"/>
              </w:rPr>
              <w:t>2020年</w:t>
            </w:r>
            <w:r>
              <w:rPr>
                <w:rFonts w:hint="eastAsia" w:asciiTheme="minorEastAsia" w:hAnsiTheme="minorEastAsia" w:eastAsiaTheme="minorEastAsia" w:cstheme="minorEastAsia"/>
                <w:b/>
                <w:color w:val="000000" w:themeColor="text1"/>
                <w:sz w:val="28"/>
                <w:lang w:val="en-US" w:eastAsia="zh-CN"/>
              </w:rPr>
              <w:t>8</w:t>
            </w:r>
            <w:r>
              <w:rPr>
                <w:rFonts w:asciiTheme="minorEastAsia" w:hAnsiTheme="minorEastAsia" w:eastAsiaTheme="minorEastAsia" w:cstheme="minorEastAsia"/>
                <w:b/>
                <w:color w:val="000000" w:themeColor="text1"/>
                <w:sz w:val="28"/>
              </w:rPr>
              <w:t>月</w:t>
            </w:r>
          </w:p>
        </w:tc>
      </w:tr>
    </w:tbl>
    <w:p>
      <w:pPr>
        <w:rPr>
          <w:rFonts w:asciiTheme="minorEastAsia" w:hAnsiTheme="minorEastAsia" w:eastAsiaTheme="minorEastAsia" w:cstheme="minorEastAsia"/>
          <w:sz w:val="20"/>
        </w:rPr>
        <w:sectPr>
          <w:type w:val="continuous"/>
          <w:pgSz w:w="11910" w:h="16840"/>
          <w:pgMar w:top="1400" w:right="1200" w:bottom="280" w:left="1200" w:header="720" w:footer="720" w:gutter="0"/>
          <w:cols w:space="720" w:num="1"/>
        </w:sectPr>
      </w:pPr>
    </w:p>
    <w:p>
      <w:pPr>
        <w:jc w:val="center"/>
        <w:rPr>
          <w:rFonts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asciiTheme="minorEastAsia" w:hAnsiTheme="minorEastAsia" w:eastAsiaTheme="minorEastAsia" w:cstheme="minorEastAsia"/>
          <w:b/>
          <w:bCs/>
          <w:szCs w:val="21"/>
          <w:lang w:val="zh-CN"/>
        </w:rPr>
      </w:pP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_Toc679 </w:instrText>
      </w:r>
      <w:r>
        <w:rPr>
          <w:rFonts w:hint="eastAsia" w:asciiTheme="minorEastAsia" w:hAnsiTheme="minorEastAsia" w:eastAsiaTheme="minorEastAsia" w:cstheme="minorEastAsia"/>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_Toc679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_Toc12224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一、 </w:t>
      </w:r>
      <w:r>
        <w:rPr>
          <w:rFonts w:hint="eastAsia" w:ascii="宋体" w:hAnsi="宋体" w:eastAsia="宋体" w:cs="宋体"/>
          <w:szCs w:val="21"/>
        </w:rPr>
        <w:t>项目基本情况</w:t>
      </w:r>
      <w:r>
        <w:tab/>
      </w:r>
      <w:r>
        <w:fldChar w:fldCharType="begin"/>
      </w:r>
      <w:r>
        <w:instrText xml:space="preserve"> PAGEREF _Toc12224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_Toc29801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二、 </w:t>
      </w:r>
      <w:r>
        <w:rPr>
          <w:rFonts w:hint="eastAsia" w:ascii="宋体" w:hAnsi="宋体" w:eastAsia="宋体" w:cs="宋体"/>
          <w:szCs w:val="21"/>
        </w:rPr>
        <w:t>申请人的资格要求</w:t>
      </w:r>
      <w:r>
        <w:tab/>
      </w:r>
      <w:r>
        <w:fldChar w:fldCharType="begin"/>
      </w:r>
      <w:r>
        <w:instrText xml:space="preserve"> PAGEREF _Toc29801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_Toc32192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三、 </w:t>
      </w:r>
      <w:r>
        <w:rPr>
          <w:rFonts w:hint="eastAsia" w:ascii="宋体" w:hAnsi="宋体" w:eastAsia="宋体" w:cs="宋体"/>
          <w:szCs w:val="21"/>
        </w:rPr>
        <w:t>获取采购文件</w:t>
      </w:r>
      <w:r>
        <w:tab/>
      </w:r>
      <w:r>
        <w:fldChar w:fldCharType="begin"/>
      </w:r>
      <w:r>
        <w:instrText xml:space="preserve"> PAGEREF _Toc32192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_Toc27192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四、 </w:t>
      </w:r>
      <w:r>
        <w:rPr>
          <w:rFonts w:hint="eastAsia" w:ascii="宋体" w:hAnsi="宋体" w:eastAsia="宋体" w:cs="宋体"/>
          <w:szCs w:val="21"/>
        </w:rPr>
        <w:t>响应文件提交</w:t>
      </w:r>
      <w:r>
        <w:tab/>
      </w:r>
      <w:r>
        <w:fldChar w:fldCharType="begin"/>
      </w:r>
      <w:r>
        <w:instrText xml:space="preserve"> PAGEREF _Toc27192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_Toc8201 </w:instrText>
      </w:r>
      <w:r>
        <w:rPr>
          <w:rFonts w:hint="eastAsia" w:asciiTheme="minorEastAsia" w:hAnsiTheme="minorEastAsia" w:eastAsiaTheme="minorEastAsia" w:cstheme="minorEastAsia"/>
        </w:rPr>
        <w:fldChar w:fldCharType="separate"/>
      </w:r>
      <w:r>
        <w:rPr>
          <w:rFonts w:eastAsia="宋体"/>
          <w:szCs w:val="21"/>
        </w:rPr>
        <w:t xml:space="preserve">五、 </w:t>
      </w:r>
      <w:r>
        <w:rPr>
          <w:rFonts w:hint="eastAsia" w:ascii="宋体" w:hAnsi="宋体" w:eastAsia="宋体" w:cs="宋体"/>
          <w:szCs w:val="21"/>
        </w:rPr>
        <w:t>开启</w:t>
      </w:r>
      <w:r>
        <w:tab/>
      </w:r>
      <w:r>
        <w:fldChar w:fldCharType="begin"/>
      </w:r>
      <w:r>
        <w:instrText xml:space="preserve"> PAGEREF _Toc8201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_Toc3806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六、 </w:t>
      </w:r>
      <w:r>
        <w:rPr>
          <w:rFonts w:hint="eastAsia" w:ascii="宋体" w:hAnsi="宋体" w:eastAsia="宋体" w:cs="宋体"/>
          <w:szCs w:val="21"/>
        </w:rPr>
        <w:t>公告期限</w:t>
      </w:r>
      <w:r>
        <w:tab/>
      </w:r>
      <w:r>
        <w:fldChar w:fldCharType="begin"/>
      </w:r>
      <w:r>
        <w:instrText xml:space="preserve"> PAGEREF _Toc3806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_Toc19379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七、 </w:t>
      </w:r>
      <w:r>
        <w:rPr>
          <w:rFonts w:hint="eastAsia" w:ascii="宋体" w:hAnsi="宋体" w:eastAsia="宋体" w:cs="宋体"/>
          <w:szCs w:val="21"/>
        </w:rPr>
        <w:t>其他补充事宜</w:t>
      </w:r>
      <w:r>
        <w:tab/>
      </w:r>
      <w:r>
        <w:fldChar w:fldCharType="begin"/>
      </w:r>
      <w:r>
        <w:instrText xml:space="preserve"> PAGEREF _Toc19379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_Toc2725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八、 </w:t>
      </w:r>
      <w:r>
        <w:rPr>
          <w:rFonts w:hint="eastAsia" w:ascii="宋体" w:hAnsi="宋体" w:eastAsia="宋体" w:cs="宋体"/>
          <w:szCs w:val="21"/>
        </w:rPr>
        <w:t>凡对本次采购提出询问，请按以下方式联系</w:t>
      </w:r>
      <w:r>
        <w:tab/>
      </w:r>
      <w:r>
        <w:fldChar w:fldCharType="begin"/>
      </w:r>
      <w:r>
        <w:instrText xml:space="preserve"> PAGEREF _Toc2725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_Toc31025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九、 </w:t>
      </w:r>
      <w:r>
        <w:rPr>
          <w:rFonts w:hint="eastAsia" w:asciiTheme="minorEastAsia" w:hAnsiTheme="minorEastAsia" w:eastAsiaTheme="minorEastAsia" w:cstheme="minorEastAsia"/>
          <w:szCs w:val="21"/>
        </w:rPr>
        <w:t>注意事项</w:t>
      </w:r>
      <w:r>
        <w:tab/>
      </w:r>
      <w:r>
        <w:fldChar w:fldCharType="begin"/>
      </w:r>
      <w:r>
        <w:instrText xml:space="preserve"> PAGEREF _Toc31025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_Toc18517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_Toc18517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_Toc29631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_Toc29631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_Toc11118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_Toc11118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_Toc2378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_Toc2378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_Toc2284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_Toc2284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_Toc1688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_Toc32587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_Toc32587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_Toc18877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_Toc18877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_Toc28595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_Toc28595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_Toc17692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_Toc17692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_Toc10606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_Toc10606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_Toc24452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_Toc24452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_Toc8721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_Toc8721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_Toc16940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_Toc16940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_Toc10248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_Toc10248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_Toc27546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_Toc27546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_Toc10851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_Toc10851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_Toc22203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_Toc22203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_Toc18446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_Toc18446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_Toc16304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_Toc16304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_Toc10725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_Toc10725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_Toc7204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_Toc7204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_Toc1597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_Toc1597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_Toc19234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_Toc19234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_Toc25046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_Toc25046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_Toc24769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_Toc24769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_Toc348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_Toc21545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_Toc21545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_Toc22487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_Toc22487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_Toc19129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_Toc19129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keepNext w:val="0"/>
        <w:keepLines w:val="0"/>
        <w:pageBreakBefore w:val="0"/>
        <w:widowControl w:val="0"/>
        <w:tabs>
          <w:tab w:val="right" w:leader="dot" w:pos="9072"/>
        </w:tabs>
        <w:kinsoku/>
        <w:wordWrap/>
        <w:overflowPunct/>
        <w:topLinePunct w:val="0"/>
        <w:autoSpaceDE/>
        <w:autoSpaceDN/>
        <w:bidi w:val="0"/>
        <w:adjustRightInd/>
        <w:snapToGrid/>
        <w:spacing w:line="280" w:lineRule="exact"/>
        <w:textAlignment w:val="auto"/>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_Toc25025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_Toc25025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_Toc20818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_Toc20818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_Toc6549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_Toc6549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_Toc7449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_Toc7449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_Toc23062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_Toc23062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_Toc30511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_Toc30511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_Toc25511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_Toc25511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_Toc21287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_Toc21287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_Toc9565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_Toc9565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_Toc20044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_Toc20044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_Toc12218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_Toc12218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_Toc1523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_Toc9778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_Toc9778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_Toc25956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33、 </w:t>
      </w:r>
      <w:r>
        <w:rPr>
          <w:rFonts w:hint="eastAsia" w:asciiTheme="minorEastAsia" w:hAnsiTheme="minorEastAsia" w:eastAsiaTheme="minorEastAsia" w:cstheme="minorEastAsia"/>
        </w:rPr>
        <w:t>政府采购政策</w:t>
      </w:r>
      <w:r>
        <w:tab/>
      </w:r>
      <w:r>
        <w:fldChar w:fldCharType="begin"/>
      </w:r>
      <w:r>
        <w:instrText xml:space="preserve"> PAGEREF _Toc25956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_Toc28139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_Toc28139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_Toc20526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_Toc20526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_Toc2896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_Toc2896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_Toc29653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一、技术需求</w:t>
      </w:r>
      <w:r>
        <w:tab/>
      </w:r>
      <w:r>
        <w:fldChar w:fldCharType="begin"/>
      </w:r>
      <w:r>
        <w:instrText xml:space="preserve"> PAGEREF _Toc29653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_Toc28020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二、商务需求</w:t>
      </w:r>
      <w:r>
        <w:tab/>
      </w:r>
      <w:r>
        <w:fldChar w:fldCharType="begin"/>
      </w:r>
      <w:r>
        <w:instrText xml:space="preserve"> PAGEREF _Toc28020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_Toc9279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rPr>
        <w:t>竞争性磋商采购评定办法</w:t>
      </w:r>
      <w:r>
        <w:tab/>
      </w:r>
      <w:r>
        <w:fldChar w:fldCharType="begin"/>
      </w:r>
      <w:r>
        <w:instrText xml:space="preserve"> PAGEREF _Toc9279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_Toc7511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一、评定办法前附表</w:t>
      </w:r>
      <w:r>
        <w:tab/>
      </w:r>
      <w:r>
        <w:fldChar w:fldCharType="begin"/>
      </w:r>
      <w:r>
        <w:instrText xml:space="preserve"> PAGEREF _Toc7511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二、计算办法</w:t>
      </w:r>
      <w:r>
        <w:tab/>
      </w:r>
      <w:r>
        <w:fldChar w:fldCharType="begin"/>
      </w:r>
      <w:r>
        <w:instrText xml:space="preserve"> PAGEREF _Toc82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_Toc14475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三、评分细则</w:t>
      </w:r>
      <w:r>
        <w:tab/>
      </w:r>
      <w:r>
        <w:fldChar w:fldCharType="begin"/>
      </w:r>
      <w:r>
        <w:instrText xml:space="preserve"> PAGEREF _Toc14475 </w:instrText>
      </w:r>
      <w:r>
        <w:fldChar w:fldCharType="separate"/>
      </w:r>
      <w:r>
        <w:t>44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_Toc18580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 xml:space="preserve"> 四、评定办法</w:t>
      </w:r>
      <w:r>
        <w:tab/>
      </w:r>
      <w:r>
        <w:fldChar w:fldCharType="begin"/>
      </w:r>
      <w:r>
        <w:instrText xml:space="preserve"> PAGEREF _Toc18580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_Toc6605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五、磋商及评审步骤</w:t>
      </w:r>
      <w:r>
        <w:tab/>
      </w:r>
      <w:r>
        <w:fldChar w:fldCharType="begin"/>
      </w:r>
      <w:r>
        <w:instrText xml:space="preserve"> PAGEREF _Toc6605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_Toc24536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合同书格式</w:t>
      </w:r>
      <w:r>
        <w:tab/>
      </w:r>
      <w:r>
        <w:fldChar w:fldCharType="begin"/>
      </w:r>
      <w:r>
        <w:instrText xml:space="preserve"> PAGEREF _Toc24536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_Toc26503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_Toc26503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_Toc28214 </w:instrText>
      </w:r>
      <w:r>
        <w:rPr>
          <w:rFonts w:hint="eastAsia" w:asciiTheme="minorEastAsia" w:hAnsiTheme="minorEastAsia" w:eastAsiaTheme="minorEastAsia" w:cstheme="minorEastAsia"/>
        </w:rPr>
        <w:fldChar w:fldCharType="separate"/>
      </w:r>
      <w:r>
        <w:rPr>
          <w:rFonts w:hint="eastAsia" w:ascii="宋体" w:hAnsi="宋体" w:cs="宋体"/>
          <w:szCs w:val="21"/>
        </w:rPr>
        <w:t xml:space="preserve"> 一、评分标准索引表</w:t>
      </w:r>
      <w:r>
        <w:tab/>
      </w:r>
      <w:r>
        <w:fldChar w:fldCharType="begin"/>
      </w:r>
      <w:r>
        <w:instrText xml:space="preserve"> PAGEREF _Toc28214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_Toc16226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二、磋商书</w:t>
      </w:r>
      <w:r>
        <w:tab/>
      </w:r>
      <w:r>
        <w:fldChar w:fldCharType="begin"/>
      </w:r>
      <w:r>
        <w:instrText xml:space="preserve"> PAGEREF _Toc16226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_Toc8419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xml:space="preserve">   三、法定代表人授权书</w:t>
      </w:r>
      <w:r>
        <w:tab/>
      </w:r>
      <w:r>
        <w:fldChar w:fldCharType="begin"/>
      </w:r>
      <w:r>
        <w:instrText xml:space="preserve"> PAGEREF _Toc8419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_Toc12101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 xml:space="preserve">  三、</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_Toc12101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_Toc5537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四、报价一览表</w:t>
      </w:r>
      <w:r>
        <w:tab/>
      </w:r>
      <w:r>
        <w:fldChar w:fldCharType="begin"/>
      </w:r>
      <w:r>
        <w:instrText xml:space="preserve"> PAGEREF _Toc5537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_Toc28536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五、报价费用构成表</w:t>
      </w:r>
      <w:r>
        <w:tab/>
      </w:r>
      <w:r>
        <w:fldChar w:fldCharType="begin"/>
      </w:r>
      <w:r>
        <w:instrText xml:space="preserve"> PAGEREF _Toc28536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_Toc14049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六、耗材清单</w:t>
      </w:r>
      <w:r>
        <w:tab/>
      </w:r>
      <w:r>
        <w:fldChar w:fldCharType="begin"/>
      </w:r>
      <w:r>
        <w:instrText xml:space="preserve"> PAGEREF _Toc14049 </w:instrText>
      </w:r>
      <w:r>
        <w:fldChar w:fldCharType="separate"/>
      </w:r>
      <w:r>
        <w:t>68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_Toc11978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七、拟投入设备/备件、工具情况</w:t>
      </w:r>
      <w:r>
        <w:tab/>
      </w:r>
      <w:r>
        <w:fldChar w:fldCharType="begin"/>
      </w:r>
      <w:r>
        <w:instrText xml:space="preserve"> PAGEREF _Toc11978 </w:instrText>
      </w:r>
      <w:r>
        <w:fldChar w:fldCharType="separate"/>
      </w:r>
      <w:r>
        <w:t>69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_Toc13778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八、缴纳保证金的银行凭证（如有）</w:t>
      </w:r>
      <w:r>
        <w:tab/>
      </w:r>
      <w:r>
        <w:fldChar w:fldCharType="begin"/>
      </w:r>
      <w:r>
        <w:instrText xml:space="preserve"> PAGEREF _Toc13778 </w:instrText>
      </w:r>
      <w:r>
        <w:fldChar w:fldCharType="separate"/>
      </w:r>
      <w:r>
        <w:t>70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九、偏离说明表</w:t>
      </w:r>
      <w:r>
        <w:tab/>
      </w:r>
      <w:r>
        <w:fldChar w:fldCharType="begin"/>
      </w:r>
      <w:r>
        <w:instrText xml:space="preserve"> PAGEREF _Toc2274 </w:instrText>
      </w:r>
      <w:r>
        <w:fldChar w:fldCharType="separate"/>
      </w:r>
      <w:r>
        <w:t>71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_Toc31207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_Toc31207 </w:instrText>
      </w:r>
      <w:r>
        <w:fldChar w:fldCharType="separate"/>
      </w:r>
      <w:r>
        <w:t>72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_Toc16425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十一、拟投入项目组人员一览表</w:t>
      </w:r>
      <w:r>
        <w:tab/>
      </w:r>
      <w:r>
        <w:fldChar w:fldCharType="begin"/>
      </w:r>
      <w:r>
        <w:instrText xml:space="preserve"> PAGEREF _Toc16425 </w:instrText>
      </w:r>
      <w:r>
        <w:fldChar w:fldCharType="separate"/>
      </w:r>
      <w:r>
        <w:t>73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_Toc22945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r>
        <w:tab/>
      </w:r>
      <w:r>
        <w:fldChar w:fldCharType="begin"/>
      </w:r>
      <w:r>
        <w:instrText xml:space="preserve"> PAGEREF _Toc22945 </w:instrText>
      </w:r>
      <w:r>
        <w:fldChar w:fldCharType="separate"/>
      </w:r>
      <w:r>
        <w:t>74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_Toc24556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tab/>
      </w:r>
      <w:r>
        <w:fldChar w:fldCharType="begin"/>
      </w:r>
      <w:r>
        <w:instrText xml:space="preserve"> PAGEREF _Toc24556 </w:instrText>
      </w:r>
      <w:r>
        <w:fldChar w:fldCharType="separate"/>
      </w:r>
      <w:r>
        <w:t>75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_Toc20131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十五、中小企业声明函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_Toc20131 </w:instrText>
      </w:r>
      <w:r>
        <w:fldChar w:fldCharType="separate"/>
      </w:r>
      <w:r>
        <w:t>77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_Toc20647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_Toc20647 </w:instrText>
      </w:r>
      <w:r>
        <w:fldChar w:fldCharType="separate"/>
      </w:r>
      <w:r>
        <w:t>78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_Toc10065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rPr>
        <w:t>十七、</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_Toc10065 </w:instrText>
      </w:r>
      <w:r>
        <w:fldChar w:fldCharType="separate"/>
      </w:r>
      <w:r>
        <w:t>79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_Toc30620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十八、节能环保产品证明材料（若符合）</w:t>
      </w:r>
      <w:r>
        <w:tab/>
      </w:r>
      <w:r>
        <w:fldChar w:fldCharType="begin"/>
      </w:r>
      <w:r>
        <w:instrText xml:space="preserve"> PAGEREF _Toc30620 </w:instrText>
      </w:r>
      <w:r>
        <w:fldChar w:fldCharType="separate"/>
      </w:r>
      <w:r>
        <w:t>80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rPr>
        <w:t>无重大违法记录声明</w:t>
      </w:r>
      <w:r>
        <w:tab/>
      </w:r>
      <w:r>
        <w:fldChar w:fldCharType="begin"/>
      </w:r>
      <w:r>
        <w:instrText xml:space="preserve"> PAGEREF _Toc2706 </w:instrText>
      </w:r>
      <w:r>
        <w:fldChar w:fldCharType="separate"/>
      </w:r>
      <w:r>
        <w:t>81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rPr>
        <w:t>二十、磋商供应商认为应该提交的其它文件（格式自拟）</w:t>
      </w:r>
      <w:r>
        <w:tab/>
      </w:r>
      <w:r>
        <w:fldChar w:fldCharType="begin"/>
      </w:r>
      <w:r>
        <w:instrText xml:space="preserve"> PAGEREF _Toc1054 </w:instrText>
      </w:r>
      <w:r>
        <w:fldChar w:fldCharType="separate"/>
      </w:r>
      <w:r>
        <w:t>81</w:t>
      </w:r>
      <w:r>
        <w:fldChar w:fldCharType="end"/>
      </w:r>
      <w:r>
        <w:rPr>
          <w:rFonts w:hint="eastAsia" w:asciiTheme="minorEastAsia" w:hAnsiTheme="minorEastAsia" w:eastAsiaTheme="minorEastAsia" w:cstheme="minorEastAsia"/>
        </w:rPr>
        <w:fldChar w:fldCharType="end"/>
      </w:r>
    </w:p>
    <w:p>
      <w:pPr>
        <w:jc w:val="left"/>
        <w:rPr>
          <w:rFonts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r>
        <w:rPr>
          <w:rFonts w:asciiTheme="minorEastAsia" w:hAnsiTheme="minorEastAsia" w:eastAsiaTheme="minorEastAsia" w:cstheme="minorEastAsia"/>
          <w:szCs w:val="21"/>
        </w:rPr>
        <w:br w:type="page"/>
      </w:r>
    </w:p>
    <w:p>
      <w:pPr>
        <w:numPr>
          <w:ilvl w:val="0"/>
          <w:numId w:val="5"/>
        </w:numPr>
        <w:spacing w:line="360" w:lineRule="auto"/>
        <w:jc w:val="center"/>
        <w:outlineLvl w:val="0"/>
        <w:rPr>
          <w:b/>
          <w:bCs/>
          <w:sz w:val="24"/>
        </w:rPr>
      </w:pPr>
      <w:bookmarkStart w:id="0" w:name="_Toc679"/>
      <w:bookmarkStart w:id="1" w:name="_Toc6866"/>
      <w:r>
        <w:rPr>
          <w:rFonts w:hint="eastAsia" w:ascii="宋体" w:hAnsi="宋体" w:cs="宋体"/>
          <w:b/>
          <w:sz w:val="36"/>
          <w:szCs w:val="36"/>
        </w:rPr>
        <w:t>竞争性磋商公告</w:t>
      </w:r>
      <w:bookmarkEnd w:id="0"/>
      <w:bookmarkEnd w:id="1"/>
      <w:bookmarkStart w:id="2" w:name="_Toc152045512"/>
      <w:bookmarkStart w:id="3" w:name="_Toc524908844"/>
      <w:bookmarkStart w:id="4" w:name="_Toc144974480"/>
      <w:bookmarkStart w:id="5" w:name="_Toc179632528"/>
      <w:bookmarkStart w:id="6" w:name="_Toc152042288"/>
      <w:bookmarkStart w:id="7" w:name="_Toc9976"/>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color w:val="000000"/>
          <w:szCs w:val="21"/>
        </w:rPr>
      </w:pPr>
      <w:r>
        <w:rPr>
          <w:rFonts w:hint="eastAsia" w:ascii="宋体" w:hAnsi="宋体" w:cs="宋体"/>
          <w:b/>
          <w:bCs/>
          <w:color w:val="000000"/>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u w:val="single"/>
          <w:lang w:eastAsia="zh-CN"/>
        </w:rPr>
        <w:t>湖北鑫盛工贸有限责任公司2020年度备品备件采购项目</w:t>
      </w:r>
      <w:r>
        <w:rPr>
          <w:rFonts w:hint="eastAsia" w:ascii="宋体" w:hAnsi="宋体" w:cs="宋体"/>
          <w:color w:val="000000" w:themeColor="text1"/>
          <w:szCs w:val="21"/>
        </w:rPr>
        <w:t>的潜在供应商应在</w:t>
      </w:r>
      <w:r>
        <w:rPr>
          <w:rFonts w:hint="eastAsia" w:ascii="宋体" w:hAnsi="宋体" w:cs="宋体"/>
          <w:color w:val="000000" w:themeColor="text1"/>
          <w:szCs w:val="21"/>
          <w:u w:val="single"/>
        </w:rPr>
        <w:t>中经国际招标集团有限公司（武昌区中北路岳家嘴立交山河企业大厦48楼4805室）或线上</w:t>
      </w:r>
      <w:r>
        <w:rPr>
          <w:rFonts w:hint="eastAsia" w:ascii="宋体" w:hAnsi="宋体" w:cs="宋体"/>
          <w:color w:val="000000" w:themeColor="text1"/>
          <w:szCs w:val="21"/>
        </w:rPr>
        <w:t>获取采购文件，并于</w:t>
      </w:r>
      <w:r>
        <w:rPr>
          <w:rFonts w:hint="eastAsia" w:ascii="宋体" w:hAnsi="宋体" w:cs="宋体"/>
          <w:color w:val="000000" w:themeColor="text1"/>
          <w:szCs w:val="21"/>
          <w:u w:val="single"/>
        </w:rPr>
        <w:t>2020年</w:t>
      </w:r>
      <w:r>
        <w:rPr>
          <w:rFonts w:hint="eastAsia" w:ascii="宋体" w:hAnsi="宋体" w:cs="宋体"/>
          <w:color w:val="000000" w:themeColor="text1"/>
          <w:szCs w:val="21"/>
          <w:u w:val="single"/>
          <w:lang w:val="en-US" w:eastAsia="zh-CN"/>
        </w:rPr>
        <w:t>8</w:t>
      </w:r>
      <w:r>
        <w:rPr>
          <w:rFonts w:hint="eastAsia" w:ascii="宋体" w:hAnsi="宋体" w:cs="宋体"/>
          <w:color w:val="000000" w:themeColor="text1"/>
          <w:szCs w:val="21"/>
          <w:u w:val="single"/>
        </w:rPr>
        <w:t>月</w:t>
      </w:r>
      <w:r>
        <w:rPr>
          <w:rFonts w:hint="eastAsia" w:ascii="宋体" w:hAnsi="宋体" w:cs="宋体"/>
          <w:color w:val="000000" w:themeColor="text1"/>
          <w:szCs w:val="21"/>
          <w:u w:val="single"/>
          <w:lang w:val="en-US" w:eastAsia="zh-CN"/>
        </w:rPr>
        <w:t>14</w:t>
      </w:r>
      <w:r>
        <w:rPr>
          <w:rFonts w:hint="eastAsia" w:ascii="宋体" w:hAnsi="宋体" w:cs="宋体"/>
          <w:color w:val="000000" w:themeColor="text1"/>
          <w:szCs w:val="21"/>
          <w:u w:val="single"/>
        </w:rPr>
        <w:t>日</w:t>
      </w:r>
      <w:r>
        <w:rPr>
          <w:rFonts w:hint="eastAsia" w:ascii="宋体" w:hAnsi="宋体" w:cs="宋体"/>
          <w:color w:val="000000" w:themeColor="text1"/>
          <w:szCs w:val="21"/>
          <w:u w:val="single"/>
          <w:lang w:val="en-US" w:eastAsia="zh-CN"/>
        </w:rPr>
        <w:t>9</w:t>
      </w:r>
      <w:r>
        <w:rPr>
          <w:rFonts w:hint="eastAsia" w:ascii="宋体" w:hAnsi="宋体" w:cs="宋体"/>
          <w:color w:val="000000" w:themeColor="text1"/>
          <w:szCs w:val="21"/>
          <w:u w:val="single"/>
        </w:rPr>
        <w:t>点</w:t>
      </w:r>
      <w:r>
        <w:rPr>
          <w:rFonts w:hint="eastAsia" w:ascii="宋体" w:hAnsi="宋体" w:cs="宋体"/>
          <w:color w:val="000000" w:themeColor="text1"/>
          <w:szCs w:val="21"/>
          <w:u w:val="single"/>
          <w:lang w:val="en-US" w:eastAsia="zh-CN"/>
        </w:rPr>
        <w:t>30</w:t>
      </w:r>
      <w:r>
        <w:rPr>
          <w:rFonts w:hint="eastAsia" w:ascii="宋体" w:hAnsi="宋体" w:cs="宋体"/>
          <w:color w:val="000000" w:themeColor="text1"/>
          <w:szCs w:val="21"/>
          <w:u w:val="single"/>
        </w:rPr>
        <w:t>分</w:t>
      </w:r>
      <w:r>
        <w:rPr>
          <w:rFonts w:hint="eastAsia" w:ascii="宋体" w:hAnsi="宋体" w:cs="宋体"/>
          <w:color w:val="000000" w:themeColor="text1"/>
          <w:szCs w:val="21"/>
        </w:rPr>
        <w:t>（北京时间）前递交响应文件。</w:t>
      </w:r>
    </w:p>
    <w:p>
      <w:pPr>
        <w:pStyle w:val="2"/>
        <w:numPr>
          <w:ilvl w:val="0"/>
          <w:numId w:val="6"/>
        </w:numPr>
        <w:spacing w:line="360" w:lineRule="auto"/>
        <w:jc w:val="left"/>
        <w:rPr>
          <w:rFonts w:ascii="宋体" w:hAnsi="宋体" w:eastAsia="宋体" w:cs="宋体"/>
          <w:color w:val="000000"/>
          <w:sz w:val="21"/>
          <w:szCs w:val="21"/>
        </w:rPr>
      </w:pPr>
      <w:bookmarkStart w:id="8" w:name="_Toc12224"/>
      <w:r>
        <w:rPr>
          <w:rFonts w:hint="eastAsia" w:ascii="宋体" w:hAnsi="宋体" w:eastAsia="宋体" w:cs="宋体"/>
          <w:color w:val="000000"/>
          <w:sz w:val="21"/>
          <w:szCs w:val="21"/>
        </w:rPr>
        <w:t>项目基本情况</w:t>
      </w:r>
      <w:bookmarkEnd w:id="8"/>
    </w:p>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1、项目编号：ZJZB-202007-213</w:t>
      </w:r>
      <w:r>
        <w:rPr>
          <w:rFonts w:hint="eastAsia" w:ascii="宋体" w:hAnsi="宋体" w:cs="宋体"/>
          <w:color w:val="000000" w:themeColor="text1"/>
          <w:szCs w:val="21"/>
        </w:rPr>
        <w:br w:type="textWrapping"/>
      </w:r>
      <w:r>
        <w:rPr>
          <w:rFonts w:hint="eastAsia" w:ascii="宋体" w:hAnsi="宋体" w:cs="宋体"/>
          <w:color w:val="000000" w:themeColor="text1"/>
          <w:szCs w:val="21"/>
        </w:rPr>
        <w:t>2、项目名称：</w:t>
      </w:r>
      <w:r>
        <w:rPr>
          <w:rFonts w:hint="eastAsia" w:ascii="宋体" w:hAnsi="宋体" w:cs="宋体"/>
          <w:color w:val="000000" w:themeColor="text1"/>
          <w:szCs w:val="21"/>
          <w:lang w:eastAsia="zh-CN"/>
        </w:rPr>
        <w:t>湖北鑫盛工贸有限责任公司2020年度备品备件采购项目</w:t>
      </w:r>
      <w:r>
        <w:rPr>
          <w:rFonts w:hint="eastAsia" w:ascii="宋体" w:hAnsi="宋体" w:cs="宋体"/>
          <w:color w:val="000000" w:themeColor="text1"/>
          <w:szCs w:val="21"/>
        </w:rPr>
        <w:br w:type="textWrapping"/>
      </w:r>
      <w:r>
        <w:rPr>
          <w:rFonts w:hint="eastAsia" w:ascii="宋体" w:hAnsi="宋体" w:cs="宋体"/>
          <w:color w:val="000000" w:themeColor="text1"/>
          <w:szCs w:val="21"/>
        </w:rPr>
        <w:t>3、采购方式：竞争性磋商</w:t>
      </w:r>
    </w:p>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4、预算金额：人民币</w:t>
      </w:r>
      <w:r>
        <w:rPr>
          <w:rFonts w:hint="eastAsia" w:ascii="宋体" w:hAnsi="宋体" w:cs="宋体"/>
          <w:color w:val="000000" w:themeColor="text1"/>
          <w:szCs w:val="21"/>
          <w:u w:val="single"/>
        </w:rPr>
        <w:t>100</w:t>
      </w:r>
      <w:r>
        <w:rPr>
          <w:rFonts w:hint="eastAsia" w:ascii="宋体" w:hAnsi="宋体" w:cs="宋体"/>
          <w:color w:val="000000" w:themeColor="text1"/>
          <w:szCs w:val="21"/>
        </w:rPr>
        <w:t>万元（含财政资金</w:t>
      </w:r>
      <w:r>
        <w:rPr>
          <w:rFonts w:hint="eastAsia" w:ascii="宋体" w:hAnsi="宋体" w:cs="宋体"/>
          <w:color w:val="000000" w:themeColor="text1"/>
          <w:szCs w:val="21"/>
          <w:u w:val="single"/>
        </w:rPr>
        <w:t>/</w:t>
      </w:r>
      <w:r>
        <w:rPr>
          <w:rFonts w:hint="eastAsia" w:ascii="宋体" w:hAnsi="宋体" w:cs="宋体"/>
          <w:color w:val="000000" w:themeColor="text1"/>
          <w:szCs w:val="21"/>
        </w:rPr>
        <w:t>万元，其他资金100万元)</w:t>
      </w:r>
      <w:r>
        <w:rPr>
          <w:rFonts w:hint="eastAsia" w:ascii="宋体" w:hAnsi="宋体" w:cs="宋体"/>
          <w:color w:val="000000" w:themeColor="text1"/>
          <w:szCs w:val="21"/>
        </w:rPr>
        <w:br w:type="textWrapping"/>
      </w:r>
      <w:r>
        <w:rPr>
          <w:rFonts w:hint="eastAsia" w:ascii="宋体" w:hAnsi="宋体" w:cs="宋体"/>
          <w:color w:val="000000" w:themeColor="text1"/>
          <w:szCs w:val="21"/>
        </w:rPr>
        <w:t>5、最高限价：人民币</w:t>
      </w:r>
      <w:r>
        <w:rPr>
          <w:rFonts w:hint="eastAsia" w:ascii="宋体" w:hAnsi="宋体" w:cs="宋体"/>
          <w:color w:val="000000" w:themeColor="text1"/>
          <w:szCs w:val="21"/>
          <w:u w:val="single"/>
        </w:rPr>
        <w:t>100</w:t>
      </w:r>
      <w:r>
        <w:rPr>
          <w:rFonts w:hint="eastAsia" w:ascii="宋体" w:hAnsi="宋体" w:cs="宋体"/>
          <w:color w:val="000000" w:themeColor="text1"/>
          <w:szCs w:val="21"/>
        </w:rPr>
        <w:t>万元</w:t>
      </w:r>
    </w:p>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6、采购需求：本次竞争性磋商采购共分</w:t>
      </w:r>
      <w:r>
        <w:rPr>
          <w:rFonts w:hint="eastAsia" w:ascii="宋体" w:hAnsi="宋体" w:cs="宋体"/>
          <w:color w:val="000000" w:themeColor="text1"/>
          <w:szCs w:val="21"/>
          <w:u w:val="single"/>
        </w:rPr>
        <w:t>1</w:t>
      </w:r>
      <w:r>
        <w:rPr>
          <w:rFonts w:hint="eastAsia" w:ascii="宋体" w:hAnsi="宋体" w:cs="宋体"/>
          <w:color w:val="000000" w:themeColor="text1"/>
          <w:szCs w:val="21"/>
        </w:rPr>
        <w:t>个项目包，具体需求如下，详细技术规格、参数及商务要求见本项目采购文件第三章内容。</w:t>
      </w:r>
    </w:p>
    <w:p>
      <w:pPr>
        <w:numPr>
          <w:ilvl w:val="0"/>
          <w:numId w:val="7"/>
        </w:numPr>
        <w:spacing w:line="360" w:lineRule="auto"/>
        <w:ind w:left="420" w:leftChars="200"/>
        <w:jc w:val="left"/>
        <w:rPr>
          <w:rFonts w:ascii="宋体" w:hAnsi="宋体" w:cs="宋体"/>
          <w:color w:val="000000" w:themeColor="text1"/>
          <w:szCs w:val="21"/>
        </w:rPr>
      </w:pPr>
      <w:r>
        <w:rPr>
          <w:rFonts w:hint="eastAsia" w:ascii="宋体" w:hAnsi="宋体" w:cs="宋体"/>
          <w:color w:val="000000" w:themeColor="text1"/>
          <w:szCs w:val="21"/>
        </w:rPr>
        <w:t>类别：货物</w:t>
      </w:r>
    </w:p>
    <w:p>
      <w:pPr>
        <w:numPr>
          <w:ilvl w:val="0"/>
          <w:numId w:val="7"/>
        </w:numPr>
        <w:spacing w:line="360" w:lineRule="auto"/>
        <w:ind w:left="420" w:leftChars="200"/>
        <w:jc w:val="left"/>
        <w:rPr>
          <w:rFonts w:ascii="宋体" w:hAnsi="宋体" w:cs="宋体"/>
          <w:color w:val="000000" w:themeColor="text1"/>
          <w:szCs w:val="21"/>
        </w:rPr>
      </w:pPr>
      <w:r>
        <w:rPr>
          <w:rFonts w:hint="eastAsia" w:ascii="宋体" w:hAnsi="宋体" w:cs="宋体"/>
          <w:color w:val="000000" w:themeColor="text1"/>
          <w:szCs w:val="21"/>
        </w:rPr>
        <w:t>简要技术要求/项目性质：遴选一家供应商为湖北鑫盛工贸有限责任公司提供</w:t>
      </w:r>
      <w:r>
        <w:rPr>
          <w:rFonts w:hint="eastAsia" w:ascii="宋体" w:hAnsi="宋体"/>
          <w:color w:val="000000" w:themeColor="text1"/>
          <w:szCs w:val="21"/>
        </w:rPr>
        <w:t>钢材及辅料、线缆及电料、水暖器材、劳保及小五金、备杂用品采购服务。</w:t>
      </w:r>
    </w:p>
    <w:p>
      <w:pPr>
        <w:numPr>
          <w:ilvl w:val="0"/>
          <w:numId w:val="7"/>
        </w:numPr>
        <w:spacing w:line="360" w:lineRule="auto"/>
        <w:ind w:left="420" w:leftChars="200"/>
        <w:jc w:val="left"/>
        <w:rPr>
          <w:rFonts w:ascii="宋体" w:hAnsi="宋体" w:cs="宋体"/>
          <w:color w:val="000000" w:themeColor="text1"/>
          <w:szCs w:val="21"/>
        </w:rPr>
      </w:pPr>
      <w:r>
        <w:rPr>
          <w:rFonts w:hint="eastAsia" w:ascii="宋体" w:hAnsi="宋体" w:cs="宋体"/>
          <w:color w:val="000000" w:themeColor="text1"/>
          <w:szCs w:val="21"/>
        </w:rPr>
        <w:t>交货期：接到采购人通知后7天内供货，并完成安装调试，因监狱政策调整，随时按政策规定执行按需配送。</w:t>
      </w:r>
    </w:p>
    <w:p>
      <w:pPr>
        <w:numPr>
          <w:ilvl w:val="0"/>
          <w:numId w:val="7"/>
        </w:numPr>
        <w:spacing w:line="360" w:lineRule="auto"/>
        <w:ind w:left="420" w:leftChars="200"/>
        <w:jc w:val="left"/>
        <w:rPr>
          <w:rFonts w:ascii="宋体" w:hAnsi="宋体" w:cs="宋体"/>
          <w:color w:val="000000" w:themeColor="text1"/>
          <w:szCs w:val="21"/>
        </w:rPr>
      </w:pPr>
      <w:r>
        <w:rPr>
          <w:rFonts w:hint="eastAsia" w:ascii="宋体" w:hAnsi="宋体" w:cs="宋体"/>
          <w:color w:val="000000" w:themeColor="text1"/>
          <w:szCs w:val="21"/>
        </w:rPr>
        <w:t>质保期/保修期：验收合格之日算起，质保期限为一年</w:t>
      </w:r>
      <w:r>
        <w:rPr>
          <w:rFonts w:hint="eastAsia" w:ascii="宋体" w:hAnsi="宋体" w:cs="宋体"/>
          <w:color w:val="000000" w:themeColor="text1"/>
          <w:szCs w:val="21"/>
          <w:lang w:eastAsia="zh-CN"/>
        </w:rPr>
        <w:t>。</w:t>
      </w:r>
    </w:p>
    <w:p>
      <w:pPr>
        <w:numPr>
          <w:ilvl w:val="0"/>
          <w:numId w:val="7"/>
        </w:numPr>
        <w:spacing w:line="360" w:lineRule="auto"/>
        <w:ind w:left="420" w:leftChars="200"/>
        <w:jc w:val="left"/>
        <w:rPr>
          <w:rFonts w:ascii="宋体" w:hAnsi="宋体" w:cs="宋体"/>
          <w:color w:val="000000"/>
          <w:szCs w:val="21"/>
        </w:rPr>
      </w:pPr>
      <w:r>
        <w:rPr>
          <w:rFonts w:hint="eastAsia" w:ascii="宋体" w:hAnsi="宋体" w:cs="宋体"/>
          <w:color w:val="000000"/>
          <w:szCs w:val="21"/>
        </w:rPr>
        <w:t>质量标准：达到国家或行业颁布的其他现行各项技术标准和验收规范规定</w:t>
      </w:r>
    </w:p>
    <w:p>
      <w:pPr>
        <w:numPr>
          <w:ilvl w:val="0"/>
          <w:numId w:val="7"/>
        </w:numPr>
        <w:spacing w:line="360" w:lineRule="auto"/>
        <w:ind w:left="420" w:leftChars="200"/>
        <w:jc w:val="left"/>
        <w:rPr>
          <w:rFonts w:ascii="宋体" w:hAnsi="宋体" w:cs="宋体"/>
          <w:color w:val="000000" w:themeColor="text1"/>
          <w:szCs w:val="21"/>
        </w:rPr>
      </w:pPr>
      <w:r>
        <w:rPr>
          <w:rFonts w:hint="eastAsia" w:ascii="宋体" w:hAnsi="宋体" w:cs="宋体"/>
          <w:color w:val="000000" w:themeColor="text1"/>
          <w:szCs w:val="21"/>
        </w:rPr>
        <w:t>其他：供应商应</w:t>
      </w:r>
      <w:r>
        <w:rPr>
          <w:rFonts w:hint="eastAsia" w:asciiTheme="minorEastAsia" w:hAnsiTheme="minorEastAsia" w:eastAsiaTheme="minorEastAsia" w:cstheme="minorEastAsia"/>
          <w:color w:val="000000" w:themeColor="text1"/>
          <w:szCs w:val="21"/>
        </w:rPr>
        <w:t>以</w:t>
      </w:r>
      <w:r>
        <w:rPr>
          <w:rFonts w:hint="eastAsia" w:asciiTheme="minorEastAsia" w:hAnsiTheme="minorEastAsia" w:eastAsiaTheme="minorEastAsia" w:cstheme="minorEastAsia"/>
          <w:color w:val="000000" w:themeColor="text1"/>
          <w:szCs w:val="21"/>
          <w:lang w:eastAsia="zh-CN"/>
        </w:rPr>
        <w:t>综合单价进行</w:t>
      </w:r>
      <w:r>
        <w:rPr>
          <w:rFonts w:hint="eastAsia" w:asciiTheme="minorEastAsia" w:hAnsiTheme="minorEastAsia" w:eastAsiaTheme="minorEastAsia" w:cstheme="minorEastAsia"/>
          <w:color w:val="000000" w:themeColor="text1"/>
          <w:szCs w:val="21"/>
        </w:rPr>
        <w:t>报价，所有分项单价相加得出竞标报价</w:t>
      </w:r>
      <w:r>
        <w:rPr>
          <w:rFonts w:hint="eastAsia" w:ascii="宋体" w:hAnsi="宋体" w:cs="宋体"/>
          <w:color w:val="000000" w:themeColor="text1"/>
          <w:szCs w:val="21"/>
        </w:rPr>
        <w:t>，</w:t>
      </w:r>
      <w:r>
        <w:rPr>
          <w:rFonts w:hint="eastAsia" w:ascii="宋体" w:hAnsi="宋体" w:cs="宋体"/>
          <w:color w:val="000000" w:themeColor="text1"/>
          <w:szCs w:val="21"/>
          <w:lang w:eastAsia="zh-CN"/>
        </w:rPr>
        <w:t>超出单价最高限价</w:t>
      </w:r>
      <w:r>
        <w:rPr>
          <w:rFonts w:hint="eastAsia" w:ascii="宋体" w:hAnsi="宋体" w:cs="宋体"/>
          <w:color w:val="000000" w:themeColor="text1"/>
          <w:szCs w:val="21"/>
        </w:rPr>
        <w:t>该包竞标无效；供应商报价须包含该采购需求的全部内容。</w:t>
      </w:r>
    </w:p>
    <w:p>
      <w:pPr>
        <w:spacing w:line="360" w:lineRule="auto"/>
        <w:jc w:val="left"/>
        <w:rPr>
          <w:rFonts w:ascii="宋体" w:hAnsi="宋体" w:cs="宋体"/>
          <w:strike/>
          <w:szCs w:val="21"/>
        </w:rPr>
      </w:pPr>
      <w:r>
        <w:rPr>
          <w:rFonts w:hint="eastAsia" w:ascii="宋体" w:hAnsi="宋体" w:cs="宋体"/>
          <w:color w:val="000000" w:themeColor="text1"/>
          <w:szCs w:val="21"/>
        </w:rPr>
        <w:t>7、合同履行期限：</w:t>
      </w:r>
      <w:r>
        <w:rPr>
          <w:rFonts w:hint="eastAsia" w:ascii="宋体" w:hAnsi="宋体" w:cs="宋体"/>
          <w:color w:val="000000" w:themeColor="text1"/>
          <w:szCs w:val="21"/>
          <w:u w:val="single"/>
        </w:rPr>
        <w:t>验收合格之日算起，质保期限为一年</w:t>
      </w:r>
      <w:r>
        <w:rPr>
          <w:rFonts w:hint="eastAsia" w:ascii="宋体" w:hAnsi="宋体" w:cs="宋体"/>
          <w:color w:val="000000" w:themeColor="text1"/>
          <w:szCs w:val="21"/>
        </w:rPr>
        <w:t xml:space="preserve">；  </w:t>
      </w:r>
      <w:r>
        <w:rPr>
          <w:rFonts w:hint="eastAsia" w:ascii="宋体" w:hAnsi="宋体" w:cs="宋体"/>
          <w:color w:val="000000" w:themeColor="text1"/>
          <w:szCs w:val="21"/>
          <w:u w:val="single"/>
        </w:rPr>
        <w:t xml:space="preserve"> </w:t>
      </w:r>
      <w:r>
        <w:rPr>
          <w:rFonts w:hint="eastAsia" w:ascii="宋体" w:hAnsi="宋体" w:cs="宋体"/>
          <w:color w:val="FF0000"/>
          <w:szCs w:val="21"/>
          <w:u w:val="single"/>
        </w:rPr>
        <w:t xml:space="preserve">                </w:t>
      </w:r>
    </w:p>
    <w:p>
      <w:pPr>
        <w:spacing w:line="360" w:lineRule="auto"/>
        <w:jc w:val="left"/>
        <w:rPr>
          <w:rFonts w:ascii="宋体" w:hAnsi="宋体" w:cs="宋体"/>
          <w:color w:val="000000" w:themeColor="text1"/>
          <w:szCs w:val="21"/>
        </w:rPr>
      </w:pPr>
      <w:r>
        <w:rPr>
          <w:rFonts w:hint="eastAsia" w:ascii="宋体" w:hAnsi="宋体" w:cs="宋体"/>
          <w:color w:val="000000" w:themeColor="text1"/>
          <w:szCs w:val="21"/>
        </w:rPr>
        <w:t>8、本项目</w:t>
      </w:r>
      <w:r>
        <w:rPr>
          <w:rFonts w:hint="eastAsia" w:ascii="宋体" w:hAnsi="宋体" w:cs="宋体"/>
          <w:color w:val="000000" w:themeColor="text1"/>
          <w:szCs w:val="21"/>
          <w:u w:val="single"/>
        </w:rPr>
        <w:t>不接受</w:t>
      </w:r>
      <w:r>
        <w:rPr>
          <w:rFonts w:hint="eastAsia" w:ascii="宋体" w:hAnsi="宋体" w:cs="宋体"/>
          <w:color w:val="000000" w:themeColor="text1"/>
          <w:szCs w:val="21"/>
        </w:rPr>
        <w:t>联合体竞标；</w:t>
      </w:r>
    </w:p>
    <w:p>
      <w:pPr>
        <w:pStyle w:val="2"/>
        <w:numPr>
          <w:ilvl w:val="0"/>
          <w:numId w:val="6"/>
        </w:numPr>
        <w:spacing w:line="360" w:lineRule="auto"/>
        <w:jc w:val="left"/>
        <w:rPr>
          <w:rFonts w:ascii="宋体" w:hAnsi="宋体" w:eastAsia="宋体" w:cs="宋体"/>
          <w:sz w:val="21"/>
          <w:szCs w:val="21"/>
        </w:rPr>
      </w:pPr>
      <w:bookmarkStart w:id="9" w:name="_Toc29801"/>
      <w:r>
        <w:rPr>
          <w:rFonts w:hint="eastAsia" w:ascii="宋体" w:hAnsi="宋体" w:eastAsia="宋体" w:cs="宋体"/>
          <w:sz w:val="21"/>
          <w:szCs w:val="21"/>
        </w:rPr>
        <w:t>申请人的资格要求</w:t>
      </w:r>
      <w:bookmarkEnd w:id="9"/>
    </w:p>
    <w:p>
      <w:pPr>
        <w:numPr>
          <w:ilvl w:val="0"/>
          <w:numId w:val="8"/>
        </w:num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满足《中华人民共和国政府采购法》第二十二条规定；</w:t>
      </w:r>
    </w:p>
    <w:p>
      <w:pPr>
        <w:spacing w:line="360" w:lineRule="auto"/>
        <w:ind w:left="446"/>
        <w:jc w:val="left"/>
        <w:rPr>
          <w:rFonts w:ascii="宋体" w:hAnsi="宋体" w:cs="宋体"/>
          <w:color w:val="000000"/>
          <w:szCs w:val="21"/>
        </w:rPr>
      </w:pPr>
      <w:r>
        <w:rPr>
          <w:rFonts w:hint="eastAsia" w:ascii="宋体" w:hAnsi="宋体" w:cs="宋体"/>
          <w:color w:val="000000"/>
          <w:szCs w:val="21"/>
        </w:rPr>
        <w:t xml:space="preserve">   1.1具有独立承担民事责任的能力（经营范围需满足采购需求）；</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1.2具有良好的商业信誉和健全的财务会计制度；</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1.3具有履行合同所必需的设备和专业技术能力；</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1.4有依法缴纳税收和社会保障资金的良好记录；</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1.5参加政府采购活动前三年内，在经营活动中没有重大违法记录；（重大违法记录是指供应商因违法经营受到刑事处罚或者责令停产停业、吊销许可证或者执照、较大数额罚款等行政处罚）</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1.6法律、行政法规规定的其他条件；</w:t>
      </w:r>
    </w:p>
    <w:p>
      <w:pPr>
        <w:numPr>
          <w:ilvl w:val="0"/>
          <w:numId w:val="8"/>
        </w:numPr>
        <w:spacing w:line="360" w:lineRule="auto"/>
        <w:ind w:firstLine="420" w:firstLineChars="200"/>
        <w:jc w:val="left"/>
        <w:rPr>
          <w:rFonts w:ascii="宋体" w:hAnsi="宋体" w:cs="宋体"/>
          <w:szCs w:val="21"/>
        </w:rPr>
      </w:pPr>
      <w:r>
        <w:rPr>
          <w:rFonts w:hint="eastAsia" w:ascii="宋体" w:hAnsi="宋体" w:cs="宋体"/>
          <w:color w:val="000000"/>
          <w:szCs w:val="21"/>
        </w:rPr>
        <w:t>落实政府采购政策需满足的资格要求：</w:t>
      </w:r>
      <w:r>
        <w:rPr>
          <w:rFonts w:hint="eastAsia" w:ascii="宋体" w:hAnsi="宋体" w:cs="宋体"/>
          <w:szCs w:val="21"/>
        </w:rPr>
        <w:t>本项目需落实政府采购强制、优先采购节能产品政策；政府采购优先采购环保产品政策；政府采购促进中小企业发展（监狱企业、残疾人福利性单位视同小微企业）等政策详见采购文件；</w:t>
      </w:r>
    </w:p>
    <w:p>
      <w:pPr>
        <w:numPr>
          <w:ilvl w:val="0"/>
          <w:numId w:val="8"/>
        </w:numPr>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本项目的特定资格要求：</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3.1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宋体" w:hAnsi="宋体" w:cs="宋体"/>
          <w:color w:val="FF0000"/>
          <w:szCs w:val="21"/>
          <w:u w:val="single"/>
        </w:rPr>
        <w:t xml:space="preserve">                     </w:t>
      </w:r>
    </w:p>
    <w:p>
      <w:pPr>
        <w:numPr>
          <w:ilvl w:val="0"/>
          <w:numId w:val="8"/>
        </w:num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如国家法律法规对市场准入有要</w:t>
      </w:r>
      <w:r>
        <w:rPr>
          <w:rFonts w:hint="eastAsia" w:ascii="宋体" w:hAnsi="宋体" w:cs="宋体"/>
          <w:szCs w:val="21"/>
        </w:rPr>
        <w:t>求的还应符合相关规定；</w:t>
      </w:r>
    </w:p>
    <w:p>
      <w:pPr>
        <w:pStyle w:val="2"/>
        <w:numPr>
          <w:ilvl w:val="0"/>
          <w:numId w:val="6"/>
        </w:numPr>
        <w:spacing w:line="360" w:lineRule="auto"/>
        <w:jc w:val="left"/>
        <w:rPr>
          <w:rFonts w:ascii="宋体" w:hAnsi="宋体" w:eastAsia="宋体" w:cs="宋体"/>
          <w:sz w:val="21"/>
          <w:szCs w:val="21"/>
        </w:rPr>
      </w:pPr>
      <w:bookmarkStart w:id="10" w:name="_Toc32192"/>
      <w:bookmarkStart w:id="11" w:name="_Toc334539185"/>
      <w:r>
        <w:rPr>
          <w:rFonts w:hint="eastAsia" w:ascii="宋体" w:hAnsi="宋体" w:eastAsia="宋体" w:cs="宋体"/>
          <w:sz w:val="21"/>
          <w:szCs w:val="21"/>
        </w:rPr>
        <w:t>获取采购文件</w:t>
      </w:r>
      <w:bookmarkEnd w:id="10"/>
    </w:p>
    <w:p>
      <w:pPr>
        <w:spacing w:line="360" w:lineRule="auto"/>
        <w:ind w:firstLine="420" w:firstLineChars="200"/>
        <w:jc w:val="left"/>
        <w:rPr>
          <w:rFonts w:ascii="宋体" w:hAnsi="宋体" w:cs="宋体"/>
          <w:szCs w:val="21"/>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8</w:t>
      </w:r>
      <w:r>
        <w:rPr>
          <w:rFonts w:hint="eastAsia" w:ascii="宋体" w:hAnsi="宋体" w:cs="宋体"/>
          <w:szCs w:val="21"/>
          <w:u w:val="single"/>
        </w:rPr>
        <w:t>月</w:t>
      </w:r>
      <w:r>
        <w:rPr>
          <w:rFonts w:hint="eastAsia" w:ascii="宋体" w:hAnsi="宋体" w:cs="宋体"/>
          <w:szCs w:val="21"/>
          <w:u w:val="single"/>
          <w:lang w:val="en-US" w:eastAsia="zh-CN"/>
        </w:rPr>
        <w:t>4</w:t>
      </w:r>
      <w:r>
        <w:rPr>
          <w:rFonts w:hint="eastAsia" w:ascii="宋体" w:hAnsi="宋体" w:cs="宋体"/>
          <w:szCs w:val="21"/>
          <w:u w:val="single"/>
        </w:rPr>
        <w:t>日至2020年</w:t>
      </w:r>
      <w:r>
        <w:rPr>
          <w:rFonts w:hint="eastAsia" w:ascii="宋体" w:hAnsi="宋体" w:cs="宋体"/>
          <w:szCs w:val="21"/>
          <w:u w:val="single"/>
          <w:lang w:val="en-US" w:eastAsia="zh-CN"/>
        </w:rPr>
        <w:t>8</w:t>
      </w:r>
      <w:r>
        <w:rPr>
          <w:rFonts w:hint="eastAsia" w:ascii="宋体" w:hAnsi="宋体" w:cs="宋体"/>
          <w:szCs w:val="21"/>
          <w:u w:val="single"/>
        </w:rPr>
        <w:t>月</w:t>
      </w:r>
      <w:r>
        <w:rPr>
          <w:rFonts w:hint="eastAsia" w:ascii="宋体" w:hAnsi="宋体" w:cs="宋体"/>
          <w:szCs w:val="21"/>
          <w:u w:val="single"/>
          <w:lang w:val="en-US" w:eastAsia="zh-CN"/>
        </w:rPr>
        <w:t>10</w:t>
      </w:r>
      <w:r>
        <w:rPr>
          <w:rFonts w:hint="eastAsia" w:ascii="宋体" w:hAnsi="宋体" w:cs="宋体"/>
          <w:szCs w:val="21"/>
          <w:u w:val="single"/>
        </w:rPr>
        <w:t>日</w:t>
      </w:r>
      <w:r>
        <w:rPr>
          <w:rFonts w:hint="eastAsia" w:ascii="宋体" w:hAnsi="宋体" w:cs="宋体"/>
          <w:szCs w:val="21"/>
        </w:rPr>
        <w:t>（提供期限自本公告发布之日起至少5个工作日），每天上午09:00至12:00，下午14:30至17:00（北京时间，法定节假日除外）</w:t>
      </w:r>
    </w:p>
    <w:p>
      <w:pPr>
        <w:spacing w:line="360" w:lineRule="auto"/>
        <w:ind w:firstLine="420" w:firstLineChars="200"/>
        <w:jc w:val="left"/>
        <w:rPr>
          <w:rFonts w:ascii="宋体" w:hAnsi="宋体" w:cs="宋体"/>
          <w:szCs w:val="21"/>
        </w:rPr>
      </w:pPr>
      <w:r>
        <w:rPr>
          <w:rFonts w:hint="eastAsia" w:ascii="宋体" w:hAnsi="宋体" w:cs="宋体"/>
          <w:szCs w:val="21"/>
        </w:rPr>
        <w:t>地点：武昌区中北路岳家嘴立交山河企业大厦48楼4805室；</w:t>
      </w:r>
    </w:p>
    <w:p>
      <w:pPr>
        <w:spacing w:line="360" w:lineRule="auto"/>
        <w:ind w:firstLine="420" w:firstLineChars="200"/>
        <w:jc w:val="left"/>
        <w:rPr>
          <w:rFonts w:ascii="宋体" w:hAnsi="宋体" w:cs="宋体"/>
          <w:szCs w:val="21"/>
        </w:rPr>
      </w:pPr>
      <w:r>
        <w:rPr>
          <w:rFonts w:hint="eastAsia" w:ascii="宋体" w:hAnsi="宋体" w:cs="宋体"/>
          <w:szCs w:val="21"/>
        </w:rPr>
        <w:t>现场获取：</w:t>
      </w:r>
      <w:bookmarkEnd w:id="11"/>
      <w:r>
        <w:rPr>
          <w:rFonts w:hint="eastAsia" w:ascii="宋体" w:hAnsi="宋体" w:cs="宋体"/>
          <w:szCs w:val="21"/>
        </w:rPr>
        <w:t>1）法定代表人领取的，凭法定代表人身份证明书（格式见附件）及法定代表人身份证原件领取；2）法定代表人委托他人领取的，凭法定代表人授权书（格式见附件）及受托人身份证原件领取；3）加盖公章的营业执照真彩扫描件、项目报名表（格式见附件）、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cs="宋体"/>
          <w:szCs w:val="21"/>
        </w:rPr>
        <w:br w:type="textWrapping"/>
      </w:r>
      <w:r>
        <w:rPr>
          <w:rFonts w:hint="eastAsia" w:ascii="宋体" w:hAnsi="宋体" w:cs="宋体"/>
          <w:b/>
          <w:bCs/>
          <w:szCs w:val="21"/>
        </w:rPr>
        <w:t xml:space="preserve">    </w:t>
      </w:r>
      <w:r>
        <w:rPr>
          <w:rFonts w:hint="eastAsia" w:ascii="宋体" w:hAnsi="宋体" w:cs="宋体"/>
          <w:szCs w:val="21"/>
        </w:rPr>
        <w:t>线上获取：线上获取文件的供应商，将公告后附件内容加盖公章扫描成PDF格式发送至邮箱2102252595@qq.com（邮件主题名称必须备注所参与的项目名称及公司全称，否则不予受理），以邮箱收到的时间为准。我司会按照收到资料的顺次序逐一回复，供应商递交资料后请耐心等待工作人员邮箱回复消息后，支付文件费用并确认报名成功。报名咨询请优先选择邮箱留言方式，特殊情况再电话联系，感谢理解。</w:t>
      </w:r>
    </w:p>
    <w:p>
      <w:pPr>
        <w:spacing w:line="360" w:lineRule="auto"/>
        <w:ind w:firstLine="420" w:firstLineChars="200"/>
        <w:jc w:val="left"/>
        <w:rPr>
          <w:rFonts w:ascii="宋体" w:hAnsi="宋体" w:cs="宋体"/>
          <w:szCs w:val="21"/>
        </w:rPr>
      </w:pPr>
      <w:r>
        <w:rPr>
          <w:rFonts w:hint="eastAsia" w:ascii="宋体" w:hAnsi="宋体" w:cs="宋体"/>
          <w:szCs w:val="21"/>
        </w:rPr>
        <w:t>售价：采购文件人民币400元/本，售后不退，不办理邮寄；</w:t>
      </w:r>
    </w:p>
    <w:p>
      <w:pPr>
        <w:pStyle w:val="2"/>
        <w:numPr>
          <w:ilvl w:val="0"/>
          <w:numId w:val="6"/>
        </w:numPr>
        <w:spacing w:line="360" w:lineRule="auto"/>
        <w:jc w:val="left"/>
        <w:rPr>
          <w:rFonts w:ascii="宋体" w:hAnsi="宋体" w:eastAsia="宋体" w:cs="宋体"/>
          <w:sz w:val="21"/>
          <w:szCs w:val="21"/>
        </w:rPr>
      </w:pPr>
      <w:bookmarkStart w:id="12" w:name="_Toc27192"/>
      <w:r>
        <w:rPr>
          <w:rFonts w:hint="eastAsia" w:ascii="宋体" w:hAnsi="宋体" w:eastAsia="宋体" w:cs="宋体"/>
          <w:sz w:val="21"/>
          <w:szCs w:val="21"/>
        </w:rPr>
        <w:t>响应文件提交</w:t>
      </w:r>
      <w:bookmarkEnd w:id="12"/>
    </w:p>
    <w:p>
      <w:pPr>
        <w:spacing w:line="360" w:lineRule="auto"/>
        <w:ind w:firstLine="420" w:firstLineChars="200"/>
        <w:jc w:val="left"/>
        <w:rPr>
          <w:rFonts w:ascii="宋体" w:hAnsi="宋体" w:cs="宋体"/>
          <w:szCs w:val="21"/>
        </w:rPr>
      </w:pPr>
      <w:r>
        <w:rPr>
          <w:rFonts w:hint="eastAsia" w:ascii="宋体" w:hAnsi="宋体" w:cs="宋体"/>
          <w:szCs w:val="21"/>
        </w:rPr>
        <w:t>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14</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点</w:t>
      </w:r>
      <w:r>
        <w:rPr>
          <w:rFonts w:hint="eastAsia" w:ascii="宋体" w:hAnsi="宋体" w:cs="宋体"/>
          <w:szCs w:val="21"/>
          <w:lang w:val="en-US" w:eastAsia="zh-CN"/>
        </w:rPr>
        <w:t>30</w:t>
      </w:r>
      <w:r>
        <w:rPr>
          <w:rFonts w:hint="eastAsia" w:ascii="宋体" w:hAnsi="宋体" w:cs="宋体"/>
          <w:szCs w:val="21"/>
        </w:rPr>
        <w:t>分（北京时间）（从磋商文件开始发出之日起至供应商提交首次响应文件截止之日止不得少于10日）</w:t>
      </w:r>
      <w:r>
        <w:rPr>
          <w:rFonts w:hint="eastAsia" w:ascii="宋体" w:hAnsi="宋体" w:cs="宋体"/>
          <w:szCs w:val="21"/>
        </w:rPr>
        <w:br w:type="textWrapping"/>
      </w:r>
      <w:r>
        <w:rPr>
          <w:rFonts w:hint="eastAsia" w:ascii="宋体" w:hAnsi="宋体" w:cs="宋体"/>
          <w:szCs w:val="21"/>
        </w:rPr>
        <w:t xml:space="preserve">    送达地点：武昌区中北路岳家嘴立交山河企业大厦4806室</w:t>
      </w:r>
    </w:p>
    <w:p>
      <w:pPr>
        <w:pStyle w:val="2"/>
        <w:numPr>
          <w:ilvl w:val="0"/>
          <w:numId w:val="6"/>
        </w:numPr>
        <w:spacing w:line="360" w:lineRule="auto"/>
        <w:jc w:val="left"/>
        <w:rPr>
          <w:rFonts w:eastAsia="宋体"/>
          <w:sz w:val="21"/>
          <w:szCs w:val="21"/>
        </w:rPr>
      </w:pPr>
      <w:bookmarkStart w:id="13" w:name="_Toc8201"/>
      <w:r>
        <w:rPr>
          <w:rFonts w:hint="eastAsia" w:ascii="宋体" w:hAnsi="宋体" w:eastAsia="宋体" w:cs="宋体"/>
          <w:sz w:val="21"/>
          <w:szCs w:val="21"/>
        </w:rPr>
        <w:t>开启</w:t>
      </w:r>
      <w:bookmarkEnd w:id="13"/>
    </w:p>
    <w:p>
      <w:pPr>
        <w:spacing w:line="360" w:lineRule="auto"/>
        <w:ind w:firstLine="420" w:firstLineChars="200"/>
        <w:jc w:val="left"/>
        <w:rPr>
          <w:szCs w:val="21"/>
        </w:rPr>
      </w:pPr>
      <w:r>
        <w:rPr>
          <w:rFonts w:hint="eastAsia" w:ascii="宋体" w:hAnsi="宋体" w:cs="宋体"/>
          <w:szCs w:val="21"/>
        </w:rPr>
        <w:t>时间：2020年</w:t>
      </w:r>
      <w:r>
        <w:rPr>
          <w:rFonts w:hint="eastAsia" w:ascii="宋体" w:hAnsi="宋体" w:cs="宋体"/>
          <w:szCs w:val="21"/>
          <w:lang w:val="en-US" w:eastAsia="zh-CN"/>
        </w:rPr>
        <w:t xml:space="preserve">8 </w:t>
      </w:r>
      <w:r>
        <w:rPr>
          <w:rFonts w:hint="eastAsia" w:ascii="宋体" w:hAnsi="宋体" w:cs="宋体"/>
          <w:szCs w:val="21"/>
        </w:rPr>
        <w:t>月</w:t>
      </w:r>
      <w:r>
        <w:rPr>
          <w:rFonts w:hint="eastAsia" w:ascii="宋体" w:hAnsi="宋体" w:cs="宋体"/>
          <w:szCs w:val="21"/>
          <w:lang w:val="en-US" w:eastAsia="zh-CN"/>
        </w:rPr>
        <w:t>14</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点</w:t>
      </w:r>
      <w:r>
        <w:rPr>
          <w:rFonts w:hint="eastAsia" w:ascii="宋体" w:hAnsi="宋体" w:cs="宋体"/>
          <w:szCs w:val="21"/>
          <w:lang w:val="en-US" w:eastAsia="zh-CN"/>
        </w:rPr>
        <w:t>30</w:t>
      </w:r>
      <w:r>
        <w:rPr>
          <w:rFonts w:hint="eastAsia" w:ascii="宋体" w:hAnsi="宋体" w:cs="宋体"/>
          <w:szCs w:val="21"/>
        </w:rPr>
        <w:t>分（北京时间）</w:t>
      </w:r>
    </w:p>
    <w:p>
      <w:pPr>
        <w:pStyle w:val="2"/>
        <w:numPr>
          <w:ilvl w:val="0"/>
          <w:numId w:val="6"/>
        </w:numPr>
        <w:spacing w:line="360" w:lineRule="auto"/>
        <w:jc w:val="left"/>
        <w:rPr>
          <w:rFonts w:ascii="宋体" w:hAnsi="宋体" w:eastAsia="宋体" w:cs="宋体"/>
          <w:sz w:val="21"/>
          <w:szCs w:val="21"/>
        </w:rPr>
      </w:pPr>
      <w:bookmarkStart w:id="14" w:name="_Toc3806"/>
      <w:r>
        <w:rPr>
          <w:rFonts w:hint="eastAsia" w:ascii="宋体" w:hAnsi="宋体" w:eastAsia="宋体" w:cs="宋体"/>
          <w:sz w:val="21"/>
          <w:szCs w:val="21"/>
        </w:rPr>
        <w:t>公告期限</w:t>
      </w:r>
      <w:bookmarkEnd w:id="14"/>
    </w:p>
    <w:p>
      <w:pPr>
        <w:spacing w:line="360" w:lineRule="auto"/>
        <w:ind w:firstLine="420" w:firstLineChars="200"/>
        <w:jc w:val="left"/>
        <w:rPr>
          <w:rFonts w:ascii="宋体" w:hAnsi="宋体" w:cs="宋体"/>
          <w:szCs w:val="21"/>
        </w:rPr>
      </w:pPr>
      <w:bookmarkStart w:id="15" w:name="_Toc259607751"/>
      <w:bookmarkStart w:id="16" w:name="_Toc6021"/>
      <w:bookmarkStart w:id="17" w:name="_Toc276368888"/>
      <w:bookmarkStart w:id="18" w:name="_Toc320898024"/>
      <w:bookmarkStart w:id="19" w:name="_Toc317262251"/>
      <w:bookmarkStart w:id="20" w:name="_Toc334539188"/>
      <w:r>
        <w:rPr>
          <w:rFonts w:hint="eastAsia" w:ascii="宋体" w:hAnsi="宋体" w:cs="宋体"/>
          <w:szCs w:val="21"/>
        </w:rPr>
        <w:t>自本公告发布之日起至少5个工作日</w:t>
      </w:r>
    </w:p>
    <w:bookmarkEnd w:id="15"/>
    <w:bookmarkEnd w:id="16"/>
    <w:bookmarkEnd w:id="17"/>
    <w:bookmarkEnd w:id="18"/>
    <w:bookmarkEnd w:id="19"/>
    <w:bookmarkEnd w:id="20"/>
    <w:p>
      <w:pPr>
        <w:pStyle w:val="2"/>
        <w:numPr>
          <w:ilvl w:val="0"/>
          <w:numId w:val="6"/>
        </w:numPr>
        <w:spacing w:line="360" w:lineRule="auto"/>
        <w:jc w:val="left"/>
        <w:rPr>
          <w:rFonts w:ascii="宋体" w:hAnsi="宋体" w:eastAsia="宋体" w:cs="宋体"/>
          <w:sz w:val="21"/>
          <w:szCs w:val="21"/>
        </w:rPr>
      </w:pPr>
      <w:bookmarkStart w:id="21" w:name="_Toc19379"/>
      <w:r>
        <w:rPr>
          <w:rFonts w:hint="eastAsia" w:ascii="宋体" w:hAnsi="宋体" w:eastAsia="宋体" w:cs="宋体"/>
          <w:sz w:val="21"/>
          <w:szCs w:val="21"/>
        </w:rPr>
        <w:t>其他补充事宜</w:t>
      </w:r>
      <w:bookmarkEnd w:id="21"/>
    </w:p>
    <w:p>
      <w:pPr>
        <w:spacing w:line="360" w:lineRule="auto"/>
        <w:ind w:firstLine="420" w:firstLineChars="200"/>
        <w:jc w:val="left"/>
        <w:rPr>
          <w:rFonts w:ascii="宋体" w:hAnsi="宋体" w:cs="宋体"/>
          <w:color w:val="000000" w:themeColor="text1"/>
          <w:szCs w:val="21"/>
        </w:rPr>
      </w:pPr>
      <w:bookmarkStart w:id="22" w:name="_Toc259028279"/>
      <w:r>
        <w:rPr>
          <w:rFonts w:hint="eastAsia" w:ascii="宋体" w:hAnsi="宋体" w:cs="宋体"/>
          <w:color w:val="000000" w:themeColor="text1"/>
          <w:szCs w:val="21"/>
        </w:rPr>
        <w:t>1.本项目是否专门面向中小企业、监狱企业、残疾人福利性单位：否</w:t>
      </w:r>
    </w:p>
    <w:p>
      <w:pPr>
        <w:spacing w:line="360" w:lineRule="auto"/>
        <w:ind w:firstLine="420" w:firstLineChars="200"/>
        <w:jc w:val="left"/>
        <w:rPr>
          <w:rFonts w:ascii="宋体" w:hAnsi="宋体" w:cs="宋体"/>
          <w:szCs w:val="21"/>
        </w:rPr>
      </w:pPr>
      <w:r>
        <w:rPr>
          <w:rFonts w:hint="eastAsia" w:ascii="宋体" w:hAnsi="宋体" w:cs="宋体"/>
          <w:szCs w:val="21"/>
        </w:rPr>
        <w:t>2.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spacing w:line="360" w:lineRule="auto"/>
        <w:ind w:firstLine="420" w:firstLineChars="200"/>
        <w:jc w:val="left"/>
        <w:rPr>
          <w:rFonts w:ascii="宋体" w:hAnsi="宋体" w:cs="宋体"/>
          <w:szCs w:val="21"/>
        </w:rPr>
      </w:pPr>
      <w:r>
        <w:rPr>
          <w:rFonts w:hint="eastAsia" w:ascii="宋体" w:hAnsi="宋体" w:cs="宋体"/>
          <w:szCs w:val="21"/>
        </w:rPr>
        <w:t>3.供应商如需查询技术要求可直接到我处查阅采购文件第三章相关内容。</w:t>
      </w:r>
      <w:r>
        <w:rPr>
          <w:rFonts w:hint="eastAsia" w:ascii="宋体" w:hAnsi="宋体" w:cs="宋体"/>
          <w:szCs w:val="21"/>
        </w:rPr>
        <w:br w:type="textWrapping"/>
      </w:r>
      <w:r>
        <w:rPr>
          <w:rFonts w:hint="eastAsia" w:ascii="宋体" w:hAnsi="宋体" w:cs="宋体"/>
          <w:szCs w:val="21"/>
        </w:rPr>
        <w:t xml:space="preserve">    4.本项目将在以下网站发布所有信息，请参加本项目竞标的供应商密切关注。</w:t>
      </w:r>
    </w:p>
    <w:p>
      <w:pPr>
        <w:spacing w:line="360" w:lineRule="auto"/>
        <w:ind w:firstLine="420" w:firstLineChars="200"/>
        <w:jc w:val="left"/>
        <w:rPr>
          <w:rFonts w:ascii="宋体" w:hAnsi="宋体" w:cs="宋体"/>
          <w:b/>
          <w:bCs/>
          <w:szCs w:val="21"/>
        </w:rPr>
      </w:pPr>
      <w:r>
        <w:rPr>
          <w:rFonts w:hint="eastAsia" w:ascii="宋体" w:hAnsi="宋体" w:cs="宋体"/>
          <w:szCs w:val="21"/>
        </w:rPr>
        <w:t>（一）《中经国际招标集团有限公司官网》（网址：</w:t>
      </w:r>
      <w:r>
        <w:fldChar w:fldCharType="begin"/>
      </w:r>
      <w:r>
        <w:instrText xml:space="preserve"> HYPERLINK "http://www.ceitcl.com/）" </w:instrText>
      </w:r>
      <w:r>
        <w:fldChar w:fldCharType="separate"/>
      </w:r>
      <w:r>
        <w:rPr>
          <w:rFonts w:hint="eastAsia" w:ascii="宋体" w:hAnsi="宋体" w:cs="宋体"/>
          <w:szCs w:val="21"/>
        </w:rPr>
        <w:t>http://www.ceitcl.com/）</w:t>
      </w:r>
      <w:r>
        <w:rPr>
          <w:rFonts w:hint="eastAsia" w:ascii="宋体" w:hAnsi="宋体" w:cs="宋体"/>
          <w:szCs w:val="21"/>
        </w:rPr>
        <w:fldChar w:fldCharType="end"/>
      </w:r>
    </w:p>
    <w:bookmarkEnd w:id="22"/>
    <w:p>
      <w:pPr>
        <w:pStyle w:val="2"/>
        <w:numPr>
          <w:ilvl w:val="0"/>
          <w:numId w:val="6"/>
        </w:numPr>
        <w:spacing w:line="360" w:lineRule="auto"/>
        <w:jc w:val="left"/>
        <w:rPr>
          <w:rFonts w:ascii="宋体" w:hAnsi="宋体" w:eastAsia="宋体" w:cs="宋体"/>
          <w:sz w:val="21"/>
          <w:szCs w:val="21"/>
        </w:rPr>
      </w:pPr>
      <w:bookmarkStart w:id="23" w:name="_Toc2725"/>
      <w:r>
        <w:rPr>
          <w:rFonts w:hint="eastAsia" w:ascii="宋体" w:hAnsi="宋体" w:eastAsia="宋体" w:cs="宋体"/>
          <w:sz w:val="21"/>
          <w:szCs w:val="21"/>
        </w:rPr>
        <w:t>凡对本次采购提出询问，请按以下方式联系</w:t>
      </w:r>
      <w:bookmarkEnd w:id="23"/>
    </w:p>
    <w:p>
      <w:pPr>
        <w:spacing w:line="360" w:lineRule="auto"/>
        <w:ind w:firstLine="420" w:firstLineChars="200"/>
        <w:jc w:val="left"/>
        <w:rPr>
          <w:rFonts w:ascii="宋体" w:hAnsi="宋体" w:cs="宋体"/>
          <w:szCs w:val="21"/>
        </w:rPr>
      </w:pPr>
      <w:r>
        <w:rPr>
          <w:rFonts w:hint="eastAsia" w:ascii="宋体" w:hAnsi="宋体" w:cs="宋体"/>
          <w:szCs w:val="21"/>
        </w:rPr>
        <w:t>1.采购人信息</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名 称：</w:t>
      </w:r>
      <w:r>
        <w:rPr>
          <w:rFonts w:hint="eastAsia" w:ascii="宋体" w:hAnsi="宋体"/>
          <w:color w:val="000000" w:themeColor="text1"/>
          <w:szCs w:val="21"/>
        </w:rPr>
        <w:t>湖北鑫盛工贸有限责任公司</w:t>
      </w:r>
      <w:r>
        <w:rPr>
          <w:rFonts w:hint="eastAsia" w:ascii="宋体" w:hAnsi="宋体" w:cs="宋体"/>
          <w:color w:val="000000" w:themeColor="text1"/>
          <w:szCs w:val="21"/>
        </w:rPr>
        <w:t>　　　　　　　　　　　</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地 址：</w:t>
      </w:r>
      <w:r>
        <w:rPr>
          <w:rFonts w:hint="eastAsia" w:ascii="宋体" w:hAnsi="宋体"/>
          <w:color w:val="000000" w:themeColor="text1"/>
          <w:szCs w:val="21"/>
        </w:rPr>
        <w:t>武汉市汉阳区袁家台特1号</w:t>
      </w:r>
      <w:r>
        <w:rPr>
          <w:rFonts w:hint="eastAsia" w:ascii="宋体" w:hAnsi="宋体" w:cs="宋体"/>
          <w:color w:val="000000" w:themeColor="text1"/>
          <w:szCs w:val="21"/>
        </w:rPr>
        <w:t>　　　　　　　　　　　　</w:t>
      </w:r>
    </w:p>
    <w:p>
      <w:pPr>
        <w:spacing w:line="360" w:lineRule="auto"/>
        <w:ind w:firstLine="420" w:firstLineChars="200"/>
        <w:jc w:val="left"/>
        <w:rPr>
          <w:rFonts w:ascii="宋体" w:hAnsi="宋体" w:cs="宋体"/>
          <w:szCs w:val="21"/>
        </w:rPr>
      </w:pPr>
      <w:r>
        <w:rPr>
          <w:rFonts w:hint="eastAsia" w:ascii="宋体" w:hAnsi="宋体" w:cs="宋体"/>
          <w:color w:val="000000" w:themeColor="text1"/>
          <w:szCs w:val="21"/>
        </w:rPr>
        <w:t>联系方式：</w:t>
      </w:r>
      <w:r>
        <w:rPr>
          <w:rFonts w:hint="eastAsia" w:ascii="宋体" w:hAnsi="宋体"/>
          <w:color w:val="000000" w:themeColor="text1"/>
          <w:szCs w:val="21"/>
        </w:rPr>
        <w:t>徐部长、027-69601013</w:t>
      </w:r>
      <w:r>
        <w:rPr>
          <w:rFonts w:hint="eastAsia" w:ascii="宋体" w:hAnsi="宋体" w:cs="宋体"/>
          <w:color w:val="FF0000"/>
          <w:szCs w:val="21"/>
        </w:rPr>
        <w:t>　</w:t>
      </w:r>
      <w:r>
        <w:rPr>
          <w:rFonts w:hint="eastAsia" w:ascii="宋体" w:hAnsi="宋体" w:cs="宋体"/>
          <w:szCs w:val="21"/>
        </w:rPr>
        <w:t xml:space="preserve">　　　　　　　　　 </w:t>
      </w:r>
    </w:p>
    <w:p>
      <w:pPr>
        <w:spacing w:line="360" w:lineRule="auto"/>
        <w:ind w:firstLine="420" w:firstLineChars="200"/>
        <w:jc w:val="left"/>
        <w:rPr>
          <w:rFonts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ascii="宋体" w:hAnsi="宋体" w:cs="宋体"/>
          <w:szCs w:val="21"/>
        </w:rPr>
      </w:pPr>
      <w:r>
        <w:rPr>
          <w:rFonts w:hint="eastAsia" w:ascii="宋体" w:hAnsi="宋体" w:cs="宋体"/>
          <w:szCs w:val="21"/>
        </w:rPr>
        <w:t>名  称：中经国际招标集团有限公司　　　　　　　　　　　　</w:t>
      </w:r>
    </w:p>
    <w:p>
      <w:pPr>
        <w:spacing w:line="360" w:lineRule="auto"/>
        <w:ind w:firstLine="420" w:firstLineChars="200"/>
        <w:jc w:val="left"/>
        <w:rPr>
          <w:rFonts w:ascii="宋体" w:hAnsi="宋体" w:cs="宋体"/>
          <w:szCs w:val="21"/>
        </w:rPr>
      </w:pPr>
      <w:r>
        <w:rPr>
          <w:rFonts w:hint="eastAsia" w:ascii="宋体" w:hAnsi="宋体" w:cs="宋体"/>
          <w:szCs w:val="21"/>
        </w:rPr>
        <w:t>地　址：武昌区中北路岳家嘴立交山河企业大厦48楼4805、4806室　　　　　　　　　　　　</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联系方式：027-87820788　　　　　　　　　　　　</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3.项目联系方式</w:t>
      </w:r>
    </w:p>
    <w:p>
      <w:pPr>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项目联系人：张梦、方雪菲、杨琳丽</w:t>
      </w:r>
    </w:p>
    <w:p>
      <w:pPr>
        <w:spacing w:line="360" w:lineRule="auto"/>
        <w:ind w:firstLine="420" w:firstLineChars="200"/>
        <w:jc w:val="left"/>
        <w:rPr>
          <w:rFonts w:asciiTheme="minorEastAsia" w:hAnsiTheme="minorEastAsia" w:eastAsiaTheme="minorEastAsia" w:cstheme="minorEastAsia"/>
          <w:color w:val="000000" w:themeColor="text1"/>
          <w:szCs w:val="21"/>
        </w:rPr>
      </w:pPr>
      <w:r>
        <w:rPr>
          <w:rFonts w:hint="eastAsia" w:ascii="宋体" w:hAnsi="宋体" w:cs="宋体"/>
          <w:color w:val="000000" w:themeColor="text1"/>
          <w:szCs w:val="21"/>
        </w:rPr>
        <w:t>电    　话：027-87820788　　</w:t>
      </w:r>
    </w:p>
    <w:p>
      <w:pPr>
        <w:spacing w:line="360" w:lineRule="auto"/>
        <w:ind w:firstLine="420" w:firstLineChars="200"/>
        <w:jc w:val="left"/>
        <w:rPr>
          <w:rFonts w:asciiTheme="minorEastAsia" w:hAnsiTheme="minorEastAsia" w:eastAsiaTheme="minorEastAsia" w:cstheme="minorEastAsia"/>
          <w:color w:val="000000"/>
          <w:szCs w:val="21"/>
        </w:rPr>
      </w:pPr>
      <w:r>
        <w:rPr>
          <w:rFonts w:hint="eastAsia" w:ascii="宋体" w:hAnsi="宋体" w:cs="宋体"/>
          <w:color w:val="FF0000"/>
          <w:szCs w:val="21"/>
        </w:rPr>
        <w:t>　</w:t>
      </w:r>
    </w:p>
    <w:p>
      <w:pPr>
        <w:pStyle w:val="2"/>
        <w:numPr>
          <w:ilvl w:val="0"/>
          <w:numId w:val="6"/>
        </w:numPr>
        <w:spacing w:line="360" w:lineRule="auto"/>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4" w:name="_Toc31025"/>
      <w:r>
        <w:rPr>
          <w:rFonts w:hint="eastAsia" w:asciiTheme="minorEastAsia" w:hAnsiTheme="minorEastAsia" w:eastAsiaTheme="minorEastAsia" w:cstheme="minorEastAsia"/>
          <w:sz w:val="21"/>
          <w:szCs w:val="21"/>
        </w:rPr>
        <w:t>注意事项</w:t>
      </w:r>
      <w:bookmarkEnd w:id="24"/>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2020年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3 </w:t>
      </w:r>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rPr>
      </w:pPr>
    </w:p>
    <w:p>
      <w:pPr>
        <w:rPr>
          <w:rFonts w:asciiTheme="minorEastAsia" w:hAnsiTheme="minorEastAsia" w:eastAsiaTheme="minorEastAsia" w:cstheme="minorEastAsia"/>
        </w:rPr>
      </w:pPr>
      <w:r>
        <w:rPr>
          <w:rFonts w:hint="eastAsia" w:asciiTheme="minorEastAsia" w:hAnsiTheme="minorEastAsia" w:eastAsiaTheme="minorEastAsia" w:cstheme="minorEastAsia"/>
        </w:rPr>
        <w:br w:type="page"/>
      </w:r>
    </w:p>
    <w:p>
      <w:pPr>
        <w:widowControl/>
        <w:jc w:val="center"/>
        <w:textAlignment w:val="bottom"/>
        <w:rPr>
          <w:rFonts w:ascii="宋体" w:hAnsi="宋体"/>
          <w:b/>
          <w:color w:val="000000"/>
          <w:szCs w:val="21"/>
        </w:rPr>
      </w:pPr>
      <w:r>
        <w:rPr>
          <w:rFonts w:hint="eastAsia" w:ascii="宋体" w:hAnsi="宋体"/>
          <w:b/>
          <w:color w:val="000000"/>
          <w:szCs w:val="21"/>
          <w:lang w:val="zh-CN"/>
        </w:rPr>
        <w:t>签署“七不准”承诺书</w:t>
      </w:r>
    </w:p>
    <w:p>
      <w:pPr>
        <w:widowControl/>
        <w:spacing w:line="720" w:lineRule="auto"/>
        <w:textAlignment w:val="bottom"/>
        <w:rPr>
          <w:rFonts w:ascii="宋体" w:hAnsi="宋体"/>
          <w:bCs/>
          <w:color w:val="000000"/>
          <w:szCs w:val="21"/>
        </w:rPr>
      </w:pPr>
      <w:r>
        <w:rPr>
          <w:rFonts w:hint="eastAsia" w:ascii="宋体" w:hAnsi="宋体"/>
          <w:bCs/>
          <w:color w:val="000000"/>
          <w:szCs w:val="21"/>
        </w:rPr>
        <w:t>湖北鑫盛工贸有限责任公司：</w:t>
      </w:r>
    </w:p>
    <w:p>
      <w:pPr>
        <w:widowControl/>
        <w:spacing w:line="720" w:lineRule="auto"/>
        <w:textAlignment w:val="bottom"/>
        <w:rPr>
          <w:rFonts w:ascii="宋体" w:hAnsi="宋体"/>
          <w:bCs/>
          <w:color w:val="000000"/>
          <w:szCs w:val="21"/>
        </w:rPr>
      </w:pPr>
      <w:r>
        <w:rPr>
          <w:rFonts w:hint="eastAsia" w:ascii="宋体" w:hAnsi="宋体"/>
          <w:bCs/>
          <w:color w:val="000000"/>
          <w:szCs w:val="21"/>
        </w:rPr>
        <w:t xml:space="preserve">    本人完全理解并接受《湖北省监狱人民警察“七不准”规定》第四条 “不准亲属在本系统经商、办企业、承揽工程” 之内容，承诺保证与贵单位民警无亲属关系。</w:t>
      </w:r>
    </w:p>
    <w:p>
      <w:pPr>
        <w:widowControl/>
        <w:spacing w:line="720" w:lineRule="auto"/>
        <w:ind w:firstLine="420"/>
        <w:textAlignment w:val="bottom"/>
        <w:rPr>
          <w:rFonts w:ascii="宋体" w:hAnsi="宋体"/>
          <w:bCs/>
          <w:color w:val="000000"/>
          <w:szCs w:val="21"/>
        </w:rPr>
      </w:pPr>
      <w:r>
        <w:rPr>
          <w:rFonts w:hint="eastAsia" w:ascii="宋体" w:hAnsi="宋体"/>
          <w:bCs/>
          <w:color w:val="000000"/>
          <w:szCs w:val="21"/>
        </w:rPr>
        <w:t>本人如因违背上述承诺，在贵单位经商（参加招投标活动）、办企业、承揽工程，无条件接受贵单位单方面终止合同（协议），并自愿承担由此造成的一切损失。</w:t>
      </w:r>
    </w:p>
    <w:p>
      <w:pPr>
        <w:widowControl/>
        <w:spacing w:line="720" w:lineRule="auto"/>
        <w:ind w:firstLine="420"/>
        <w:textAlignment w:val="bottom"/>
        <w:rPr>
          <w:rFonts w:ascii="宋体" w:hAnsi="宋体"/>
          <w:bCs/>
          <w:color w:val="000000"/>
          <w:szCs w:val="21"/>
        </w:rPr>
      </w:pPr>
    </w:p>
    <w:p>
      <w:pPr>
        <w:widowControl/>
        <w:spacing w:line="720" w:lineRule="auto"/>
        <w:textAlignment w:val="bottom"/>
        <w:rPr>
          <w:rFonts w:ascii="宋体" w:hAnsi="宋体"/>
          <w:bCs/>
          <w:color w:val="000000"/>
          <w:szCs w:val="21"/>
        </w:rPr>
      </w:pPr>
      <w:r>
        <w:rPr>
          <w:rFonts w:hint="eastAsia" w:ascii="宋体" w:hAnsi="宋体"/>
          <w:bCs/>
          <w:color w:val="000000"/>
          <w:szCs w:val="21"/>
        </w:rPr>
        <w:t xml:space="preserve">                                                                   承诺人（签章）：  </w:t>
      </w:r>
    </w:p>
    <w:p>
      <w:pPr>
        <w:widowControl/>
        <w:spacing w:line="960" w:lineRule="auto"/>
        <w:textAlignment w:val="bottom"/>
        <w:rPr>
          <w:rFonts w:ascii="宋体" w:hAnsi="宋体"/>
          <w:bCs/>
          <w:color w:val="000000"/>
          <w:szCs w:val="21"/>
        </w:rPr>
      </w:pPr>
      <w:r>
        <w:rPr>
          <w:rFonts w:hint="eastAsia" w:ascii="宋体" w:hAnsi="宋体"/>
          <w:bCs/>
          <w:color w:val="000000"/>
          <w:szCs w:val="21"/>
        </w:rPr>
        <w:t xml:space="preserve">                                                                   年   月   日</w:t>
      </w:r>
    </w:p>
    <w:p>
      <w:pPr>
        <w:pStyle w:val="20"/>
      </w:pPr>
    </w:p>
    <w:p>
      <w:pPr>
        <w:pStyle w:val="20"/>
        <w:rPr>
          <w:rFonts w:asciiTheme="minorEastAsia" w:hAnsiTheme="minorEastAsia" w:eastAsiaTheme="minorEastAsia" w:cstheme="minorEastAsia"/>
        </w:rPr>
      </w:pPr>
    </w:p>
    <w:p>
      <w:pPr>
        <w:numPr>
          <w:ilvl w:val="0"/>
          <w:numId w:val="4"/>
        </w:num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asciiTheme="minorEastAsia" w:hAnsiTheme="minorEastAsia" w:eastAsiaTheme="minorEastAsia" w:cstheme="minorEastAsia"/>
          <w:sz w:val="32"/>
          <w:szCs w:val="32"/>
        </w:rPr>
      </w:pPr>
      <w:bookmarkStart w:id="25" w:name="_Toc18517"/>
      <w:r>
        <w:rPr>
          <w:rFonts w:hint="eastAsia" w:asciiTheme="minorEastAsia" w:hAnsiTheme="minorEastAsia" w:eastAsiaTheme="minorEastAsia" w:cstheme="minorEastAsia"/>
          <w:sz w:val="36"/>
          <w:szCs w:val="36"/>
        </w:rPr>
        <w:t>供应商须知</w:t>
      </w:r>
      <w:bookmarkEnd w:id="25"/>
    </w:p>
    <w:p>
      <w:pPr>
        <w:autoSpaceDE w:val="0"/>
        <w:autoSpaceDN w:val="0"/>
        <w:adjustRightInd w:val="0"/>
        <w:spacing w:line="360" w:lineRule="auto"/>
        <w:jc w:val="center"/>
        <w:outlineLvl w:val="1"/>
        <w:rPr>
          <w:rFonts w:asciiTheme="minorEastAsia" w:hAnsiTheme="minorEastAsia" w:eastAsiaTheme="minorEastAsia" w:cstheme="minorEastAsia"/>
          <w:b/>
          <w:szCs w:val="21"/>
          <w:lang w:val="zh-CN"/>
        </w:rPr>
      </w:pPr>
      <w:bookmarkStart w:id="26" w:name="_Toc29631"/>
      <w:r>
        <w:rPr>
          <w:rFonts w:hint="eastAsia" w:asciiTheme="minorEastAsia" w:hAnsiTheme="minorEastAsia" w:eastAsiaTheme="minorEastAsia" w:cstheme="minorEastAsia"/>
          <w:b/>
          <w:szCs w:val="21"/>
        </w:rPr>
        <w:t>《供应商须知前附表》</w:t>
      </w:r>
      <w:bookmarkEnd w:id="26"/>
    </w:p>
    <w:p>
      <w:pPr>
        <w:autoSpaceDE w:val="0"/>
        <w:autoSpaceDN w:val="0"/>
        <w:adjustRightInd w:val="0"/>
        <w:spacing w:line="360" w:lineRule="auto"/>
        <w:ind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FF0000"/>
                <w:kern w:val="2"/>
                <w:sz w:val="21"/>
                <w:szCs w:val="21"/>
                <w:lang w:val="zh-CN"/>
              </w:rPr>
            </w:pPr>
            <w:r>
              <w:rPr>
                <w:rFonts w:asciiTheme="minorEastAsia" w:hAnsiTheme="minorEastAsia" w:eastAsiaTheme="minorEastAsia" w:cstheme="minorEastAsia"/>
                <w:color w:val="000000" w:themeColor="text1"/>
                <w:kern w:val="2"/>
                <w:sz w:val="21"/>
                <w:szCs w:val="21"/>
                <w:lang w:val="zh-CN"/>
              </w:rPr>
              <w:t>采购人</w:t>
            </w:r>
          </w:p>
        </w:tc>
        <w:tc>
          <w:tcPr>
            <w:tcW w:w="6130" w:type="dxa"/>
            <w:vAlign w:val="center"/>
          </w:tcPr>
          <w:p>
            <w:pPr>
              <w:jc w:val="left"/>
              <w:rPr>
                <w:rFonts w:asciiTheme="minorEastAsia" w:hAnsiTheme="minorEastAsia" w:eastAsiaTheme="minorEastAsia" w:cstheme="minorEastAsia"/>
                <w:color w:val="FF0000"/>
                <w:szCs w:val="21"/>
                <w:lang w:val="zh-CN"/>
              </w:rPr>
            </w:pPr>
            <w:r>
              <w:rPr>
                <w:rFonts w:hint="eastAsia" w:ascii="宋体" w:hAnsi="宋体" w:cs="宋体"/>
                <w:color w:val="000000" w:themeColor="text1"/>
                <w:szCs w:val="21"/>
                <w:lang w:val="zh-CN"/>
              </w:rPr>
              <w:t>湖北鑫盛工贸有限责任公司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0" w:beforeAutospacing="0" w:after="0" w:afterAutospacing="0"/>
              <w:jc w:val="center"/>
              <w:rPr>
                <w:rFonts w:hint="default" w:asciiTheme="minorEastAsia" w:hAnsiTheme="minorEastAsia" w:eastAsiaTheme="minorEastAsia" w:cstheme="minorEastAsia"/>
                <w:color w:val="FF0000"/>
                <w:kern w:val="2"/>
                <w:sz w:val="21"/>
                <w:szCs w:val="21"/>
                <w:lang w:val="zh-CN"/>
              </w:rPr>
            </w:pPr>
            <w:r>
              <w:rPr>
                <w:rFonts w:asciiTheme="minorEastAsia" w:hAnsiTheme="minorEastAsia" w:eastAsiaTheme="minorEastAsia" w:cstheme="minorEastAsia"/>
                <w:color w:val="000000" w:themeColor="text1"/>
                <w:kern w:val="2"/>
                <w:sz w:val="21"/>
                <w:szCs w:val="21"/>
                <w:lang w:val="zh-CN"/>
              </w:rPr>
              <w:t>监管部门</w:t>
            </w:r>
          </w:p>
        </w:tc>
        <w:tc>
          <w:tcPr>
            <w:tcW w:w="6130" w:type="dxa"/>
            <w:vAlign w:val="center"/>
          </w:tcPr>
          <w:p>
            <w:pPr>
              <w:autoSpaceDE w:val="0"/>
              <w:autoSpaceDN w:val="0"/>
              <w:adjustRightInd w:val="0"/>
              <w:jc w:val="left"/>
              <w:rPr>
                <w:rFonts w:asciiTheme="minorEastAsia" w:hAnsiTheme="minorEastAsia" w:eastAsiaTheme="minorEastAsia" w:cstheme="minorEastAsia"/>
                <w:color w:val="FF0000"/>
                <w:szCs w:val="21"/>
                <w:lang w:val="zh-CN"/>
              </w:rPr>
            </w:pPr>
            <w:r>
              <w:rPr>
                <w:rFonts w:hint="eastAsia" w:ascii="宋体" w:hAnsi="宋体" w:cs="宋体"/>
                <w:color w:val="000000" w:themeColor="text1"/>
                <w:szCs w:val="21"/>
                <w:lang w:val="zh-CN"/>
              </w:rPr>
              <w:t>湖北省汉阳监狱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Lines="10" w:beforeAutospacing="0" w:afterLines="10" w:afterAutospacing="0"/>
              <w:ind w:left="21" w:leftChars="10"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sz w:val="21"/>
                <w:szCs w:val="21"/>
                <w:lang w:val="zh-CN"/>
              </w:rPr>
              <w:t>详见</w:t>
            </w:r>
            <w:r>
              <w:rPr>
                <w:rFonts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招标代理服务费</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国家发展与改革委员会办公厅发改办价格【2003】857号文的规定，经与采购人协商，由中标人按国家发展计划委员会计价格【2002】1980号文规定的取费标准向采购代理机构支付招标代理服务费。招标代理服务费由中标人在领取成交通知书的同时，向采购代理机构支付。</w:t>
            </w:r>
            <w:r>
              <w:rPr>
                <w:rFonts w:hint="eastAsia" w:asciiTheme="minorEastAsia" w:hAnsiTheme="minorEastAsia" w:eastAsiaTheme="minorEastAsia" w:cstheme="minorEastAsia"/>
                <w:b/>
                <w:bCs/>
                <w:szCs w:val="21"/>
              </w:rPr>
              <w:t>不足肆仟元按肆仟元保底收费计取。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提疑截止时间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rPr>
              <w:t>供应商</w:t>
            </w:r>
            <w:r>
              <w:rPr>
                <w:rFonts w:asciiTheme="minorEastAsia" w:hAnsiTheme="minorEastAsia" w:eastAsiaTheme="minorEastAsia" w:cstheme="minorEastAsia"/>
                <w:sz w:val="21"/>
                <w:szCs w:val="21"/>
                <w:lang w:val="zh-CN"/>
              </w:rPr>
              <w:t>对</w:t>
            </w:r>
            <w:r>
              <w:rPr>
                <w:rFonts w:asciiTheme="minorEastAsia" w:hAnsiTheme="minorEastAsia" w:eastAsiaTheme="minorEastAsia" w:cstheme="minorEastAsia"/>
                <w:sz w:val="21"/>
                <w:szCs w:val="21"/>
              </w:rPr>
              <w:t>磋商</w:t>
            </w:r>
            <w:r>
              <w:rPr>
                <w:rFonts w:asciiTheme="minorEastAsia" w:hAnsiTheme="minorEastAsia" w:eastAsiaTheme="minorEastAsia" w:cstheme="minorEastAsia"/>
                <w:sz w:val="21"/>
                <w:szCs w:val="21"/>
                <w:lang w:val="zh-CN"/>
              </w:rPr>
              <w:t>文件有异议</w:t>
            </w:r>
            <w:r>
              <w:rPr>
                <w:rFonts w:asciiTheme="minorEastAsia" w:hAnsiTheme="minorEastAsia" w:eastAsiaTheme="minorEastAsia" w:cstheme="minorEastAsia"/>
                <w:sz w:val="21"/>
                <w:szCs w:val="21"/>
              </w:rPr>
              <w:t>或疑问</w:t>
            </w:r>
            <w:r>
              <w:rPr>
                <w:rFonts w:asciiTheme="minorEastAsia" w:hAnsiTheme="minorEastAsia" w:eastAsiaTheme="minorEastAsia" w:cstheme="minorEastAsia"/>
                <w:sz w:val="21"/>
                <w:szCs w:val="21"/>
                <w:lang w:val="zh-CN"/>
              </w:rPr>
              <w:t>的，均应以书面形式在</w:t>
            </w:r>
          </w:p>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2020年</w:t>
            </w:r>
            <w:r>
              <w:rPr>
                <w:rFonts w:hint="eastAsia" w:asciiTheme="minorEastAsia" w:hAnsiTheme="minorEastAsia" w:eastAsiaTheme="minorEastAsia" w:cstheme="minorEastAsia"/>
                <w:sz w:val="21"/>
                <w:szCs w:val="21"/>
                <w:lang w:val="en-US" w:eastAsia="zh-CN"/>
              </w:rPr>
              <w:t>8</w:t>
            </w:r>
            <w:r>
              <w:rPr>
                <w:rFonts w:asciiTheme="minorEastAsia" w:hAnsiTheme="minorEastAsia" w:eastAsiaTheme="minorEastAsia" w:cstheme="minorEastAsia"/>
                <w:sz w:val="21"/>
                <w:szCs w:val="21"/>
                <w:lang w:val="zh-CN"/>
              </w:rPr>
              <w:t>月</w:t>
            </w:r>
            <w:r>
              <w:rPr>
                <w:rFonts w:hint="eastAsia" w:asciiTheme="minorEastAsia" w:hAnsiTheme="minorEastAsia" w:eastAsiaTheme="minorEastAsia" w:cstheme="minorEastAsia"/>
                <w:sz w:val="21"/>
                <w:szCs w:val="21"/>
                <w:lang w:val="en-US" w:eastAsia="zh-CN"/>
              </w:rPr>
              <w:t>11</w:t>
            </w:r>
            <w:r>
              <w:rPr>
                <w:rFonts w:asciiTheme="minorEastAsia" w:hAnsiTheme="minorEastAsia" w:eastAsiaTheme="minorEastAsia" w:cstheme="minorEastAsia"/>
                <w:sz w:val="21"/>
                <w:szCs w:val="21"/>
                <w:lang w:val="zh-CN"/>
              </w:rPr>
              <w:t>日</w:t>
            </w:r>
            <w:r>
              <w:rPr>
                <w:rFonts w:asciiTheme="minorEastAsia" w:hAnsiTheme="minorEastAsia" w:eastAsiaTheme="minorEastAsia" w:cstheme="minorEastAsia"/>
                <w:sz w:val="21"/>
                <w:szCs w:val="21"/>
              </w:rPr>
              <w:t>17</w:t>
            </w:r>
            <w:r>
              <w:rPr>
                <w:rFonts w:asciiTheme="minorEastAsia" w:hAnsiTheme="minorEastAsia" w:eastAsiaTheme="minorEastAsia" w:cstheme="minorEastAsia"/>
                <w:sz w:val="21"/>
                <w:szCs w:val="21"/>
                <w:lang w:val="zh-CN"/>
              </w:rPr>
              <w:t>:</w:t>
            </w:r>
            <w:r>
              <w:rPr>
                <w:rFonts w:asciiTheme="minorEastAsia" w:hAnsiTheme="minorEastAsia" w:eastAsiaTheme="minorEastAsia" w:cstheme="minorEastAsia"/>
                <w:sz w:val="21"/>
                <w:szCs w:val="21"/>
              </w:rPr>
              <w:t>0</w:t>
            </w:r>
            <w:r>
              <w:rPr>
                <w:rFonts w:asciiTheme="minorEastAsia" w:hAnsiTheme="minorEastAsia" w:eastAsiaTheme="minorEastAsia" w:cstheme="minorEastAsia"/>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rPr>
              <w:t>包</w:t>
            </w:r>
            <w:r>
              <w:rPr>
                <w:rFonts w:hint="eastAsia" w:asciiTheme="minorEastAsia" w:hAnsiTheme="minorEastAsia" w:eastAsiaTheme="minorEastAsia" w:cstheme="minorEastAsia"/>
                <w:snapToGrid w:val="0"/>
                <w:kern w:val="0"/>
                <w:szCs w:val="21"/>
                <w:lang w:val="zh-CN"/>
              </w:rPr>
              <w:t>采购的规定</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w:t>
            </w:r>
            <w:r>
              <w:rPr>
                <w:rFonts w:hint="eastAsia" w:asciiTheme="minorEastAsia" w:hAnsiTheme="minorEastAsia" w:eastAsiaTheme="minorEastAsia" w:cstheme="minorEastAsia"/>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备选方案</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联合体磋商</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color w:val="000000" w:themeColor="text1"/>
                <w:szCs w:val="21"/>
                <w:lang w:val="zh-CN"/>
              </w:rPr>
              <w:t xml:space="preserve">本次采购  </w:t>
            </w:r>
            <w:r>
              <w:rPr>
                <w:rFonts w:hint="eastAsia" w:asciiTheme="minorEastAsia" w:hAnsiTheme="minorEastAsia" w:eastAsiaTheme="minorEastAsia" w:cstheme="minorEastAsia"/>
                <w:color w:val="000000" w:themeColor="text1"/>
                <w:szCs w:val="21"/>
                <w:u w:val="single"/>
                <w:lang w:val="zh-CN"/>
              </w:rPr>
              <w:t>不接受</w:t>
            </w:r>
            <w:r>
              <w:rPr>
                <w:rFonts w:hint="eastAsia" w:asciiTheme="minorEastAsia" w:hAnsiTheme="minorEastAsia" w:eastAsiaTheme="minorEastAsia" w:cstheme="minorEastAsia"/>
                <w:color w:val="000000" w:themeColor="text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b/>
                <w:bCs/>
                <w:szCs w:val="21"/>
                <w:lang w:val="zh-CN"/>
              </w:rPr>
              <w:t>应提交的其它资格证明文件（实质性要求）</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w:t>
            </w:r>
            <w:r>
              <w:rPr>
                <w:rFonts w:hint="eastAsia" w:asciiTheme="minorEastAsia" w:hAnsiTheme="minorEastAsia" w:eastAsiaTheme="minorEastAsia" w:cstheme="minorEastAsia"/>
                <w:szCs w:val="21"/>
              </w:rPr>
              <w:t>竞争性磋商</w:t>
            </w:r>
            <w:r>
              <w:rPr>
                <w:rFonts w:hint="eastAsia" w:asciiTheme="minorEastAsia" w:hAnsiTheme="minorEastAsia" w:eastAsiaTheme="minorEastAsia" w:cstheme="minorEastAsia"/>
                <w:szCs w:val="21"/>
                <w:lang w:val="zh-CN"/>
              </w:rPr>
              <w:t>公告》第二款“资格要求”，须提供的证明文件包括但不限于：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1、具有独立承担民事责任的能力（经营范围需满足采购需求）；</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2、具有良好的商业信誉和健全的财务会计制度；</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3、具有履行合同所必需的设备和专业技术能力的证明材料；（自拟）</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6、符合本文件第一章第二款资格要求的所有证明资料。</w:t>
            </w:r>
          </w:p>
          <w:p>
            <w:pPr>
              <w:autoSpaceDE w:val="0"/>
              <w:autoSpaceDN w:val="0"/>
              <w:adjustRightInd w:val="0"/>
              <w:jc w:val="left"/>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供应商不得存在的其他情形</w:t>
            </w:r>
          </w:p>
        </w:tc>
        <w:tc>
          <w:tcPr>
            <w:tcW w:w="6130" w:type="dxa"/>
            <w:vAlign w:val="center"/>
          </w:tcPr>
          <w:p>
            <w:pPr>
              <w:numPr>
                <w:ilvl w:val="0"/>
                <w:numId w:val="9"/>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numPr>
                <w:ilvl w:val="0"/>
                <w:numId w:val="9"/>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color w:val="000000" w:themeColor="text1"/>
                <w:kern w:val="0"/>
                <w:szCs w:val="21"/>
                <w:lang w:val="zh-CN"/>
              </w:rPr>
            </w:pPr>
            <w:r>
              <w:rPr>
                <w:rFonts w:hint="eastAsia" w:asciiTheme="minorEastAsia" w:hAnsiTheme="minorEastAsia" w:eastAsiaTheme="minorEastAsia" w:cstheme="minorEastAsia"/>
                <w:snapToGrid w:val="0"/>
                <w:color w:val="000000" w:themeColor="text1"/>
                <w:kern w:val="0"/>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000000" w:themeColor="text1"/>
                <w:kern w:val="0"/>
                <w:szCs w:val="21"/>
                <w:lang w:val="zh-CN"/>
              </w:rPr>
              <w:t>（</w:t>
            </w:r>
            <w:r>
              <w:rPr>
                <w:rFonts w:hint="eastAsia" w:asciiTheme="minorEastAsia" w:hAnsiTheme="minorEastAsia" w:eastAsiaTheme="minorEastAsia" w:cstheme="minorEastAsia"/>
                <w:b/>
                <w:bCs/>
                <w:snapToGrid w:val="0"/>
                <w:color w:val="000000" w:themeColor="text1"/>
                <w:kern w:val="0"/>
                <w:szCs w:val="21"/>
              </w:rPr>
              <w:t>本项目不适用</w:t>
            </w:r>
            <w:r>
              <w:rPr>
                <w:rFonts w:hint="eastAsia" w:asciiTheme="minorEastAsia" w:hAnsiTheme="minorEastAsia" w:eastAsiaTheme="minorEastAsia" w:cstheme="minorEastAsia"/>
                <w:b/>
                <w:bCs/>
                <w:snapToGrid w:val="0"/>
                <w:color w:val="000000" w:themeColor="text1"/>
                <w:kern w:val="0"/>
                <w:szCs w:val="21"/>
                <w:lang w:val="zh-CN"/>
              </w:rPr>
              <w:t>）</w:t>
            </w:r>
          </w:p>
        </w:tc>
        <w:tc>
          <w:tcPr>
            <w:tcW w:w="6130" w:type="dxa"/>
            <w:vAlign w:val="center"/>
          </w:tcPr>
          <w:p>
            <w:pPr>
              <w:ind w:right="256" w:rightChars="122"/>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 xml:space="preserve">金    额：/    </w:t>
            </w:r>
          </w:p>
          <w:p>
            <w:pPr>
              <w:ind w:right="256" w:rightChars="122"/>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户    名：中经国际招标集团有限公司湖北分公司</w:t>
            </w:r>
          </w:p>
          <w:p>
            <w:pPr>
              <w:ind w:right="256" w:rightChars="122"/>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开户银行：中国农业银行股份有限公司武汉岳家嘴支行</w:t>
            </w:r>
          </w:p>
          <w:p>
            <w:pPr>
              <w:ind w:right="256" w:rightChars="122"/>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帐    号：17053001040009288</w:t>
            </w:r>
          </w:p>
          <w:p>
            <w:pPr>
              <w:ind w:right="256" w:rightChars="122"/>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注：</w:t>
            </w:r>
            <w:r>
              <w:fldChar w:fldCharType="begin"/>
            </w:r>
            <w: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fldChar w:fldCharType="separate"/>
            </w:r>
            <w:r>
              <w:rPr>
                <w:rFonts w:hint="eastAsia" w:asciiTheme="minorEastAsia" w:hAnsiTheme="minorEastAsia" w:eastAsiaTheme="minorEastAsia" w:cstheme="minorEastAsia"/>
                <w:color w:val="000000" w:themeColor="text1"/>
                <w:szCs w:val="21"/>
              </w:rPr>
              <w:t>供应商缴纳投标保证金必须从供应商的基本帐户以支票、汇票、本票、电汇或者金融机构、担保机构出具的保函等非现金形式一次性汇至中经国际招标集团有限公司湖北分公司专用账户,截止时间为递交响应文件截止时间，以采购代理公司银行到账信息为准。成交供应商签订合同后须将合同扫描件（PDF版）发送至2102252595@qq.com邮箱备案后方可退还保证金。</w:t>
            </w:r>
            <w:r>
              <w:rPr>
                <w:rFonts w:hint="eastAsia" w:asciiTheme="minorEastAsia" w:hAnsiTheme="minorEastAsia" w:eastAsiaTheme="minorEastAsia" w:cstheme="minorEastAsia"/>
                <w:color w:val="000000" w:themeColor="text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自磋商截止时间起共</w:t>
            </w:r>
            <w:r>
              <w:rPr>
                <w:rFonts w:hint="eastAsia" w:asciiTheme="minorEastAsia" w:hAnsiTheme="minorEastAsia" w:eastAsiaTheme="minorEastAsia" w:cstheme="minorEastAsia"/>
                <w:kern w:val="0"/>
                <w:szCs w:val="21"/>
                <w:u w:val="single"/>
              </w:rPr>
              <w:t xml:space="preserve"> 90 </w:t>
            </w:r>
            <w:r>
              <w:rPr>
                <w:rFonts w:hint="eastAsia" w:asciiTheme="minorEastAsia" w:hAnsiTheme="minorEastAsia" w:eastAsiaTheme="minorEastAsia" w:cstheme="minorEastAsia"/>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竞争性磋商响应文件正、副本数量</w:t>
            </w:r>
          </w:p>
        </w:tc>
        <w:tc>
          <w:tcPr>
            <w:tcW w:w="6130" w:type="dxa"/>
            <w:vAlign w:val="center"/>
          </w:tcPr>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1、投标文件纸质版：正本一份（需为彩色打印件），副本</w:t>
            </w:r>
            <w:r>
              <w:rPr>
                <w:rFonts w:hint="eastAsia" w:asciiTheme="minorEastAsia" w:hAnsiTheme="minorEastAsia" w:eastAsiaTheme="minorEastAsia" w:cstheme="minorEastAsia"/>
                <w:szCs w:val="21"/>
                <w:u w:val="single"/>
              </w:rPr>
              <w:t xml:space="preserve"> 两 </w:t>
            </w:r>
            <w:r>
              <w:rPr>
                <w:rFonts w:hint="eastAsia" w:asciiTheme="minorEastAsia" w:hAnsiTheme="minorEastAsia" w:eastAsiaTheme="minorEastAsia" w:cstheme="minorEastAsia"/>
                <w:szCs w:val="21"/>
              </w:rPr>
              <w:t>份；</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2、投标文件电子版：</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□不要求</w:t>
            </w:r>
          </w:p>
          <w:p>
            <w:pPr>
              <w:autoSpaceDE w:val="0"/>
              <w:autoSpaceDN w:val="0"/>
              <w:snapToGri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bdr w:val="single" w:color="auto" w:sz="4" w:space="0"/>
              </w:rPr>
              <w:t>√</w:t>
            </w:r>
            <w:r>
              <w:rPr>
                <w:rFonts w:hint="eastAsia" w:asciiTheme="minorEastAsia" w:hAnsiTheme="minorEastAsia" w:eastAsiaTheme="minorEastAsia" w:cstheme="minorEastAsia"/>
                <w:szCs w:val="21"/>
              </w:rPr>
              <w:t>要求，投标文件电子版内容：</w:t>
            </w:r>
            <w:r>
              <w:rPr>
                <w:rFonts w:hint="eastAsia" w:asciiTheme="minorEastAsia" w:hAnsiTheme="minorEastAsia" w:eastAsiaTheme="minorEastAsia" w:cstheme="minorEastAsia"/>
                <w:szCs w:val="21"/>
                <w:u w:val="single"/>
              </w:rPr>
              <w:t>与正本保持一致</w:t>
            </w:r>
          </w:p>
          <w:p>
            <w:pPr>
              <w:autoSpaceDE w:val="0"/>
              <w:autoSpaceDN w:val="0"/>
              <w:snapToGrid w:val="0"/>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shd w:val="clear" w:color="auto" w:fill="FFFFFF"/>
              </w:rPr>
              <w:t>投标文件电子版格式：</w:t>
            </w:r>
            <w:r>
              <w:rPr>
                <w:rFonts w:hint="eastAsia" w:asciiTheme="minorEastAsia" w:hAnsiTheme="minorEastAsia" w:eastAsiaTheme="minorEastAsia" w:cstheme="minorEastAsia"/>
                <w:szCs w:val="21"/>
                <w:u w:val="single"/>
              </w:rPr>
              <w:t>加盖公章后的PDF扫描件格式；</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投标文件电子版形式：</w:t>
            </w:r>
            <w:r>
              <w:rPr>
                <w:rFonts w:hint="eastAsia" w:asciiTheme="minorEastAsia" w:hAnsiTheme="minorEastAsia" w:eastAsiaTheme="minorEastAsia" w:cstheme="minorEastAsia"/>
                <w:szCs w:val="21"/>
                <w:u w:val="single"/>
              </w:rPr>
              <w:t xml:space="preserve"> U盘1份</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3、手持法定代表人授权委托书（或法定代表人身份证明书）、单独密封提供的报价一览表、优惠声明（如有）；</w:t>
            </w:r>
          </w:p>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所有响应文件概不退还，响应文件按包分开制作，分开密封。</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纸质投标文件应采用胶粘方</w:t>
            </w:r>
            <w:r>
              <w:rPr>
                <w:rFonts w:hint="eastAsia" w:asciiTheme="minorEastAsia" w:hAnsiTheme="minorEastAsia" w:eastAsiaTheme="minorEastAsia" w:cstheme="minorEastAsia"/>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rPr>
              <w:t>19.1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本条款细化为：响应文件正本需逐页加盖供应商单位公章，不得使用单位其他专用章代替。因签字盖章问题导致的响应材料被否决或竞标受影响的情况，其后果供应商自行承担。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19.4</w:t>
            </w:r>
          </w:p>
        </w:tc>
        <w:tc>
          <w:tcPr>
            <w:tcW w:w="2127" w:type="dxa"/>
            <w:vAlign w:val="center"/>
          </w:tcPr>
          <w:p>
            <w:pPr>
              <w:autoSpaceDE w:val="0"/>
              <w:autoSpaceDN w:val="0"/>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样品</w:t>
            </w:r>
          </w:p>
        </w:tc>
        <w:tc>
          <w:tcPr>
            <w:tcW w:w="6130" w:type="dxa"/>
            <w:vAlign w:val="center"/>
          </w:tcPr>
          <w:p>
            <w:pPr>
              <w:autoSpaceDE w:val="0"/>
              <w:autoSpaceDN w:val="0"/>
              <w:adjustRightInd w:val="0"/>
              <w:jc w:val="left"/>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提交样品的相关规定：要求在磋商时提交样品的，应在样品上标明磋商供应商名称。</w:t>
            </w:r>
            <w:r>
              <w:rPr>
                <w:rFonts w:hint="eastAsia" w:asciiTheme="minorEastAsia" w:hAnsiTheme="minorEastAsia" w:eastAsiaTheme="minorEastAsia" w:cstheme="minorEastAsia"/>
                <w:kern w:val="0"/>
                <w:szCs w:val="21"/>
                <w:lang w:val="zh-CN"/>
              </w:rPr>
              <w:br w:type="textWrapping"/>
            </w:r>
            <w:r>
              <w:rPr>
                <w:rFonts w:hint="eastAsia" w:asciiTheme="minorEastAsia" w:hAnsiTheme="minorEastAsia" w:eastAsiaTheme="minorEastAsia" w:cstheme="minorEastAsia"/>
                <w:kern w:val="0"/>
                <w:szCs w:val="21"/>
                <w:lang w:val="zh-CN"/>
              </w:rPr>
              <w:t>退还样品的相关规定：</w:t>
            </w:r>
            <w:r>
              <w:rPr>
                <w:rFonts w:hint="eastAsia" w:asciiTheme="minorEastAsia" w:hAnsiTheme="minorEastAsia" w:eastAsiaTheme="minorEastAsia" w:cstheme="minorEastAsia"/>
                <w:kern w:val="0"/>
                <w:szCs w:val="21"/>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1"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磋商代表</w:t>
            </w:r>
          </w:p>
        </w:tc>
        <w:tc>
          <w:tcPr>
            <w:tcW w:w="6130" w:type="dxa"/>
            <w:vAlign w:val="center"/>
          </w:tcPr>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建议供应商拟派出席磋商会议的磋商代表为熟知本项目的技术人员或商务负责人等能</w:t>
            </w:r>
            <w:r>
              <w:rPr>
                <w:rFonts w:hint="eastAsia" w:asciiTheme="minorEastAsia" w:hAnsiTheme="minorEastAsia" w:eastAsiaTheme="minorEastAsia" w:cstheme="minorEastAsia"/>
                <w:b/>
                <w:bCs/>
                <w:szCs w:val="21"/>
              </w:rPr>
              <w:t>为磋商小组详细介绍供应商公司情况及项目了解情况的</w:t>
            </w:r>
            <w:r>
              <w:rPr>
                <w:rFonts w:hint="eastAsia" w:asciiTheme="minorEastAsia" w:hAnsiTheme="minorEastAsia" w:eastAsiaTheme="minorEastAsia" w:cstheme="minorEastAsia"/>
                <w:b/>
                <w:bCs/>
                <w:szCs w:val="21"/>
                <w:lang w:val="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rPr>
              <w:t>3</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28.5</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Lines="10" w:afterLines="10"/>
              <w:ind w:right="21" w:rightChars="10"/>
              <w:jc w:val="center"/>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报价方式</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b/>
                <w:bCs/>
                <w:color w:val="000000" w:themeColor="text1"/>
                <w:szCs w:val="21"/>
              </w:rPr>
            </w:pPr>
            <w:r>
              <w:rPr>
                <w:rFonts w:hint="eastAsia" w:asciiTheme="minorEastAsia" w:hAnsiTheme="minorEastAsia" w:eastAsiaTheme="minorEastAsia" w:cstheme="minorEastAsia"/>
                <w:b/>
                <w:bCs/>
                <w:color w:val="000000" w:themeColor="text1"/>
                <w:szCs w:val="21"/>
              </w:rPr>
              <w:t>1.供应商应以综合单价进行报价。</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rPr>
              <w:t>2.</w:t>
            </w:r>
            <w:r>
              <w:rPr>
                <w:rFonts w:hint="eastAsia" w:asciiTheme="minorEastAsia" w:hAnsiTheme="minorEastAsia" w:eastAsiaTheme="minorEastAsia" w:cstheme="minorEastAsia"/>
                <w:color w:val="000000" w:themeColor="text1"/>
                <w:szCs w:val="21"/>
                <w:lang w:val="zh-CN"/>
              </w:rPr>
              <w:t>本项目竞标报价为“交钥匙”价。竞标报价应包括完成该项目的货物</w:t>
            </w:r>
            <w:r>
              <w:rPr>
                <w:rFonts w:hint="eastAsia" w:asciiTheme="minorEastAsia" w:hAnsiTheme="minorEastAsia" w:eastAsiaTheme="minorEastAsia" w:cstheme="minorEastAsia"/>
                <w:color w:val="000000" w:themeColor="text1"/>
                <w:szCs w:val="21"/>
              </w:rPr>
              <w:t>本身</w:t>
            </w:r>
            <w:r>
              <w:rPr>
                <w:rFonts w:hint="eastAsia" w:asciiTheme="minorEastAsia" w:hAnsiTheme="minorEastAsia" w:eastAsiaTheme="minorEastAsia" w:cstheme="minorEastAsia"/>
                <w:color w:val="000000" w:themeColor="text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lang w:val="zh-CN"/>
              </w:rPr>
              <w:t>各供应商按此要求进行报价，同时在合同实施过程中还将发生的其它费用</w:t>
            </w:r>
            <w:r>
              <w:rPr>
                <w:rFonts w:hint="eastAsia" w:asciiTheme="minorEastAsia" w:hAnsiTheme="minorEastAsia" w:eastAsiaTheme="minorEastAsia" w:cstheme="minorEastAsia"/>
                <w:color w:val="000000" w:themeColor="text1"/>
                <w:szCs w:val="21"/>
              </w:rPr>
              <w:t>也</w:t>
            </w:r>
            <w:r>
              <w:rPr>
                <w:rFonts w:hint="eastAsia" w:asciiTheme="minorEastAsia" w:hAnsiTheme="minorEastAsia" w:eastAsiaTheme="minorEastAsia" w:cstheme="minorEastAsia"/>
                <w:color w:val="000000" w:themeColor="text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000000" w:themeColor="text1"/>
                <w:szCs w:val="21"/>
              </w:rPr>
              <w:t>采购人</w:t>
            </w:r>
            <w:r>
              <w:rPr>
                <w:rFonts w:hint="eastAsia" w:asciiTheme="minorEastAsia" w:hAnsiTheme="minorEastAsia" w:eastAsiaTheme="minorEastAsia" w:cstheme="minorEastAsia"/>
                <w:color w:val="000000" w:themeColor="text1"/>
                <w:szCs w:val="21"/>
                <w:lang w:val="zh-CN"/>
              </w:rPr>
              <w:t>概不负责。</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lang w:val="zh-CN"/>
              </w:rPr>
              <w:t>对于</w:t>
            </w:r>
            <w:r>
              <w:rPr>
                <w:rFonts w:hint="eastAsia" w:asciiTheme="minorEastAsia" w:hAnsiTheme="minorEastAsia" w:eastAsiaTheme="minorEastAsia" w:cstheme="minorEastAsia"/>
                <w:color w:val="000000" w:themeColor="text1"/>
                <w:szCs w:val="21"/>
              </w:rPr>
              <w:t>磋商</w:t>
            </w:r>
            <w:r>
              <w:rPr>
                <w:rFonts w:hint="eastAsia" w:asciiTheme="minorEastAsia" w:hAnsiTheme="minorEastAsia" w:eastAsiaTheme="minorEastAsia" w:cstheme="minorEastAsia"/>
                <w:color w:val="000000" w:themeColor="text1"/>
                <w:szCs w:val="21"/>
                <w:lang w:val="zh-CN"/>
              </w:rPr>
              <w:t>文件未列明，而</w:t>
            </w:r>
            <w:r>
              <w:rPr>
                <w:rFonts w:hint="eastAsia" w:asciiTheme="minorEastAsia" w:hAnsiTheme="minorEastAsia" w:eastAsiaTheme="minorEastAsia" w:cstheme="minorEastAsia"/>
                <w:color w:val="000000" w:themeColor="text1"/>
                <w:szCs w:val="21"/>
              </w:rPr>
              <w:t>磋商</w:t>
            </w:r>
            <w:r>
              <w:rPr>
                <w:rFonts w:hint="eastAsia" w:asciiTheme="minorEastAsia" w:hAnsiTheme="minorEastAsia" w:eastAsiaTheme="minorEastAsia" w:cstheme="minorEastAsia"/>
                <w:color w:val="000000" w:themeColor="text1"/>
                <w:szCs w:val="21"/>
                <w:lang w:val="zh-CN"/>
              </w:rPr>
              <w:t>供应商认为</w:t>
            </w:r>
            <w:r>
              <w:rPr>
                <w:rFonts w:hint="eastAsia" w:asciiTheme="minorEastAsia" w:hAnsiTheme="minorEastAsia" w:eastAsiaTheme="minorEastAsia" w:cstheme="minorEastAsia"/>
                <w:color w:val="000000" w:themeColor="text1"/>
                <w:szCs w:val="21"/>
              </w:rPr>
              <w:t>必须</w:t>
            </w:r>
            <w:r>
              <w:rPr>
                <w:rFonts w:hint="eastAsia" w:asciiTheme="minorEastAsia" w:hAnsiTheme="minorEastAsia" w:eastAsiaTheme="minorEastAsia" w:cstheme="minorEastAsia"/>
                <w:color w:val="000000" w:themeColor="text1"/>
                <w:szCs w:val="21"/>
                <w:lang w:val="zh-CN"/>
              </w:rPr>
              <w:t>的费用也需列入总报价。在合同实施时，采购人将不予支付</w:t>
            </w:r>
            <w:r>
              <w:rPr>
                <w:rFonts w:hint="eastAsia" w:asciiTheme="minorEastAsia" w:hAnsiTheme="minorEastAsia" w:eastAsiaTheme="minorEastAsia" w:cstheme="minorEastAsia"/>
                <w:color w:val="000000" w:themeColor="text1"/>
                <w:szCs w:val="21"/>
              </w:rPr>
              <w:t>成交</w:t>
            </w:r>
            <w:r>
              <w:rPr>
                <w:rFonts w:hint="eastAsia" w:asciiTheme="minorEastAsia" w:hAnsiTheme="minorEastAsia" w:eastAsiaTheme="minorEastAsia" w:cstheme="minorEastAsia"/>
                <w:color w:val="000000" w:themeColor="text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95"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踏勘现场</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☑采购人不组织统一踏勘，请各供应商自行踏勘现场；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□组织，踏勘时间：</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踏勘集中地点：</w:t>
            </w:r>
          </w:p>
          <w:p>
            <w:pPr>
              <w:autoSpaceDE w:val="0"/>
              <w:autoSpaceDN w:val="0"/>
              <w:adjustRightInd w:val="0"/>
              <w:snapToGrid w:val="0"/>
              <w:spacing w:beforeLines="10" w:afterLines="10"/>
              <w:ind w:right="21" w:rightChars="10" w:firstLine="840" w:firstLineChars="40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踏勘联系人：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注：1、供应商承担踏勘现场所发生的自身费用；</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2、供应商应承担踏勘现场的责任和风险。</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3、采购人在踏勘现场中介绍的项目背景及项目现场和相关的周边环境情况，供应商在编制响应文件时参考，采购人和采购代理机构不对供应商据此作出的判断和决策负责。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核心产品</w:t>
            </w:r>
          </w:p>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000000" w:themeColor="text1"/>
                <w:szCs w:val="21"/>
              </w:rPr>
            </w:pP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本项目核心产品：</w:t>
            </w:r>
            <w:r>
              <w:rPr>
                <w:rFonts w:hint="eastAsia" w:asciiTheme="minorEastAsia" w:hAnsiTheme="minorEastAsia" w:eastAsiaTheme="minorEastAsia" w:cstheme="minorEastAsia"/>
                <w:color w:val="000000" w:themeColor="text1"/>
                <w:szCs w:val="21"/>
                <w:u w:val="single"/>
              </w:rPr>
              <w:t>/</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注：</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1.提供相同品牌产品且通过资格审查、符合性审查的不同供应商参</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加同一合同项下投标的，按一家供应商计算，评审后得分最高的同</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品牌供应商获得成交供应商推荐资格；评审得分相同的，采取随机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抽取方式确定，其他同品牌供应商不作为中标候选人。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2.若核心产品不止 1 个，各供应商所投任一核心产品的品牌相同，</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则按一家供应商计算。</w:t>
            </w:r>
          </w:p>
        </w:tc>
      </w:tr>
    </w:tbl>
    <w:p>
      <w:pPr>
        <w:spacing w:line="360" w:lineRule="auto"/>
        <w:outlineLvl w:val="1"/>
        <w:rPr>
          <w:rFonts w:asciiTheme="minorEastAsia" w:hAnsiTheme="minorEastAsia" w:eastAsiaTheme="minorEastAsia" w:cstheme="minorEastAsia"/>
          <w:b/>
          <w:szCs w:val="21"/>
        </w:rPr>
      </w:pPr>
      <w:bookmarkStart w:id="27" w:name="_Toc11118"/>
      <w:r>
        <w:rPr>
          <w:rFonts w:hint="eastAsia" w:asciiTheme="minorEastAsia" w:hAnsiTheme="minorEastAsia" w:eastAsiaTheme="minorEastAsia" w:cstheme="minorEastAsia"/>
          <w:b/>
          <w:szCs w:val="21"/>
        </w:rPr>
        <w:t>供应商须知</w:t>
      </w:r>
      <w:bookmarkEnd w:id="27"/>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28" w:name="_Toc2378"/>
      <w:r>
        <w:rPr>
          <w:rFonts w:hint="eastAsia" w:asciiTheme="minorEastAsia" w:hAnsiTheme="minorEastAsia" w:eastAsiaTheme="minorEastAsia" w:cstheme="minorEastAsia"/>
          <w:b/>
          <w:szCs w:val="21"/>
        </w:rPr>
        <w:t>总则</w:t>
      </w:r>
      <w:bookmarkEnd w:id="28"/>
    </w:p>
    <w:p>
      <w:pPr>
        <w:numPr>
          <w:ilvl w:val="0"/>
          <w:numId w:val="11"/>
        </w:numPr>
        <w:spacing w:line="360" w:lineRule="auto"/>
        <w:ind w:hanging="540"/>
        <w:outlineLvl w:val="1"/>
        <w:rPr>
          <w:rFonts w:asciiTheme="minorEastAsia" w:hAnsiTheme="minorEastAsia" w:eastAsiaTheme="minorEastAsia" w:cstheme="minorEastAsia"/>
          <w:b/>
          <w:szCs w:val="21"/>
        </w:rPr>
      </w:pPr>
      <w:bookmarkStart w:id="29" w:name="_Toc27243"/>
      <w:bookmarkStart w:id="30" w:name="_Toc2284"/>
      <w:r>
        <w:rPr>
          <w:rFonts w:hint="eastAsia" w:asciiTheme="minorEastAsia" w:hAnsiTheme="minorEastAsia" w:eastAsiaTheme="minorEastAsia" w:cstheme="minorEastAsia"/>
          <w:b/>
          <w:szCs w:val="21"/>
        </w:rPr>
        <w:t>适用法律及范围</w:t>
      </w:r>
      <w:bookmarkEnd w:id="29"/>
      <w:bookmarkEnd w:id="30"/>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1" w:name="_Toc30547"/>
      <w:bookmarkStart w:id="32" w:name="_Toc1688"/>
      <w:r>
        <w:rPr>
          <w:rFonts w:hint="eastAsia" w:asciiTheme="minorEastAsia" w:hAnsiTheme="minorEastAsia" w:eastAsiaTheme="minorEastAsia" w:cstheme="minorEastAsia"/>
          <w:b/>
          <w:szCs w:val="21"/>
        </w:rPr>
        <w:t>定义</w:t>
      </w:r>
      <w:bookmarkEnd w:id="31"/>
      <w:bookmarkEnd w:id="32"/>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3" w:name="_Toc30503"/>
      <w:bookmarkStart w:id="34" w:name="_Toc32587"/>
      <w:r>
        <w:rPr>
          <w:rFonts w:hint="eastAsia" w:asciiTheme="minorEastAsia" w:hAnsiTheme="minorEastAsia" w:eastAsiaTheme="minorEastAsia" w:cstheme="minorEastAsia"/>
          <w:b/>
          <w:snapToGrid w:val="0"/>
          <w:kern w:val="0"/>
          <w:szCs w:val="21"/>
          <w:lang w:val="zh-CN"/>
        </w:rPr>
        <w:t>工程、货物及服务</w:t>
      </w:r>
      <w:bookmarkEnd w:id="33"/>
      <w:bookmarkEnd w:id="34"/>
    </w:p>
    <w:p>
      <w:pPr>
        <w:numPr>
          <w:ilvl w:val="1"/>
          <w:numId w:val="14"/>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5" w:name="_Toc9974"/>
      <w:bookmarkStart w:id="36" w:name="_Toc18877"/>
      <w:r>
        <w:rPr>
          <w:rFonts w:hint="eastAsia" w:asciiTheme="minorEastAsia" w:hAnsiTheme="minorEastAsia" w:eastAsiaTheme="minorEastAsia" w:cstheme="minorEastAsia"/>
          <w:b/>
          <w:szCs w:val="21"/>
        </w:rPr>
        <w:t>费用</w:t>
      </w:r>
      <w:bookmarkEnd w:id="35"/>
      <w:bookmarkEnd w:id="36"/>
      <w:r>
        <w:rPr>
          <w:rFonts w:hint="eastAsia" w:asciiTheme="minorEastAsia" w:hAnsiTheme="minorEastAsia" w:eastAsiaTheme="minorEastAsia" w:cstheme="minorEastAsia"/>
          <w:b/>
          <w:szCs w:val="21"/>
        </w:rPr>
        <w:t xml:space="preserve">  </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r>
    </w:tbl>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注：招标代理服务收费按差额定率累进法计算。例如：某货物招标代理业务中标金额为6000万元，计算招标代理服务收费额如下：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0---100：100×1.500％=15000.000元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100---500：400×1.100％=44000.000元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500---1000：500×0.800％=40000.000元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1000---5000：4000×0.500％=200000.000元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5000---6000：1000×0.250％=25000.000元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合计收费=324000.000元</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7" w:name="_Toc28595"/>
      <w:r>
        <w:rPr>
          <w:rFonts w:hint="eastAsia" w:asciiTheme="minorEastAsia" w:hAnsiTheme="minorEastAsia" w:eastAsiaTheme="minorEastAsia" w:cstheme="minorEastAsia"/>
          <w:b/>
          <w:szCs w:val="21"/>
        </w:rPr>
        <w:t>竞争性磋商采购文件</w:t>
      </w:r>
      <w:bookmarkEnd w:id="37"/>
    </w:p>
    <w:p>
      <w:pPr>
        <w:numPr>
          <w:ilvl w:val="0"/>
          <w:numId w:val="11"/>
        </w:numPr>
        <w:spacing w:line="360" w:lineRule="auto"/>
        <w:ind w:hanging="540"/>
        <w:outlineLvl w:val="1"/>
        <w:rPr>
          <w:rFonts w:asciiTheme="minorEastAsia" w:hAnsiTheme="minorEastAsia" w:eastAsiaTheme="minorEastAsia" w:cstheme="minorEastAsia"/>
          <w:b/>
          <w:szCs w:val="21"/>
        </w:rPr>
      </w:pPr>
      <w:bookmarkStart w:id="38" w:name="_Toc17692"/>
      <w:bookmarkStart w:id="39" w:name="_Toc4547"/>
      <w:r>
        <w:rPr>
          <w:rFonts w:hint="eastAsia" w:asciiTheme="minorEastAsia" w:hAnsiTheme="minorEastAsia" w:eastAsiaTheme="minorEastAsia" w:cstheme="minorEastAsia"/>
          <w:b/>
          <w:szCs w:val="21"/>
        </w:rPr>
        <w:t>竞争性磋商采购文件的构成</w:t>
      </w:r>
      <w:bookmarkEnd w:id="38"/>
      <w:bookmarkEnd w:id="39"/>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磋商小组在磋商过程中发出的对本磋商文件的实质性变动</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0" w:name="_Toc10606"/>
      <w:bookmarkStart w:id="41" w:name="_Toc29700"/>
      <w:r>
        <w:rPr>
          <w:rFonts w:hint="eastAsia" w:asciiTheme="minorEastAsia" w:hAnsiTheme="minorEastAsia" w:eastAsiaTheme="minorEastAsia" w:cstheme="minorEastAsia"/>
          <w:b/>
          <w:snapToGrid w:val="0"/>
          <w:kern w:val="0"/>
          <w:szCs w:val="21"/>
          <w:lang w:val="zh-CN"/>
        </w:rPr>
        <w:t>竞争性磋商采购文件的澄清</w:t>
      </w:r>
      <w:bookmarkEnd w:id="40"/>
      <w:bookmarkEnd w:id="41"/>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2" w:name="_Toc31761"/>
      <w:bookmarkStart w:id="43" w:name="_Toc24452"/>
      <w:r>
        <w:rPr>
          <w:rFonts w:hint="eastAsia" w:asciiTheme="minorEastAsia" w:hAnsiTheme="minorEastAsia" w:eastAsiaTheme="minorEastAsia" w:cstheme="minorEastAsia"/>
          <w:b/>
          <w:snapToGrid w:val="0"/>
          <w:kern w:val="0"/>
          <w:szCs w:val="21"/>
          <w:lang w:val="zh-CN"/>
        </w:rPr>
        <w:t>竞争性磋商采购文件的修改</w:t>
      </w:r>
      <w:bookmarkEnd w:id="42"/>
      <w:bookmarkEnd w:id="43"/>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44" w:name="_Toc8721"/>
      <w:r>
        <w:rPr>
          <w:rFonts w:hint="eastAsia" w:asciiTheme="minorEastAsia" w:hAnsiTheme="minorEastAsia" w:eastAsiaTheme="minorEastAsia" w:cstheme="minorEastAsia"/>
          <w:b/>
          <w:szCs w:val="21"/>
        </w:rPr>
        <w:t>竞争性磋商响应文件</w:t>
      </w:r>
      <w:bookmarkEnd w:id="44"/>
    </w:p>
    <w:p>
      <w:pPr>
        <w:numPr>
          <w:ilvl w:val="0"/>
          <w:numId w:val="11"/>
        </w:numPr>
        <w:spacing w:line="360" w:lineRule="auto"/>
        <w:ind w:hanging="540"/>
        <w:outlineLvl w:val="1"/>
        <w:rPr>
          <w:rFonts w:asciiTheme="minorEastAsia" w:hAnsiTheme="minorEastAsia" w:eastAsiaTheme="minorEastAsia" w:cstheme="minorEastAsia"/>
          <w:snapToGrid w:val="0"/>
          <w:kern w:val="0"/>
          <w:szCs w:val="21"/>
          <w:lang w:val="zh-CN"/>
        </w:rPr>
      </w:pPr>
      <w:bookmarkStart w:id="45" w:name="_Toc30987"/>
      <w:bookmarkStart w:id="46" w:name="_Toc16940"/>
      <w:r>
        <w:rPr>
          <w:rFonts w:hint="eastAsia" w:asciiTheme="minorEastAsia" w:hAnsiTheme="minorEastAsia" w:eastAsiaTheme="minorEastAsia" w:cstheme="minorEastAsia"/>
          <w:b/>
          <w:snapToGrid w:val="0"/>
          <w:kern w:val="0"/>
          <w:szCs w:val="21"/>
          <w:lang w:val="zh-CN"/>
        </w:rPr>
        <w:t>语言和计量单位</w:t>
      </w:r>
      <w:bookmarkEnd w:id="45"/>
      <w:bookmarkEnd w:id="46"/>
    </w:p>
    <w:p>
      <w:pPr>
        <w:numPr>
          <w:ilvl w:val="1"/>
          <w:numId w:val="19"/>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7" w:name="_Toc10248"/>
      <w:bookmarkStart w:id="48" w:name="_Toc32272"/>
      <w:r>
        <w:rPr>
          <w:rFonts w:hint="eastAsia" w:asciiTheme="minorEastAsia" w:hAnsiTheme="minorEastAsia" w:eastAsiaTheme="minorEastAsia" w:cstheme="minorEastAsia"/>
          <w:b/>
          <w:snapToGrid w:val="0"/>
          <w:kern w:val="0"/>
          <w:szCs w:val="21"/>
          <w:lang w:val="zh-CN"/>
        </w:rPr>
        <w:t>竞争性磋商响应文件的构成</w:t>
      </w:r>
      <w:bookmarkEnd w:id="47"/>
      <w:bookmarkEnd w:id="48"/>
    </w:p>
    <w:p>
      <w:pPr>
        <w:numPr>
          <w:ilvl w:val="1"/>
          <w:numId w:val="20"/>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9" w:name="_Toc25217"/>
      <w:bookmarkStart w:id="50" w:name="_Toc27546"/>
      <w:r>
        <w:rPr>
          <w:rFonts w:hint="eastAsia" w:asciiTheme="minorEastAsia" w:hAnsiTheme="minorEastAsia" w:eastAsiaTheme="minorEastAsia" w:cstheme="minorEastAsia"/>
          <w:b/>
          <w:snapToGrid w:val="0"/>
          <w:kern w:val="0"/>
          <w:szCs w:val="21"/>
          <w:lang w:val="zh-CN"/>
        </w:rPr>
        <w:t>竞争性磋商响应文件的编制</w:t>
      </w:r>
      <w:bookmarkEnd w:id="49"/>
      <w:bookmarkEnd w:id="50"/>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51" w:name="_Toc10851"/>
      <w:bookmarkStart w:id="52" w:name="_Toc24544"/>
      <w:r>
        <w:rPr>
          <w:rFonts w:hint="eastAsia" w:asciiTheme="minorEastAsia" w:hAnsiTheme="minorEastAsia" w:eastAsiaTheme="minorEastAsia" w:cstheme="minorEastAsia"/>
          <w:b/>
          <w:snapToGrid w:val="0"/>
          <w:kern w:val="0"/>
          <w:szCs w:val="21"/>
          <w:lang w:val="zh-CN"/>
        </w:rPr>
        <w:t>磋商报价</w:t>
      </w:r>
      <w:bookmarkEnd w:id="51"/>
      <w:bookmarkEnd w:id="52"/>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3" w:name="_Toc6176"/>
      <w:bookmarkStart w:id="54" w:name="_Toc22203"/>
      <w:r>
        <w:rPr>
          <w:rFonts w:hint="eastAsia" w:asciiTheme="minorEastAsia" w:hAnsiTheme="minorEastAsia" w:eastAsiaTheme="minorEastAsia" w:cstheme="minorEastAsia"/>
          <w:b/>
          <w:snapToGrid w:val="0"/>
          <w:kern w:val="0"/>
          <w:szCs w:val="21"/>
          <w:lang w:val="zh-CN"/>
        </w:rPr>
        <w:t>备选方案</w:t>
      </w:r>
      <w:bookmarkEnd w:id="53"/>
      <w:bookmarkEnd w:id="54"/>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5" w:name="_Toc18446"/>
      <w:bookmarkStart w:id="56" w:name="_Toc3324"/>
      <w:r>
        <w:rPr>
          <w:rFonts w:hint="eastAsia" w:asciiTheme="minorEastAsia" w:hAnsiTheme="minorEastAsia" w:eastAsiaTheme="minorEastAsia" w:cstheme="minorEastAsia"/>
          <w:b/>
          <w:snapToGrid w:val="0"/>
          <w:kern w:val="0"/>
          <w:szCs w:val="21"/>
          <w:lang w:val="zh-CN"/>
        </w:rPr>
        <w:t>联合体</w:t>
      </w:r>
      <w:bookmarkEnd w:id="55"/>
      <w:bookmarkEnd w:id="56"/>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7" w:name="_Toc2434"/>
      <w:bookmarkStart w:id="58" w:name="_Toc16304"/>
      <w:r>
        <w:rPr>
          <w:rFonts w:hint="eastAsia" w:asciiTheme="minorEastAsia" w:hAnsiTheme="minorEastAsia" w:eastAsiaTheme="minorEastAsia" w:cstheme="minorEastAsia"/>
          <w:b/>
          <w:snapToGrid w:val="0"/>
          <w:kern w:val="0"/>
          <w:szCs w:val="21"/>
          <w:lang w:val="zh-CN"/>
        </w:rPr>
        <w:t>供应商资格证明文件</w:t>
      </w:r>
      <w:bookmarkEnd w:id="57"/>
      <w:bookmarkEnd w:id="58"/>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eastAsiaTheme="minorEastAsia"/>
        </w:rPr>
      </w:pPr>
      <w:r>
        <w:rPr>
          <w:rFonts w:hint="eastAsia" w:asciiTheme="minorEastAsia" w:hAnsiTheme="minorEastAsia" w:eastAsiaTheme="minorEastAsia" w:cstheme="minorEastAsia"/>
          <w:snapToGrid w:val="0"/>
          <w:kern w:val="0"/>
          <w:szCs w:val="21"/>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9" w:name="_Toc9935"/>
      <w:bookmarkStart w:id="60" w:name="_Toc1072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59"/>
      <w:bookmarkEnd w:id="60"/>
    </w:p>
    <w:p>
      <w:pPr>
        <w:numPr>
          <w:ilvl w:val="1"/>
          <w:numId w:val="27"/>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1" w:name="_Toc7204"/>
      <w:bookmarkStart w:id="62" w:name="_Toc27068"/>
      <w:r>
        <w:rPr>
          <w:rFonts w:hint="eastAsia" w:asciiTheme="minorEastAsia" w:hAnsiTheme="minorEastAsia" w:eastAsiaTheme="minorEastAsia" w:cstheme="minorEastAsia"/>
          <w:b/>
          <w:snapToGrid w:val="0"/>
          <w:kern w:val="0"/>
          <w:szCs w:val="21"/>
          <w:lang w:val="zh-CN"/>
        </w:rPr>
        <w:t>磋商保证金</w:t>
      </w:r>
      <w:bookmarkEnd w:id="61"/>
      <w:bookmarkEnd w:id="62"/>
    </w:p>
    <w:p>
      <w:pPr>
        <w:numPr>
          <w:ilvl w:val="1"/>
          <w:numId w:val="28"/>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3" w:name="_Toc5668"/>
      <w:bookmarkStart w:id="64" w:name="_Toc1597"/>
      <w:r>
        <w:rPr>
          <w:rFonts w:hint="eastAsia" w:asciiTheme="minorEastAsia" w:hAnsiTheme="minorEastAsia" w:eastAsiaTheme="minorEastAsia" w:cstheme="minorEastAsia"/>
          <w:b/>
          <w:snapToGrid w:val="0"/>
          <w:kern w:val="0"/>
          <w:szCs w:val="21"/>
          <w:lang w:val="zh-CN"/>
        </w:rPr>
        <w:t>磋商有效期</w:t>
      </w:r>
      <w:bookmarkEnd w:id="63"/>
      <w:bookmarkEnd w:id="64"/>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5" w:name="_Toc19234"/>
      <w:bookmarkStart w:id="66"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5"/>
      <w:bookmarkEnd w:id="66"/>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67" w:name="_Toc25046"/>
      <w:r>
        <w:rPr>
          <w:rFonts w:hint="eastAsia" w:asciiTheme="minorEastAsia" w:hAnsiTheme="minorEastAsia" w:eastAsiaTheme="minorEastAsia" w:cstheme="minorEastAsia"/>
          <w:b/>
          <w:szCs w:val="21"/>
        </w:rPr>
        <w:t>竞争性磋商响应文件的递交</w:t>
      </w:r>
      <w:bookmarkEnd w:id="67"/>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8" w:name="_Toc27305"/>
      <w:bookmarkStart w:id="69" w:name="_Toc24769"/>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8"/>
      <w:bookmarkEnd w:id="69"/>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0" w:name="_Toc17857"/>
      <w:bookmarkStart w:id="71" w:name="_Toc348"/>
      <w:r>
        <w:rPr>
          <w:rFonts w:hint="eastAsia" w:asciiTheme="minorEastAsia" w:hAnsiTheme="minorEastAsia" w:eastAsiaTheme="minorEastAsia" w:cstheme="minorEastAsia"/>
          <w:b/>
          <w:snapToGrid w:val="0"/>
          <w:kern w:val="0"/>
          <w:szCs w:val="21"/>
          <w:lang w:val="zh-CN"/>
        </w:rPr>
        <w:t>竞争性磋商响应文件的送达地点及截止时间</w:t>
      </w:r>
      <w:bookmarkEnd w:id="70"/>
      <w:bookmarkEnd w:id="71"/>
    </w:p>
    <w:p>
      <w:pPr>
        <w:autoSpaceDE w:val="0"/>
        <w:autoSpaceDN w:val="0"/>
        <w:adjustRightInd w:val="0"/>
        <w:spacing w:line="360" w:lineRule="auto"/>
        <w:jc w:val="left"/>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2" w:name="_Toc21545"/>
      <w:bookmarkStart w:id="73" w:name="_Toc31376"/>
      <w:r>
        <w:rPr>
          <w:rFonts w:hint="eastAsia" w:asciiTheme="minorEastAsia" w:hAnsiTheme="minorEastAsia" w:eastAsiaTheme="minorEastAsia" w:cstheme="minorEastAsia"/>
          <w:b/>
          <w:snapToGrid w:val="0"/>
          <w:kern w:val="0"/>
          <w:szCs w:val="21"/>
          <w:lang w:val="zh-CN"/>
        </w:rPr>
        <w:t>迟交的竞争性磋商响应文件</w:t>
      </w:r>
      <w:bookmarkEnd w:id="72"/>
      <w:bookmarkEnd w:id="73"/>
    </w:p>
    <w:p>
      <w:pPr>
        <w:numPr>
          <w:ilvl w:val="1"/>
          <w:numId w:val="33"/>
        </w:numPr>
        <w:tabs>
          <w:tab w:val="left" w:pos="540"/>
          <w:tab w:val="clear" w:pos="48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4" w:name="_Toc22487"/>
      <w:bookmarkStart w:id="75"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74"/>
      <w:bookmarkEnd w:id="75"/>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76" w:name="_Toc19129"/>
      <w:r>
        <w:rPr>
          <w:rFonts w:hint="eastAsia" w:asciiTheme="minorEastAsia" w:hAnsiTheme="minorEastAsia" w:eastAsiaTheme="minorEastAsia" w:cstheme="minorEastAsia"/>
          <w:b/>
          <w:szCs w:val="21"/>
        </w:rPr>
        <w:t>磋商程序及步骤</w:t>
      </w:r>
      <w:bookmarkEnd w:id="76"/>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7" w:name="_Toc22624"/>
      <w:bookmarkStart w:id="78" w:name="_Toc25025"/>
      <w:r>
        <w:rPr>
          <w:rFonts w:hint="eastAsia" w:asciiTheme="minorEastAsia" w:hAnsiTheme="minorEastAsia" w:eastAsiaTheme="minorEastAsia" w:cstheme="minorEastAsia"/>
          <w:b/>
        </w:rPr>
        <w:t>竞争性磋商小组</w:t>
      </w:r>
      <w:bookmarkEnd w:id="77"/>
      <w:bookmarkEnd w:id="78"/>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磋商小组由采购人代表和评审专家共3人或3人以上单数组成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9" w:name="_Toc20818"/>
      <w:bookmarkStart w:id="80" w:name="_Toc21483"/>
      <w:r>
        <w:rPr>
          <w:rFonts w:hint="eastAsia" w:asciiTheme="minorEastAsia" w:hAnsiTheme="minorEastAsia" w:eastAsiaTheme="minorEastAsia" w:cstheme="minorEastAsia"/>
          <w:b/>
        </w:rPr>
        <w:t>磋商代表</w:t>
      </w:r>
      <w:bookmarkEnd w:id="79"/>
      <w:bookmarkEnd w:id="80"/>
    </w:p>
    <w:p>
      <w:pPr>
        <w:tabs>
          <w:tab w:val="left" w:pos="864"/>
          <w:tab w:val="left" w:pos="1080"/>
        </w:tabs>
        <w:spacing w:line="360" w:lineRule="auto"/>
        <w:rPr>
          <w:rFonts w:asciiTheme="minorEastAsia" w:hAnsiTheme="minorEastAsia" w:eastAsiaTheme="minorEastAsia" w:cstheme="minorEastAsia"/>
          <w:szCs w:val="21"/>
        </w:rPr>
      </w:pPr>
      <w:bookmarkStart w:id="81" w:name="_Toc32662"/>
      <w:bookmarkStart w:id="82" w:name="_Toc9967"/>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szCs w:val="21"/>
        </w:rPr>
        <w:t>磋商代表的其他要求见《供应商须知前附表》。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83" w:name="_Toc6549"/>
      <w:r>
        <w:rPr>
          <w:rFonts w:hint="eastAsia" w:asciiTheme="minorEastAsia" w:hAnsiTheme="minorEastAsia" w:eastAsiaTheme="minorEastAsia" w:cstheme="minorEastAsia"/>
          <w:b/>
        </w:rPr>
        <w:t>资格审查和符合性审查</w:t>
      </w:r>
      <w:bookmarkEnd w:id="83"/>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84" w:name="_Toc7449"/>
      <w:r>
        <w:rPr>
          <w:rFonts w:hint="eastAsia" w:asciiTheme="minorEastAsia" w:hAnsiTheme="minorEastAsia" w:eastAsiaTheme="minorEastAsia" w:cstheme="minorEastAsia"/>
          <w:b/>
        </w:rPr>
        <w:t>磋商</w:t>
      </w:r>
      <w:bookmarkEnd w:id="84"/>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5" w:name="_Toc23062"/>
      <w:r>
        <w:rPr>
          <w:rFonts w:hint="eastAsia" w:asciiTheme="minorEastAsia" w:hAnsiTheme="minorEastAsia" w:eastAsiaTheme="minorEastAsia" w:cstheme="minorEastAsia"/>
          <w:b/>
          <w:lang w:val="zh-CN"/>
        </w:rPr>
        <w:t>保密</w:t>
      </w:r>
      <w:bookmarkEnd w:id="85"/>
    </w:p>
    <w:p>
      <w:pPr>
        <w:numPr>
          <w:ilvl w:val="1"/>
          <w:numId w:val="35"/>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86" w:name="_Toc30511"/>
      <w:r>
        <w:rPr>
          <w:rFonts w:hint="eastAsia" w:asciiTheme="minorEastAsia" w:hAnsiTheme="minorEastAsia" w:eastAsiaTheme="minorEastAsia" w:cstheme="minorEastAsia"/>
          <w:b/>
          <w:szCs w:val="21"/>
        </w:rPr>
        <w:t>成交与签订合同</w:t>
      </w:r>
      <w:bookmarkEnd w:id="86"/>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7" w:name="_Toc25511"/>
      <w:r>
        <w:rPr>
          <w:rFonts w:hint="eastAsia" w:asciiTheme="minorEastAsia" w:hAnsiTheme="minorEastAsia" w:eastAsiaTheme="minorEastAsia" w:cstheme="minorEastAsia"/>
          <w:b/>
          <w:lang w:val="zh-CN"/>
        </w:rPr>
        <w:t>合同授予标准</w:t>
      </w:r>
      <w:bookmarkEnd w:id="87"/>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rPr>
          <w:rFonts w:ascii="宋体" w:hAnsi="宋体" w:cs="宋体"/>
          <w:sz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cs="宋体"/>
          <w:sz w:val="24"/>
        </w:rPr>
        <w:t xml:space="preserve">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8" w:name="_Toc21287"/>
      <w:r>
        <w:rPr>
          <w:rFonts w:hint="eastAsia" w:asciiTheme="minorEastAsia" w:hAnsiTheme="minorEastAsia" w:eastAsiaTheme="minorEastAsia" w:cstheme="minorEastAsia"/>
          <w:b/>
          <w:lang w:val="zh-CN"/>
        </w:rPr>
        <w:t>签订合同</w:t>
      </w:r>
      <w:bookmarkEnd w:id="88"/>
    </w:p>
    <w:p>
      <w:pPr>
        <w:tabs>
          <w:tab w:val="left" w:pos="426"/>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89" w:name="_Toc13988"/>
      <w:bookmarkStart w:id="90" w:name="_Toc14510"/>
      <w:bookmarkStart w:id="91" w:name="_Toc4883"/>
      <w:bookmarkStart w:id="92" w:name="_Toc9565"/>
      <w:r>
        <w:rPr>
          <w:rFonts w:hint="eastAsia" w:asciiTheme="minorEastAsia" w:hAnsiTheme="minorEastAsia" w:eastAsiaTheme="minorEastAsia" w:cstheme="minorEastAsia"/>
          <w:b/>
          <w:szCs w:val="21"/>
          <w:lang w:val="zh-CN"/>
        </w:rPr>
        <w:t>质疑和投诉</w:t>
      </w:r>
      <w:bookmarkEnd w:id="89"/>
      <w:bookmarkEnd w:id="90"/>
      <w:bookmarkEnd w:id="91"/>
      <w:bookmarkEnd w:id="92"/>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3" w:name="_Toc20044"/>
      <w:r>
        <w:rPr>
          <w:rFonts w:hint="eastAsia" w:asciiTheme="minorEastAsia" w:hAnsiTheme="minorEastAsia" w:eastAsiaTheme="minorEastAsia" w:cstheme="minorEastAsia"/>
          <w:b/>
          <w:lang w:val="zh-CN"/>
        </w:rPr>
        <w:t>质疑</w:t>
      </w:r>
      <w:bookmarkEnd w:id="93"/>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4" w:name="_Toc12218"/>
      <w:r>
        <w:rPr>
          <w:rFonts w:hint="eastAsia" w:asciiTheme="minorEastAsia" w:hAnsiTheme="minorEastAsia" w:eastAsiaTheme="minorEastAsia" w:cstheme="minorEastAsia"/>
          <w:b/>
          <w:lang w:val="zh-CN"/>
        </w:rPr>
        <w:t>质疑回复</w:t>
      </w:r>
      <w:bookmarkEnd w:id="94"/>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5" w:name="_Toc1523"/>
      <w:r>
        <w:rPr>
          <w:rFonts w:hint="eastAsia" w:asciiTheme="minorEastAsia" w:hAnsiTheme="minorEastAsia" w:eastAsiaTheme="minorEastAsia" w:cstheme="minorEastAsia"/>
          <w:b/>
          <w:lang w:val="zh-CN"/>
        </w:rPr>
        <w:t>投诉</w:t>
      </w:r>
      <w:bookmarkEnd w:id="95"/>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6" w:name="_Toc28705"/>
      <w:bookmarkStart w:id="97" w:name="_Toc5571"/>
      <w:bookmarkStart w:id="98" w:name="_Toc14767"/>
      <w:bookmarkStart w:id="99" w:name="_Toc9778"/>
      <w:r>
        <w:rPr>
          <w:rFonts w:hint="eastAsia" w:asciiTheme="minorEastAsia" w:hAnsiTheme="minorEastAsia" w:eastAsiaTheme="minorEastAsia" w:cstheme="minorEastAsia"/>
          <w:b/>
          <w:szCs w:val="21"/>
          <w:lang w:val="zh-CN"/>
        </w:rPr>
        <w:t>政策</w:t>
      </w:r>
      <w:bookmarkEnd w:id="96"/>
      <w:bookmarkEnd w:id="97"/>
      <w:bookmarkEnd w:id="98"/>
      <w:bookmarkEnd w:id="99"/>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100" w:name="_Toc25956"/>
      <w:r>
        <w:rPr>
          <w:rFonts w:hint="eastAsia" w:asciiTheme="minorEastAsia" w:hAnsiTheme="minorEastAsia" w:eastAsiaTheme="minorEastAsia" w:cstheme="minorEastAsia"/>
          <w:b/>
        </w:rPr>
        <w:t>政府采购政策</w:t>
      </w:r>
      <w:bookmarkEnd w:id="100"/>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w:t>
      </w:r>
      <w:r>
        <w:rPr>
          <w:rFonts w:hint="eastAsia" w:ascii="宋体" w:hAnsi="宋体" w:cs="宋体"/>
          <w:snapToGrid w:val="0"/>
          <w:kern w:val="0"/>
          <w:szCs w:val="21"/>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1" w:name="_Toc28139"/>
      <w:r>
        <w:rPr>
          <w:rFonts w:hint="eastAsia" w:asciiTheme="minorEastAsia" w:hAnsiTheme="minorEastAsia" w:eastAsiaTheme="minorEastAsia" w:cstheme="minorEastAsia"/>
          <w:b/>
          <w:szCs w:val="21"/>
          <w:lang w:val="zh-CN"/>
        </w:rPr>
        <w:t>其他要求</w:t>
      </w:r>
      <w:bookmarkEnd w:id="101"/>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2" w:name="_Toc20526"/>
      <w:r>
        <w:rPr>
          <w:rFonts w:hint="eastAsia" w:asciiTheme="minorEastAsia" w:hAnsiTheme="minorEastAsia" w:eastAsiaTheme="minorEastAsia" w:cstheme="minorEastAsia"/>
          <w:b/>
          <w:szCs w:val="21"/>
          <w:lang w:val="zh-CN"/>
        </w:rPr>
        <w:t>适用法律</w:t>
      </w:r>
      <w:bookmarkEnd w:id="102"/>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bookmarkStart w:id="103" w:name="_Toc2896"/>
      <w:r>
        <w:rPr>
          <w:rFonts w:hint="eastAsia" w:asciiTheme="minorEastAsia" w:hAnsiTheme="minorEastAsia" w:eastAsiaTheme="minorEastAsia" w:cstheme="minorEastAsia"/>
          <w:b/>
          <w:bCs/>
          <w:sz w:val="36"/>
          <w:szCs w:val="36"/>
        </w:rPr>
        <w:t>采购需求</w:t>
      </w:r>
      <w:bookmarkEnd w:id="103"/>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4" w:name="_Toc29653"/>
      <w:bookmarkStart w:id="105" w:name="_Toc9305"/>
      <w:r>
        <w:rPr>
          <w:rFonts w:hint="eastAsia" w:asciiTheme="minorEastAsia" w:hAnsiTheme="minorEastAsia" w:eastAsiaTheme="minorEastAsia" w:cstheme="minorEastAsia"/>
          <w:b/>
          <w:bCs/>
          <w:sz w:val="24"/>
        </w:rPr>
        <w:t>一、技术需求</w:t>
      </w:r>
      <w:bookmarkEnd w:id="104"/>
      <w:bookmarkEnd w:id="105"/>
    </w:p>
    <w:p>
      <w:pPr>
        <w:autoSpaceDE w:val="0"/>
        <w:autoSpaceDN w:val="0"/>
        <w:adjustRightInd w:val="0"/>
        <w:spacing w:line="360" w:lineRule="auto"/>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1、项目概况：遴选一家供应商为湖北鑫盛工贸有限责任公司提供钢材及辅料、线缆及电料、水暖器材、劳保及小五金、备杂用品采购服务。</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2、设备/货物清单</w:t>
      </w:r>
    </w:p>
    <w:tbl>
      <w:tblPr>
        <w:tblStyle w:val="26"/>
        <w:tblW w:w="4997" w:type="pct"/>
        <w:tblInd w:w="0" w:type="dxa"/>
        <w:tblLayout w:type="fixed"/>
        <w:tblCellMar>
          <w:top w:w="0" w:type="dxa"/>
          <w:left w:w="0" w:type="dxa"/>
          <w:bottom w:w="0" w:type="dxa"/>
          <w:right w:w="0" w:type="dxa"/>
        </w:tblCellMar>
      </w:tblPr>
      <w:tblGrid>
        <w:gridCol w:w="1788"/>
        <w:gridCol w:w="2442"/>
        <w:gridCol w:w="1983"/>
        <w:gridCol w:w="1441"/>
        <w:gridCol w:w="1443"/>
      </w:tblGrid>
      <w:tr>
        <w:tblPrEx>
          <w:tblCellMar>
            <w:top w:w="0" w:type="dxa"/>
            <w:left w:w="0" w:type="dxa"/>
            <w:bottom w:w="0" w:type="dxa"/>
            <w:right w:w="0" w:type="dxa"/>
          </w:tblCellMar>
        </w:tblPrEx>
        <w:trPr>
          <w:trHeight w:val="80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序号</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类别及名称</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规格</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计量单位</w:t>
            </w:r>
          </w:p>
        </w:tc>
        <w:tc>
          <w:tcPr>
            <w:tcW w:w="7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单价最高限价（元）</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一、钢材及辅料</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镀锌板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1*1*1*125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方管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100*100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15方管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4米C型钢</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5米C型钢120</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75*50*250U型槽</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镀锌方管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30*30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镀锌方管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120*80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镀锌方管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40*40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花角铁</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花角铁螺丝</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三角片</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铁板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130*130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不锈钢方管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15*15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不锈钢活页</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付</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不锈钢链子</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不锈钢螺丝</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钢扁铁</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二、线缆及电料</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BVR软铜线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1.5mm2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BVR软铜线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2.5mm2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BVR软铜线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4mm2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305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BVR软铜线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6mm2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BVR软铜线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10mm2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710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BVR软铜线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16mm2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1250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2*1.5mm2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365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2*2.5mm2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520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2*4mm2+2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1550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3*1.5mm2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490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3*2.5mm2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695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3*2.5mm2+1</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960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3*4mm2+1</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1350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3*6mm2+1</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1890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3*16mm2+1</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5200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3*16mm2+2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5700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3*25mm2+1</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8600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橡套电缆</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YC 3*4+1</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1450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橡套电缆</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YC 3*10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橡套电缆</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YC 3*70+2*35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橡套电缆</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YC 3*70+2*35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铝芯电缆</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VLV3*185+2*95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69</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成套配电箱</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500*600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2250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交流接触器</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1210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德力西断路器</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DZ47-125/IN:100A</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台式丝印机</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带线接线板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双排</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带线接线板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单排</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三、水暖器材</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PPR热熔器</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20㎜-63㎜</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39</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Φ60mm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PPR带丝直接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PPR带丝直接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PPR带丝直接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PPR带丝直接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Φ60mm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PPR球阀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PPR球阀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PPR球阀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PPR球阀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Φ60mm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PPR三通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PPR三通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PPR三通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PPR三通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Φ60mm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PPR弯头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PPR弯头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PPR弯头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PPR弯头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Φ60mm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PPR变节头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PPR活接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PPR活接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PPR活接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PPR活接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Φ60mm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PPR堵头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PPR阀门</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PPR闸阀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Φ32mm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Φ16mm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Φ25mm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Φ100mm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Φ160mm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67</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Φ16mm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Φ25mm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Φ100mm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Φ160mm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PVC弯头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Φ100mm-90度</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PVC弯头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Φ160mm-90度</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PVC弯头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Φ200mm-90度</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Φ25mm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Φ100mm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Φ160mm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PVC变径接头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Φ50*20mm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PVC变径接头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Φ50*32mm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PVC变径接头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Φ50*40mm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PVC胶水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PVC卡子</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3cm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PVC卡子</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5cm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PVC波纹管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外径 Φ100mm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m</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63</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PPR内螺接头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1寸</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64</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气管铜接头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65</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热熔水管外丝直接</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66</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PP热熔器内外丝接头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1寸</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67</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PVC-U热熔热水管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6分</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热水管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69</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排水管卡</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四、劳保、小五金</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100燕尾钉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150定向轮</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150万向轮</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1次性指套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L型 200个/包</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2*2.5平行线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200定向轮</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200万向轮</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50*50桥架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502胶水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6206轴承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AB胶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LED广场照明灯</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LED节能灯管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T5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LED日光灯</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LED日光灯</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PVC手指套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白纯棉手套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白带扣手套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百丽珠</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450ml罐</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箱</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144</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板车内胎</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板车撬杠</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板车外胎</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半皮手套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半皮手套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保温桶水龙头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编制袋</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1.5m*1.2m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波纹管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玻璃胶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彩带灯</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插锁</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沉头十字木螺钉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沉头十字木螺钉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冲击钻头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创可贴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邦迪</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打包扣</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kg</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大插销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大功率电铃</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大挂锁</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大扫把</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大拖把</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带把门锁</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带盖小垃圾桶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发泡胶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发泡真空轮胎</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26X21/2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帆布手套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方块电池</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防滑手指套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白色大号</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袋</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防滑线手套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挂锁</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硅胶软管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2.5cm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柜子锁</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滚筒</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焊条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豪华家用增压泵</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嘉虹15WG-0.4-8</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口罩</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活动扳手</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活页</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家用不锈钢小汤勺</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家用大汤勺</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尖嘴钳</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剪刀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小剪刀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洁厕灵</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金属软管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近视眼镜</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100度</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京木牌起子</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快速接头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宽拖把</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木质</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框子</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垃圾袋</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拉马丁</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拉码</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蓝色pvc点胶手套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蓝色纱窗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蓝月亮洗手液</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劳保线手套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老虎夹子</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老花镜</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力车内胎</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力车外胎</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轮胎针钥匙</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螺帽</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螺栓</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螺丝</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梅花起子</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门栓不锈钢</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密封胶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棉手套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抹布</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公斤</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木柄横拖把</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木拖把</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60cm 一字型</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木拖把</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木拖把 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南孚电池</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内六角</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内六角</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内六角</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内六角扳手</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内六角螺杆</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4*500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内胎</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3.5-10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尼龙扎带</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尼龙扎带</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袋</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排笔</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0.8</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排笔</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排笔</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泡沫板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泡沫胶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泡沫双面胶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泡沫填充剂</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配套钢丝绳扣</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喷射泵</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1.5kw</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膨胀螺栓</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膨胀螺栓</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10*100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平板车定外轮</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普通黄油</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气泵式高压水枪</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气动脚踏板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气管钢接头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气管接头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气管快速接头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气枪</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墙板钉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3.5*25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墙板钉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3.5*35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墙板钉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3.5*40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37</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墙板钉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墙壁挂衣钩</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清洁剂</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29</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清洁球</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球型门锁</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日光灯镇流器</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三相热水器电源</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扫帚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砂纸</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粗砂纸</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砂纸</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十字木螺钉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十字批头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十字起子</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20cm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实心板车轮</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配6206型轴承</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实心板车轮</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带钢圈</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试电笔</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手喷油漆</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手指套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数模插座</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刷子带把</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水车内胎</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水车外胎</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26*21/2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水泥钢钉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塑料菜盒</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塑料凳</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塑料水管软管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4分</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塑料水瓢</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20cm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塑料烟缸</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塑料油壶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铁柄横拖把</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铁丝</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铜球阀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4分</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透明胶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透明皂</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拖车轮子</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瓦板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5m*7块</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平方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万向车轮 带刹车</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万向轮</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温度计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1250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无鞋带球鞋</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洗脸池单水阀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金牛</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洗碗布</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洗衣粉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大袋</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袋</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细砂纸</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线手套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线拖把</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小垃圾桶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小排笔</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小排笔</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中</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小排笔</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小扫帚</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高粱做</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小瓦条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1.0*1.5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斜口钳</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延时接线座</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燕尾钉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钥匙扣</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一次性口罩</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厚</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一字起</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扎带</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袋</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扎带</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5*150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扎丝</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长柄长手刷</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针织布口罩</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真空胎</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3.5-10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指甲剪</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轴承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6202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轴承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6204</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轴承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6206</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自攻六角尾钉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自钻螺丝</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钻头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4.2</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气枪</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打包器</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LED投光灯</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200W</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95</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雨衣</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工作服</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105</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马甲 工作服</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环保材料雨衣</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套鞋</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206</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稀释剂</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20kg/桶 国华环保</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290</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207</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纸胶布</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宽30mm</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208</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缠绕膜</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质量好，卷径大，内芯小，4卷/箱</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箱</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240</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209</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汰渍洗衣粉</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800克/袋</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袋</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210</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一次性医用口罩</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211</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大扫把（竹子）</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212</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实心板车轮胎</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带轮毂</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120</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明装开关</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214</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空开</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220V 40A 2P</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215</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空开</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220V 20A 2P</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216</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空开</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380V 63A  3P</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65</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217</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空开</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380V 40A 3P</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65</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218</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漏保空开</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380V 32A 4P</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98</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219</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双面胶</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宽1.5cm</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限位开关</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OMRON V-153-1C25 1185RE8</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221</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PVC绝缘胶布</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密胺长柄汤勺</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搅拌胶水用 加长</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零线排</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安装于配电箱内</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地线排</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安装于配电箱内</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225</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三脚插头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10A*H-231-250V</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226</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十字槽沉头木螺钉</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4*40mm</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29</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铝扣钢丝绳</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φ3cm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228</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锁搭扣</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150mm长</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229</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U形紧索扣</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紧固∅8mm丝索</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230</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开式索具螺旋扣</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C0型 长约30cm</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231</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气管尖嘴</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2分</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继电器</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japan。5A.250VAC~5A.240VAC,5A.28VDC;12个/盒</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216</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阻燃绝缘PVC电工波纹套管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捆</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234</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CD60型电容</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80WF AC220V</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生胶带</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236</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镀塑钢丝绳</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Φ3mm</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88"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237</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∮1.2护套软钢丝</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细，有塑料护套（防扎手）</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五、备杂用品</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白乳胶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汉高508T胶水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270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有机玻璃</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0.3</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有机玻璃</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420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纤维板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三角形彩带</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丝网板夹</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丝质黄布</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宽1.5m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洒水壶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三合板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耐高温高速黄油</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蓝色 1Kg/罐</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罐</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耐高温润滑油</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耐力板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酒精</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30Kg</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开口机绒布</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开水器浮球阀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开水器用软管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1米左右/根</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凯日达牌自动开关</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HX-120W</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拷贝纸</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38*25cm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拷贝纸</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52*37</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0.15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拷贝纸</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38*28</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加厚防滑垫</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780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加厚吸水垫</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780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加热器</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5kw</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780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黄色地面胶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红色防滑垫</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960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红色防滑垫小</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红色吸水垫</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1080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喉卡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蝴蝶夹</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海绵</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240cm*120cm*2cm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400*300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白猫洗洁精</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白色大脸盆</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彩花</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大塑料箱</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刀片</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片</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刀片刺丝</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刀片丝架子</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灯带插头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点胶瓶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250ml</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电池</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5号</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电池</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7号</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电子秤30kg</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电子台秤0.1g</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垫箱纸</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雕牌透明皂 小块</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4.8*9*2.3cm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箱</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镀塑钢丝绳</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3MM</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镀锌洒水壶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15L/个</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蹲式马桶冲水器</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防爆灯</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150w</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防护板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平方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防滑螺帽</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m5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0.2</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防火板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3.7 4.78 2.65</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平方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干湿温度计</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钢丝球</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古田丝网板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大网眼</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刮板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508（T100）胶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270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5Kw电热风机</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880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3Kw电热风机</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780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75防火板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4.78*42 3.7*66</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平方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78防火板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平方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90</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64</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80线拖把</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46</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8位空开盒</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A4硬垫板</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护手霜</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减压阀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带配件</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69</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气动脚踏开关</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纸杯</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大号</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箱</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排风扇</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正野30*30</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72</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电磁阀</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85</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73</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刀片刺丝</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98</w:t>
            </w:r>
          </w:p>
        </w:tc>
      </w:tr>
      <w:tr>
        <w:tblPrEx>
          <w:tblCellMar>
            <w:top w:w="0" w:type="dxa"/>
            <w:left w:w="0" w:type="dxa"/>
            <w:bottom w:w="0" w:type="dxa"/>
            <w:right w:w="0" w:type="dxa"/>
          </w:tblCellMar>
        </w:tblPrEx>
        <w:trPr>
          <w:trHeight w:val="24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74</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电水壶</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6L</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99</w:t>
            </w:r>
          </w:p>
        </w:tc>
      </w:tr>
      <w:tr>
        <w:tblPrEx>
          <w:tblCellMar>
            <w:top w:w="0" w:type="dxa"/>
            <w:left w:w="0" w:type="dxa"/>
            <w:bottom w:w="0" w:type="dxa"/>
            <w:right w:w="0" w:type="dxa"/>
          </w:tblCellMar>
        </w:tblPrEx>
        <w:trPr>
          <w:trHeight w:val="27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75</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记号笔</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ZEBIFA油性蓝色</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r>
      <w:tr>
        <w:tblPrEx>
          <w:tblCellMar>
            <w:top w:w="0" w:type="dxa"/>
            <w:left w:w="0" w:type="dxa"/>
            <w:bottom w:w="0" w:type="dxa"/>
            <w:right w:w="0" w:type="dxa"/>
          </w:tblCellMar>
        </w:tblPrEx>
        <w:trPr>
          <w:trHeight w:val="27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76</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空开铁支架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60cm长</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r>
      <w:tr>
        <w:tblPrEx>
          <w:tblCellMar>
            <w:top w:w="0" w:type="dxa"/>
            <w:left w:w="0" w:type="dxa"/>
            <w:bottom w:w="0" w:type="dxa"/>
            <w:right w:w="0" w:type="dxa"/>
          </w:tblCellMar>
        </w:tblPrEx>
        <w:trPr>
          <w:trHeight w:val="27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77</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地线桩</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themeColor="text1"/>
                <w:szCs w:val="21"/>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r>
      <w:tr>
        <w:tblPrEx>
          <w:tblCellMar>
            <w:top w:w="0" w:type="dxa"/>
            <w:left w:w="0" w:type="dxa"/>
            <w:bottom w:w="0" w:type="dxa"/>
            <w:right w:w="0" w:type="dxa"/>
          </w:tblCellMar>
        </w:tblPrEx>
        <w:trPr>
          <w:trHeight w:val="27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78</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塑料大油桶</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做水车用</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230</w:t>
            </w:r>
          </w:p>
        </w:tc>
      </w:tr>
      <w:tr>
        <w:tblPrEx>
          <w:tblCellMar>
            <w:top w:w="0" w:type="dxa"/>
            <w:left w:w="0" w:type="dxa"/>
            <w:bottom w:w="0" w:type="dxa"/>
            <w:right w:w="0" w:type="dxa"/>
          </w:tblCellMar>
        </w:tblPrEx>
        <w:trPr>
          <w:trHeight w:val="27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79</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不锈钢保温桶</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70L</w:t>
            </w:r>
          </w:p>
        </w:tc>
        <w:tc>
          <w:tcPr>
            <w:tcW w:w="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430</w:t>
            </w:r>
          </w:p>
        </w:tc>
      </w:tr>
      <w:tr>
        <w:tblPrEx>
          <w:tblCellMar>
            <w:top w:w="0" w:type="dxa"/>
            <w:left w:w="0" w:type="dxa"/>
            <w:bottom w:w="0" w:type="dxa"/>
            <w:right w:w="0" w:type="dxa"/>
          </w:tblCellMar>
        </w:tblPrEx>
        <w:trPr>
          <w:trHeight w:val="27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热熔过胶机铜刀头</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机器生产厂家采购；质量好</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片</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r>
      <w:tr>
        <w:tblPrEx>
          <w:tblCellMar>
            <w:top w:w="0" w:type="dxa"/>
            <w:left w:w="0" w:type="dxa"/>
            <w:bottom w:w="0" w:type="dxa"/>
            <w:right w:w="0" w:type="dxa"/>
          </w:tblCellMar>
        </w:tblPrEx>
        <w:trPr>
          <w:trHeight w:val="270" w:hRule="atLeast"/>
        </w:trPr>
        <w:tc>
          <w:tcPr>
            <w:tcW w:w="9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81</w:t>
            </w:r>
          </w:p>
        </w:tc>
        <w:tc>
          <w:tcPr>
            <w:tcW w:w="1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一次性纸箱内衬内膜包装袋</w:t>
            </w:r>
          </w:p>
        </w:tc>
        <w:tc>
          <w:tcPr>
            <w:tcW w:w="10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960cm*850cm，密封性好，无刺激性气味</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个</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3.3</w:t>
            </w:r>
          </w:p>
        </w:tc>
      </w:tr>
      <w:tr>
        <w:tblPrEx>
          <w:tblCellMar>
            <w:top w:w="0" w:type="dxa"/>
            <w:left w:w="0" w:type="dxa"/>
            <w:bottom w:w="0" w:type="dxa"/>
            <w:right w:w="0" w:type="dxa"/>
          </w:tblCellMar>
        </w:tblPrEx>
        <w:trPr>
          <w:trHeight w:val="432" w:hRule="atLeast"/>
        </w:trPr>
        <w:tc>
          <w:tcPr>
            <w:tcW w:w="1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8</w:t>
            </w:r>
            <w:r>
              <w:rPr>
                <w:rFonts w:hint="eastAsia" w:asciiTheme="minorEastAsia" w:hAnsiTheme="minorEastAsia" w:cstheme="minorEastAsia"/>
                <w:color w:val="000000" w:themeColor="text1"/>
                <w:kern w:val="0"/>
                <w:szCs w:val="21"/>
                <w:lang w:val="en-US" w:eastAsia="zh-CN"/>
              </w:rPr>
              <w:t>2</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Cs w:val="21"/>
              </w:rPr>
            </w:pPr>
            <w:r>
              <w:rPr>
                <w:rFonts w:hint="eastAsia" w:asciiTheme="minorEastAsia" w:hAnsiTheme="minorEastAsia" w:cstheme="minorEastAsia"/>
                <w:color w:val="000000" w:themeColor="text1"/>
                <w:kern w:val="0"/>
                <w:szCs w:val="21"/>
                <w:lang w:val="en-US" w:eastAsia="zh-CN"/>
              </w:rPr>
              <w:t>烟盒食品盒专用胶水</w:t>
            </w:r>
          </w:p>
        </w:tc>
        <w:tc>
          <w:tcPr>
            <w:tcW w:w="1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Cs w:val="21"/>
              </w:rPr>
            </w:pPr>
            <w:r>
              <w:rPr>
                <w:rFonts w:hint="eastAsia" w:asciiTheme="minorEastAsia" w:hAnsiTheme="minorEastAsia" w:cstheme="minorEastAsia"/>
                <w:color w:val="000000" w:themeColor="text1"/>
                <w:kern w:val="0"/>
                <w:szCs w:val="21"/>
                <w:lang w:val="en-US" w:eastAsia="zh-CN"/>
              </w:rPr>
              <w:t>PV-9098</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Cs w:val="21"/>
              </w:rPr>
            </w:pPr>
            <w:r>
              <w:rPr>
                <w:rFonts w:hint="eastAsia" w:asciiTheme="minorEastAsia" w:hAnsiTheme="minorEastAsia" w:cstheme="minorEastAsia"/>
                <w:color w:val="000000" w:themeColor="text1"/>
                <w:kern w:val="0"/>
                <w:szCs w:val="21"/>
                <w:lang w:eastAsia="zh-CN"/>
              </w:rPr>
              <w:t>公斤</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Cs w:val="21"/>
              </w:rPr>
            </w:pPr>
            <w:r>
              <w:rPr>
                <w:rFonts w:hint="eastAsia" w:asciiTheme="minorEastAsia" w:hAnsiTheme="minorEastAsia" w:cstheme="minorEastAsia"/>
                <w:color w:val="000000" w:themeColor="text1"/>
                <w:kern w:val="0"/>
                <w:szCs w:val="21"/>
                <w:lang w:val="en-US" w:eastAsia="zh-CN"/>
              </w:rPr>
              <w:t>40</w:t>
            </w:r>
          </w:p>
        </w:tc>
      </w:tr>
    </w:tbl>
    <w:p>
      <w:pPr>
        <w:pStyle w:val="20"/>
      </w:pPr>
    </w:p>
    <w:p>
      <w:pPr>
        <w:tabs>
          <w:tab w:val="left" w:pos="576"/>
        </w:tabs>
        <w:rPr>
          <w:rFonts w:ascii="宋体" w:hAnsi="宋体"/>
          <w:b/>
          <w:bCs/>
          <w:color w:val="000000" w:themeColor="text1"/>
          <w:szCs w:val="21"/>
        </w:rPr>
      </w:pPr>
      <w:r>
        <w:rPr>
          <w:rFonts w:hint="eastAsia" w:ascii="宋体" w:hAnsi="宋体"/>
          <w:b/>
          <w:bCs/>
          <w:color w:val="000000" w:themeColor="text1"/>
          <w:sz w:val="22"/>
          <w:szCs w:val="22"/>
        </w:rPr>
        <w:t>注：1.以上清单内未注明规格的产品需满足市场通用规格标准。</w:t>
      </w:r>
    </w:p>
    <w:p>
      <w:pPr>
        <w:tabs>
          <w:tab w:val="left" w:pos="576"/>
        </w:tabs>
        <w:ind w:firstLine="442" w:firstLineChars="200"/>
        <w:rPr>
          <w:color w:val="000000" w:themeColor="text1"/>
        </w:rPr>
      </w:pPr>
      <w:r>
        <w:rPr>
          <w:rFonts w:hint="eastAsia" w:ascii="宋体" w:hAnsi="宋体"/>
          <w:b/>
          <w:bCs/>
          <w:color w:val="000000" w:themeColor="text1"/>
          <w:sz w:val="22"/>
          <w:szCs w:val="22"/>
        </w:rPr>
        <w:t>2.以上清单列表未能对全部备品备件列举穷尽，如采购人需要本清单内容以外的备品备件，由成交供应商报价并提供，最终报价由采购人市场询价后确定。</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000000" w:themeColor="text1"/>
          <w:szCs w:val="21"/>
          <w:lang w:val="en-US" w:eastAsia="zh-CN"/>
        </w:rPr>
      </w:pPr>
      <w:bookmarkStart w:id="106" w:name="_Toc32222"/>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000000" w:themeColor="text1"/>
          <w:szCs w:val="21"/>
          <w:lang w:val="en-US" w:eastAsia="zh-CN"/>
        </w:rPr>
      </w:pPr>
      <w:r>
        <w:rPr>
          <w:rFonts w:hint="eastAsia" w:asciiTheme="minorEastAsia" w:hAnsiTheme="minorEastAsia" w:eastAsiaTheme="minorEastAsia" w:cstheme="minorEastAsia"/>
          <w:b w:val="0"/>
          <w:bCs w:val="0"/>
          <w:color w:val="000000" w:themeColor="text1"/>
          <w:szCs w:val="21"/>
          <w:lang w:val="en-US" w:eastAsia="zh-CN"/>
        </w:rPr>
        <w:t>注：以上清单需求表中如出现涉及固定规格型号、尺寸及重量的均为参考，允许略有误差，但投标人报价的产品必须符合采购人使用功能及质量要求，并提供相应技术参数证明其符合采购需求或优于采购需求，否则视其为不满足采购需求。如涉及固定厂家品牌也均为参考或推荐，并要求其唯一性，投标人可提供同等质量标准或更高标准产品，并提供相应技术参数证明其符合采购需求或优于采购需求，否则视其为不满足采购需求。</w:t>
      </w:r>
    </w:p>
    <w:p>
      <w:pP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br w:type="page"/>
      </w:r>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7" w:name="_Toc28020"/>
      <w:r>
        <w:rPr>
          <w:rFonts w:hint="eastAsia" w:asciiTheme="minorEastAsia" w:hAnsiTheme="minorEastAsia" w:eastAsiaTheme="minorEastAsia" w:cstheme="minorEastAsia"/>
          <w:b/>
          <w:bCs/>
          <w:sz w:val="24"/>
        </w:rPr>
        <w:t>二、商务需求</w:t>
      </w:r>
      <w:bookmarkEnd w:id="106"/>
      <w:bookmarkEnd w:id="107"/>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1.3因成交供应商原因服务质量及诚信要求达不到约定的标准，由成交供应商向采购人支付合同价款10%的违约金。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2、服务质量要求：</w:t>
      </w:r>
    </w:p>
    <w:p>
      <w:pPr>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 xml:space="preserve">1 </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须为采购人提供送货上门服务。货物送达时，应按每批一总单、清单、按分类号种类集中打包的要求，即每批次应附总单（注明品名、种数、价格（单价、总价）、批次及发货日期等）。</w:t>
      </w:r>
    </w:p>
    <w:p>
      <w:pPr>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 xml:space="preserve">2 </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需保障供货质量。向采购人供应货物保证所供货物的完整性，不得有已拆封、缺损等情况出现。如发现必须及时收回，并承担一切法律责任，采购人有权拒绝验收，</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必须无条件接受退货，由此造成的法律责任和经济损失由供货商负责。</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所供货物如有质量问题，在接到采购人的通知后，在3个工作日内应负责包退、包换，不能以已加工等理由拒绝，由此造成的损失及费用由</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承担。</w:t>
      </w:r>
    </w:p>
    <w:p>
      <w:pPr>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3本次所供货物主要通过采购人拟定清单方式批次购买，</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应提前做好相应准备工作。供货商应在收到采购人订单3日内向采购人通报到货情况，若遇延期供货、不可抗因素等情况，供应商应及时回告采购人，以便采购人进行调整。所有货物必须经采购确认后再供货，</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不得擅自进行配送，否则</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 xml:space="preserve">无条件接受采购人退货。所有货物的交货期从收到采购人确认订单到送达时间为 </w:t>
      </w: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zCs w:val="21"/>
          <w:lang w:val="zh-CN"/>
        </w:rPr>
        <w:t xml:space="preserve"> 个日历天以内，超过到期限且未经采购人认可的货物采购方有权拒收。</w:t>
      </w:r>
    </w:p>
    <w:p>
      <w:pPr>
        <w:autoSpaceDE w:val="0"/>
        <w:autoSpaceDN w:val="0"/>
        <w:adjustRightIn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3、产品质量要求：</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3.1满足执行的国家相关标准、行业标准、地方标准或其他标准，规范；</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3.2所有产品是否满足招标文件的要求及投标文件的承诺；</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3.3供应商须提供设备的相应参数和技术支持材料，不得完全照搬招标文件技术参数要求内容或标示无偏离或者符合等。</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3.4本次采购项目的质量必须完全满足中华人民共和国国家质量标准及现行规范要求，供应商应根据企业实际能力在投标文件中对项目质量予以承诺，成交后在合同中加以确认。</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3.5如有在本采购文件中未说明的设备运行所必须的其他辅助设备及软件系统，请在响应文件中提供详细说明及相关报价。</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3.6供应商在招标及中标后，发生侵犯专利权的行为时，其侵权责任与</w:t>
      </w:r>
      <w:r>
        <w:rPr>
          <w:rFonts w:hint="eastAsia" w:ascii="宋体" w:hAnsi="宋体" w:cs="宋体"/>
          <w:szCs w:val="21"/>
          <w:lang w:eastAsia="zh-CN"/>
        </w:rPr>
        <w:t>采购</w:t>
      </w:r>
      <w:r>
        <w:rPr>
          <w:rFonts w:hint="eastAsia" w:ascii="宋体" w:hAnsi="宋体" w:cs="宋体"/>
          <w:szCs w:val="21"/>
        </w:rPr>
        <w:t>无关，应由成交供应商承担相应的责任，并不得影响招标人的利益。</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3.7所投产品可与符合行业标准的其他任何品牌产品无缝集成，协同工作，且其技术指标不会因此而受到影响。供应商需要对此给予明确的承诺，如有不符合的情况，则需提供详细说明。</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宋体" w:hAnsi="宋体" w:cs="宋体"/>
          <w:szCs w:val="21"/>
        </w:rPr>
        <w:t>3.8完成本项目的培训工作。</w:t>
      </w:r>
    </w:p>
    <w:p>
      <w:pPr>
        <w:autoSpaceDE w:val="0"/>
        <w:autoSpaceDN w:val="0"/>
        <w:adjustRightInd w:val="0"/>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4、交货地点：</w:t>
      </w:r>
      <w:r>
        <w:rPr>
          <w:rFonts w:hint="eastAsia" w:ascii="宋体" w:hAnsi="宋体" w:cs="宋体"/>
          <w:color w:val="000000" w:themeColor="text1"/>
          <w:szCs w:val="21"/>
          <w:lang w:eastAsia="zh-CN"/>
        </w:rPr>
        <w:t>湖北鑫盛工贸有限责任公司</w:t>
      </w:r>
      <w:r>
        <w:rPr>
          <w:rFonts w:hint="eastAsia" w:asciiTheme="minorEastAsia" w:hAnsiTheme="minorEastAsia" w:eastAsiaTheme="minorEastAsia" w:cstheme="minorEastAsia"/>
          <w:szCs w:val="21"/>
        </w:rPr>
        <w:t>指定地点</w:t>
      </w:r>
      <w:r>
        <w:rPr>
          <w:rFonts w:hint="eastAsia" w:asciiTheme="minorEastAsia" w:hAnsiTheme="minorEastAsia" w:eastAsiaTheme="minorEastAsia" w:cstheme="minorEastAsia"/>
          <w:szCs w:val="21"/>
          <w:lang w:eastAsia="zh-CN"/>
        </w:rPr>
        <w:t>。</w:t>
      </w:r>
    </w:p>
    <w:p>
      <w:pPr>
        <w:spacing w:line="360" w:lineRule="auto"/>
        <w:jc w:val="left"/>
        <w:rPr>
          <w:rFonts w:hint="eastAsia" w:ascii="宋体" w:hAnsi="宋体" w:eastAsia="宋体" w:cs="宋体"/>
          <w:color w:val="000000" w:themeColor="text1"/>
          <w:szCs w:val="21"/>
          <w:lang w:eastAsia="zh-CN"/>
        </w:rPr>
      </w:pPr>
      <w:r>
        <w:rPr>
          <w:rFonts w:hint="eastAsia" w:ascii="宋体" w:hAnsi="宋体" w:cs="宋体"/>
          <w:color w:val="000000" w:themeColor="text1"/>
          <w:szCs w:val="21"/>
        </w:rPr>
        <w:t>5、交货期：接到招标人通知后7天内供货，因监狱政策调整，随时按政策规定执行按需配送</w:t>
      </w:r>
      <w:r>
        <w:rPr>
          <w:rFonts w:hint="eastAsia" w:ascii="宋体" w:hAnsi="宋体" w:cs="宋体"/>
          <w:color w:val="000000" w:themeColor="text1"/>
          <w:szCs w:val="21"/>
          <w:lang w:eastAsia="zh-CN"/>
        </w:rPr>
        <w:t>。</w:t>
      </w:r>
    </w:p>
    <w:p>
      <w:pPr>
        <w:autoSpaceDE w:val="0"/>
        <w:autoSpaceDN w:val="0"/>
        <w:adjustRightInd w:val="0"/>
        <w:spacing w:line="360" w:lineRule="auto"/>
        <w:jc w:val="left"/>
        <w:outlineLvl w:val="9"/>
        <w:rPr>
          <w:rFonts w:hint="eastAsia" w:ascii="宋体" w:hAnsi="宋体" w:eastAsia="宋体" w:cs="宋体"/>
          <w:color w:val="000000" w:themeColor="text1"/>
          <w:szCs w:val="21"/>
          <w:lang w:eastAsia="zh-CN"/>
        </w:rPr>
      </w:pPr>
      <w:r>
        <w:rPr>
          <w:rFonts w:hint="eastAsia" w:ascii="宋体" w:hAnsi="宋体" w:cs="宋体"/>
          <w:color w:val="000000" w:themeColor="text1"/>
          <w:szCs w:val="21"/>
        </w:rPr>
        <w:t>6、质保期/保修期：验收合格之日算起，质保期限为一年</w:t>
      </w:r>
      <w:r>
        <w:rPr>
          <w:rFonts w:hint="eastAsia" w:ascii="宋体" w:hAnsi="宋体" w:cs="宋体"/>
          <w:color w:val="000000" w:themeColor="text1"/>
          <w:szCs w:val="21"/>
          <w:lang w:eastAsia="zh-CN"/>
        </w:rPr>
        <w:t>。</w:t>
      </w:r>
    </w:p>
    <w:p>
      <w:pPr>
        <w:spacing w:line="360" w:lineRule="auto"/>
        <w:jc w:val="left"/>
        <w:rPr>
          <w:rFonts w:hint="eastAsia" w:ascii="宋体" w:hAnsi="宋体" w:cs="宋体"/>
          <w:color w:val="000000" w:themeColor="text1"/>
          <w:szCs w:val="21"/>
          <w:lang w:bidi="ar"/>
        </w:rPr>
      </w:pPr>
      <w:r>
        <w:rPr>
          <w:rFonts w:hint="eastAsia" w:asciiTheme="minorEastAsia" w:hAnsiTheme="minorEastAsia" w:eastAsiaTheme="minorEastAsia" w:cstheme="minorEastAsia"/>
          <w:color w:val="000000" w:themeColor="text1"/>
          <w:szCs w:val="21"/>
          <w:lang w:val="en-US" w:eastAsia="zh-CN"/>
        </w:rPr>
        <w:t>7</w:t>
      </w:r>
      <w:r>
        <w:rPr>
          <w:rFonts w:hint="eastAsia" w:asciiTheme="minorEastAsia" w:hAnsiTheme="minorEastAsia" w:eastAsiaTheme="minorEastAsia" w:cstheme="minorEastAsia"/>
          <w:color w:val="000000" w:themeColor="text1"/>
          <w:szCs w:val="21"/>
        </w:rPr>
        <w:t>、付款方式：</w:t>
      </w:r>
      <w:r>
        <w:rPr>
          <w:rFonts w:hint="eastAsia" w:ascii="宋体" w:hAnsi="宋体" w:cs="宋体"/>
          <w:color w:val="000000" w:themeColor="text1"/>
          <w:szCs w:val="21"/>
          <w:lang w:bidi="ar"/>
        </w:rPr>
        <w:t>本次</w:t>
      </w:r>
      <w:r>
        <w:rPr>
          <w:rFonts w:hint="eastAsia" w:ascii="宋体" w:hAnsi="宋体" w:cs="宋体"/>
          <w:color w:val="000000" w:themeColor="text1"/>
          <w:szCs w:val="21"/>
          <w:lang w:eastAsia="zh-CN" w:bidi="ar"/>
        </w:rPr>
        <w:t>采购</w:t>
      </w:r>
      <w:r>
        <w:rPr>
          <w:rFonts w:hint="eastAsia" w:ascii="宋体" w:hAnsi="宋体" w:cs="宋体"/>
          <w:color w:val="000000" w:themeColor="text1"/>
          <w:szCs w:val="21"/>
          <w:lang w:bidi="ar"/>
        </w:rPr>
        <w:t>项目的合同由湖北</w:t>
      </w:r>
      <w:r>
        <w:rPr>
          <w:rFonts w:hint="eastAsia" w:ascii="宋体" w:hAnsi="宋体" w:cs="宋体"/>
          <w:color w:val="000000" w:themeColor="text1"/>
          <w:szCs w:val="21"/>
          <w:lang w:eastAsia="zh-CN" w:bidi="ar"/>
        </w:rPr>
        <w:t>鑫盛工贸有限责任公司</w:t>
      </w:r>
      <w:r>
        <w:rPr>
          <w:rFonts w:hint="eastAsia" w:ascii="宋体" w:hAnsi="宋体" w:cs="宋体"/>
          <w:color w:val="000000" w:themeColor="text1"/>
          <w:szCs w:val="21"/>
          <w:lang w:bidi="ar"/>
        </w:rPr>
        <w:t>（以下简称甲方）与</w:t>
      </w:r>
      <w:r>
        <w:rPr>
          <w:rFonts w:hint="eastAsia" w:ascii="宋体" w:hAnsi="宋体" w:cs="宋体"/>
          <w:color w:val="000000" w:themeColor="text1"/>
          <w:szCs w:val="21"/>
          <w:lang w:eastAsia="zh-CN" w:bidi="ar"/>
        </w:rPr>
        <w:t>成交供应商</w:t>
      </w:r>
      <w:r>
        <w:rPr>
          <w:rFonts w:hint="eastAsia" w:ascii="宋体" w:hAnsi="宋体" w:cs="宋体"/>
          <w:color w:val="000000" w:themeColor="text1"/>
          <w:szCs w:val="21"/>
          <w:lang w:bidi="ar"/>
        </w:rPr>
        <w:t>（以下简称乙方）签订。</w:t>
      </w:r>
    </w:p>
    <w:p>
      <w:pPr>
        <w:spacing w:line="360" w:lineRule="auto"/>
        <w:ind w:firstLine="420" w:firstLineChars="200"/>
        <w:jc w:val="left"/>
        <w:rPr>
          <w:rFonts w:hint="eastAsia" w:ascii="宋体" w:hAnsi="宋体" w:cs="宋体"/>
          <w:color w:val="000000" w:themeColor="text1"/>
          <w:szCs w:val="21"/>
          <w:lang w:val="zh-CN" w:bidi="ar"/>
        </w:rPr>
      </w:pPr>
      <w:r>
        <w:rPr>
          <w:rFonts w:hint="eastAsia" w:ascii="宋体" w:hAnsi="宋体" w:cs="宋体"/>
          <w:color w:val="000000" w:themeColor="text1"/>
          <w:szCs w:val="21"/>
          <w:lang w:bidi="ar"/>
        </w:rPr>
        <w:t>合同签订后，乙方完成供货，经验收合格后甲方支付实际发生的数量进行据实结算，</w:t>
      </w:r>
      <w:r>
        <w:rPr>
          <w:rFonts w:hint="eastAsia" w:ascii="宋体" w:hAnsi="宋体" w:cs="宋体"/>
          <w:color w:val="000000" w:themeColor="text1"/>
          <w:szCs w:val="21"/>
          <w:lang w:eastAsia="zh-CN" w:bidi="ar"/>
        </w:rPr>
        <w:t>（</w:t>
      </w:r>
      <w:r>
        <w:rPr>
          <w:rFonts w:hint="eastAsia" w:ascii="宋体" w:hAnsi="宋体" w:cs="宋体"/>
          <w:color w:val="000000" w:themeColor="text1"/>
          <w:szCs w:val="21"/>
          <w:lang w:bidi="ar"/>
        </w:rPr>
        <w:t>结算方式=产品单价×产品数量）</w:t>
      </w:r>
      <w:r>
        <w:rPr>
          <w:rFonts w:hint="eastAsia" w:ascii="宋体" w:hAnsi="宋体" w:cs="宋体"/>
          <w:color w:val="000000" w:themeColor="text1"/>
          <w:szCs w:val="21"/>
          <w:lang w:eastAsia="zh-CN" w:bidi="ar"/>
        </w:rPr>
        <w:t>。乙方每月</w:t>
      </w:r>
      <w:r>
        <w:rPr>
          <w:rFonts w:hint="eastAsia" w:ascii="宋体" w:hAnsi="宋体" w:cs="宋体"/>
          <w:color w:val="000000" w:themeColor="text1"/>
          <w:szCs w:val="21"/>
          <w:lang w:val="en-US" w:eastAsia="zh-CN" w:bidi="ar"/>
        </w:rPr>
        <w:t>20日前将上月供货部分对账，确认无误后开具增值税发票，甲方收到发票45天内付款。</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、成交供应商（乙方）应遵守的规定:</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由于监狱工作的特殊性，乙方应认真教育本单位工作人员严格遵守监狱的相关管理规定。</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（一）乙方人员必须遵守法律法规，不得假借监狱名义从事有损监狱形象的行为。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（二）乙方人员进入监管区应提高警惕，注意人身安全保护，加强自我防范意识；自觉与罪犯划清界线，防止被罪犯利用。</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（三）乙方人员进入监管区必须衣着整齐，举止文明；女士不得进入监区。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（四）凡需进入监管区的乙方人员必须由合作方开具委派证明和身份证明原件，向甲方提出申请，经核准后办理相关手续。</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（五）乙方车辆应凭审批手续并由监狱警察带领或监狱指定人员驾驶，方可进出监管区大门。</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（六）所有进出监管区大门的乙方人员、车辆和物品应接受监门警察和监门哨兵的检查，凭通行证件或经监狱审批的手续，人证相符、手续齐全方可进出监管区大门。</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乙方人员进出监管区大门必须遵守《监狱监管区大门管理规定》。凭有效身份证件办理《外来人员通行证》或《外来人员临时通行证》，由监狱相关部门警察带入带出，并接受监门武警和值班警察的检查管理。</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乙方人员不得携带管控物品（包括：1、武器弹药、刀具、利器；2、放射物、剧毒物品和麻醉物、毒品；3、爆炸物品、易燃易爆物品和腐蚀性物品；4、打火机、火柴等明火源；5、绳索、攀援器械、工程维修工具等；6、录音录像照相器材、通讯工具、计算机、多媒体等电子产品；7、其他可能影响监管安全的物品）进入监管区，进入监管区时必须按规定将移动电话等物品保管在贮物箱。</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（九）乙方人员进入监管区大门后，必须将《外来人员通行证》或《外来人员临时通行证》挂于胸前，并妥善保管。</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（十）乙方人员在监管区内必须遵守监狱的下列规定：</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1、不得擅自与罪犯接触，与罪犯认老乡、攀亲结友；</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2、不得为罪犯携带现金、酒类、熟食类物品或传带、保管任何物品； </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3、不得为罪犯邮寄信件、捎口信或替罪犯打电话；</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4、不得在监管区拍照、摄像或录音；</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5、不得在监管区内随意走动，非经许可不得进入监舍区；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6、不得向无关人员谈及监狱工作秘密，或从事其它有碍监管安全的行为。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（十一）乙方车辆应按指定位置停放并熄火，拔下钥匙，锁紧车门窗。所有车辆在当天16:30时前应驶离监管区。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（十二）乙方人员若违反本管理规定，甲方将责成乙方将其解聘、辞退或调离，情节严重的将与乙方解除合同，有违法行为的送司法机关处理。</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注：</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1、资格审查因素等证明材料须提供网上图片或查询方式以供磋商小组核查，响应文件内附相关证书真彩扫描件。</w:t>
      </w:r>
    </w:p>
    <w:p>
      <w:pPr>
        <w:autoSpaceDE w:val="0"/>
        <w:autoSpaceDN w:val="0"/>
        <w:adjustRightInd w:val="0"/>
        <w:spacing w:line="360" w:lineRule="auto"/>
        <w:ind w:firstLine="420" w:firstLineChars="200"/>
        <w:rPr>
          <w:rFonts w:hint="eastAsia" w:asciiTheme="minorEastAsia" w:hAnsiTheme="minorEastAsia" w:eastAsiaTheme="minorEastAsia" w:cstheme="minorEastAsia"/>
          <w:b/>
          <w:bCs/>
          <w:color w:val="FF0000"/>
          <w:szCs w:val="21"/>
        </w:rPr>
      </w:pPr>
      <w:r>
        <w:rPr>
          <w:rFonts w:hint="eastAsia" w:asciiTheme="minorEastAsia" w:hAnsiTheme="minorEastAsia" w:eastAsiaTheme="minorEastAsia" w:cstheme="minorEastAsia"/>
          <w:szCs w:val="21"/>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b/>
          <w:bCs/>
          <w:color w:val="FF0000"/>
          <w:szCs w:val="21"/>
        </w:rPr>
        <w:br w:type="textWrapping"/>
      </w:r>
    </w:p>
    <w:p>
      <w:pPr>
        <w:rPr>
          <w:rFonts w:hint="eastAsia" w:asciiTheme="minorEastAsia" w:hAnsiTheme="minorEastAsia" w:eastAsiaTheme="minorEastAsia" w:cstheme="minorEastAsia"/>
          <w:b/>
          <w:bCs/>
          <w:color w:val="FF0000"/>
          <w:szCs w:val="21"/>
        </w:rPr>
      </w:pPr>
      <w:r>
        <w:rPr>
          <w:rFonts w:hint="eastAsia" w:asciiTheme="minorEastAsia" w:hAnsiTheme="minorEastAsia" w:eastAsiaTheme="minorEastAsia" w:cstheme="minorEastAsia"/>
          <w:b/>
          <w:bCs/>
          <w:color w:val="FF0000"/>
          <w:szCs w:val="21"/>
        </w:rPr>
        <w:br w:type="page"/>
      </w:r>
    </w:p>
    <w:p>
      <w:pPr>
        <w:pStyle w:val="3"/>
        <w:numPr>
          <w:ilvl w:val="0"/>
          <w:numId w:val="4"/>
        </w:numPr>
        <w:jc w:val="center"/>
        <w:rPr>
          <w:rFonts w:asciiTheme="minorEastAsia" w:hAnsiTheme="minorEastAsia" w:eastAsiaTheme="minorEastAsia" w:cstheme="minorEastAsia"/>
          <w:szCs w:val="21"/>
        </w:rPr>
      </w:pPr>
      <w:bookmarkStart w:id="108" w:name="_Toc9279"/>
      <w:r>
        <w:rPr>
          <w:rFonts w:hint="eastAsia" w:asciiTheme="minorEastAsia" w:hAnsiTheme="minorEastAsia" w:eastAsiaTheme="minorEastAsia" w:cstheme="minorEastAsia"/>
          <w:sz w:val="36"/>
          <w:szCs w:val="36"/>
        </w:rPr>
        <w:t>竞争性磋商采购评定办法</w:t>
      </w:r>
      <w:bookmarkEnd w:id="108"/>
    </w:p>
    <w:p>
      <w:pPr>
        <w:spacing w:line="360" w:lineRule="auto"/>
        <w:outlineLvl w:val="1"/>
        <w:rPr>
          <w:rFonts w:asciiTheme="minorEastAsia" w:hAnsiTheme="minorEastAsia" w:eastAsiaTheme="minorEastAsia" w:cstheme="minorEastAsia"/>
          <w:b/>
          <w:szCs w:val="21"/>
        </w:rPr>
      </w:pPr>
      <w:bookmarkStart w:id="109" w:name="_Toc7511"/>
      <w:r>
        <w:rPr>
          <w:rFonts w:hint="eastAsia" w:asciiTheme="minorEastAsia" w:hAnsiTheme="minorEastAsia" w:eastAsiaTheme="minorEastAsia" w:cstheme="minorEastAsia"/>
          <w:b/>
          <w:szCs w:val="21"/>
        </w:rPr>
        <w:t>一、评定办法前附表</w:t>
      </w:r>
      <w:bookmarkEnd w:id="109"/>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lang w:val="zh-CN"/>
              </w:rPr>
            </w:pPr>
            <w:r>
              <w:rPr>
                <w:rFonts w:hint="eastAsia"/>
                <w:lang w:val="zh-CN"/>
              </w:rPr>
              <w:t>2、参与本项目采购活动前，已为本项目提供过整体设计、规范编制或者项目管理、监理、检测等服务的供应商。</w:t>
            </w:r>
          </w:p>
          <w:p>
            <w:pPr>
              <w:widowControl/>
              <w:spacing w:line="280" w:lineRule="exact"/>
              <w:jc w:val="left"/>
              <w:rPr>
                <w:lang w:val="zh-CN"/>
              </w:rPr>
            </w:pPr>
            <w:r>
              <w:rPr>
                <w:rFonts w:hint="eastAsia"/>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asciiTheme="minorEastAsia" w:hAnsiTheme="minorEastAsia" w:eastAsiaTheme="minorEastAsia" w:cstheme="minorEastAsia"/>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磋商保证金（如有）</w:t>
            </w:r>
          </w:p>
        </w:tc>
        <w:tc>
          <w:tcPr>
            <w:tcW w:w="4730" w:type="dxa"/>
            <w:vAlign w:val="center"/>
          </w:tcPr>
          <w:p>
            <w:pPr>
              <w:widowControl/>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是否未超出经营范围竞标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技术参数及商务需求是否实质性响应磋商文件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continue"/>
            <w:vAlign w:val="center"/>
          </w:tcPr>
          <w:p>
            <w:pPr>
              <w:widowControl/>
              <w:jc w:val="center"/>
              <w:rPr>
                <w:rFonts w:asciiTheme="minorEastAsia" w:hAnsiTheme="minorEastAsia" w:eastAsiaTheme="minorEastAsia" w:cstheme="minorEastAsia"/>
                <w:kern w:val="0"/>
                <w:szCs w:val="21"/>
              </w:rPr>
            </w:pP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ascii="宋体" w:hAnsi="宋体"/>
                <w:szCs w:val="21"/>
              </w:rPr>
            </w:pPr>
            <w:r>
              <w:rPr>
                <w:rFonts w:hint="eastAsia" w:ascii="宋体" w:hAnsi="宋体"/>
                <w:szCs w:val="21"/>
              </w:rPr>
              <w:t>其他要求（一）</w:t>
            </w:r>
          </w:p>
        </w:tc>
        <w:tc>
          <w:tcPr>
            <w:tcW w:w="4730" w:type="dxa"/>
            <w:vAlign w:val="center"/>
          </w:tcPr>
          <w:p>
            <w:pPr>
              <w:autoSpaceDE w:val="0"/>
              <w:autoSpaceDN w:val="0"/>
              <w:adjustRightInd w:val="0"/>
              <w:snapToGrid w:val="0"/>
              <w:rPr>
                <w:rFonts w:ascii="宋体" w:hAnsi="宋体"/>
                <w:szCs w:val="21"/>
              </w:rPr>
            </w:pPr>
            <w:r>
              <w:rPr>
                <w:rFonts w:hint="eastAsia" w:ascii="宋体" w:hAnsi="宋体"/>
                <w:szCs w:val="21"/>
              </w:rPr>
              <w:t>供应商未有下列任一情形：</w:t>
            </w:r>
          </w:p>
          <w:p>
            <w:pPr>
              <w:autoSpaceDE w:val="0"/>
              <w:autoSpaceDN w:val="0"/>
              <w:adjustRightInd w:val="0"/>
              <w:snapToGrid w:val="0"/>
              <w:rPr>
                <w:rFonts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其他要求（二）</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w:t>
            </w:r>
          </w:p>
        </w:tc>
        <w:tc>
          <w:tcPr>
            <w:tcW w:w="85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asciiTheme="minorEastAsia" w:hAnsiTheme="minorEastAsia" w:eastAsiaTheme="minorEastAsia" w:cstheme="minorEastAsia"/>
                <w:kern w:val="0"/>
                <w:szCs w:val="21"/>
              </w:rPr>
            </w:pPr>
          </w:p>
        </w:tc>
        <w:tc>
          <w:tcPr>
            <w:tcW w:w="851" w:type="dxa"/>
            <w:vMerge w:val="continue"/>
            <w:vAlign w:val="center"/>
          </w:tcPr>
          <w:p>
            <w:pPr>
              <w:widowControl/>
              <w:jc w:val="center"/>
              <w:rPr>
                <w:rFonts w:asciiTheme="minorEastAsia" w:hAnsiTheme="minorEastAsia" w:eastAsiaTheme="minorEastAsia" w:cstheme="minorEastAsia"/>
                <w:kern w:val="0"/>
                <w:szCs w:val="21"/>
              </w:rPr>
            </w:pP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color w:val="000000" w:themeColor="text1"/>
                <w:kern w:val="0"/>
                <w:szCs w:val="21"/>
              </w:rPr>
            </w:pPr>
            <w:r>
              <w:rPr>
                <w:rFonts w:hint="eastAsia" w:asciiTheme="minorEastAsia" w:hAnsiTheme="minorEastAsia" w:eastAsiaTheme="minorEastAsia" w:cstheme="minorEastAsia"/>
                <w:bCs/>
                <w:color w:val="000000" w:themeColor="text1"/>
                <w:kern w:val="0"/>
                <w:szCs w:val="21"/>
              </w:rPr>
              <w:t>3.</w:t>
            </w:r>
          </w:p>
        </w:tc>
        <w:tc>
          <w:tcPr>
            <w:tcW w:w="851" w:type="dxa"/>
            <w:vAlign w:val="center"/>
          </w:tcPr>
          <w:p>
            <w:pPr>
              <w:widowControl/>
              <w:jc w:val="center"/>
              <w:rPr>
                <w:rFonts w:asciiTheme="minorEastAsia" w:hAnsiTheme="minorEastAsia" w:eastAsiaTheme="minorEastAsia" w:cstheme="minorEastAsia"/>
                <w:bCs/>
                <w:color w:val="000000" w:themeColor="text1"/>
                <w:kern w:val="0"/>
                <w:szCs w:val="21"/>
              </w:rPr>
            </w:pPr>
            <w:r>
              <w:rPr>
                <w:rFonts w:hint="eastAsia" w:asciiTheme="minorEastAsia" w:hAnsiTheme="minorEastAsia" w:eastAsiaTheme="minorEastAsia" w:cstheme="minorEastAsia"/>
                <w:bCs/>
                <w:color w:val="000000" w:themeColor="text1"/>
                <w:kern w:val="0"/>
                <w:szCs w:val="21"/>
              </w:rPr>
              <w:t>相同品牌</w:t>
            </w:r>
          </w:p>
        </w:tc>
        <w:tc>
          <w:tcPr>
            <w:tcW w:w="3101" w:type="dxa"/>
            <w:vAlign w:val="center"/>
          </w:tcPr>
          <w:p>
            <w:pPr>
              <w:jc w:val="center"/>
              <w:rPr>
                <w:rFonts w:hint="eastAsia" w:asciiTheme="minorEastAsia" w:hAnsiTheme="minorEastAsia" w:eastAsiaTheme="minorEastAsia" w:cstheme="minorEastAsia"/>
                <w:bCs/>
                <w:color w:val="000000" w:themeColor="text1"/>
                <w:kern w:val="0"/>
                <w:szCs w:val="21"/>
              </w:rPr>
            </w:pPr>
            <w:r>
              <w:rPr>
                <w:rFonts w:hint="eastAsia" w:asciiTheme="minorEastAsia" w:hAnsiTheme="minorEastAsia" w:eastAsiaTheme="minorEastAsia" w:cstheme="minorEastAsia"/>
                <w:bCs/>
                <w:color w:val="000000" w:themeColor="text1"/>
                <w:kern w:val="0"/>
                <w:szCs w:val="21"/>
              </w:rPr>
              <w:t>相同品牌处理原则</w:t>
            </w:r>
          </w:p>
          <w:p>
            <w:pPr>
              <w:jc w:val="center"/>
              <w:rPr>
                <w:rFonts w:hint="eastAsia" w:asciiTheme="minorEastAsia" w:hAnsiTheme="minorEastAsia" w:eastAsiaTheme="minorEastAsia" w:cstheme="minorEastAsia"/>
                <w:bCs/>
                <w:color w:val="000000" w:themeColor="text1"/>
                <w:kern w:val="0"/>
                <w:szCs w:val="21"/>
                <w:lang w:eastAsia="zh-CN"/>
              </w:rPr>
            </w:pPr>
            <w:r>
              <w:rPr>
                <w:rFonts w:hint="eastAsia" w:asciiTheme="minorEastAsia" w:hAnsiTheme="minorEastAsia" w:eastAsiaTheme="minorEastAsia" w:cstheme="minorEastAsia"/>
                <w:b/>
                <w:bCs w:val="0"/>
                <w:color w:val="000000" w:themeColor="text1"/>
                <w:kern w:val="0"/>
                <w:szCs w:val="21"/>
                <w:lang w:eastAsia="zh-CN"/>
              </w:rPr>
              <w:t>（本项目不适用）</w:t>
            </w:r>
          </w:p>
        </w:tc>
        <w:tc>
          <w:tcPr>
            <w:tcW w:w="4730" w:type="dxa"/>
            <w:vAlign w:val="center"/>
          </w:tcPr>
          <w:p>
            <w:pP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非单一产品采购项目，采购人应当根据采购项目技术构成、产品价格比重等合理确定一个核心产品，并以“核心产品”在磋商文件中标注。若核心产品不止1个，各供应商所投任一核心产品的品牌相同，则按一家供应商计算。</w:t>
            </w:r>
          </w:p>
          <w:p>
            <w:pP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多家供应商提供的核心产品品牌相同的，按上述规定处理。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如符合工信部联企业【2011】300号文中对中小企业划型标准的， 需提供本单位的 《中小企业声明函》（格式见第六章）及企业相关数据资料。代理商竞标需同时提供制造商及代理商双方的数据资料（制造商直接竞标的仅需提供制造商数据资料），如果数据资料与声明函不一致的，由磋商小组判定。经磋商小组审核确认供应商符合工信部联企业【2011】300 号文中对中小企业划型标准的，将根据财库【2011】181号文的相关规定在评定时对小型和微型企业产品的价格给予6%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ascii="宋体" w:hAnsi="宋体" w:cs="宋体"/>
                <w:snapToGrid w:val="0"/>
                <w:kern w:val="0"/>
                <w:szCs w:val="21"/>
                <w:lang w:val="zh-CN"/>
              </w:rPr>
            </w:pPr>
          </w:p>
          <w:p>
            <w:pPr>
              <w:autoSpaceDE w:val="0"/>
              <w:autoSpaceDN w:val="0"/>
              <w:adjustRightInd w:val="0"/>
              <w:jc w:val="center"/>
              <w:rPr>
                <w:rFonts w:asciiTheme="minorEastAsia" w:hAnsiTheme="minorEastAsia" w:cstheme="minorEastAsia"/>
                <w:kern w:val="0"/>
                <w:szCs w:val="21"/>
              </w:rPr>
            </w:pPr>
            <w:r>
              <w:rPr>
                <w:rFonts w:hint="eastAsia" w:ascii="宋体" w:hAnsi="宋体" w:cs="宋体"/>
                <w:snapToGrid w:val="0"/>
                <w:kern w:val="0"/>
                <w:szCs w:val="21"/>
                <w:lang w:val="zh-CN"/>
              </w:rPr>
              <w:t>节能</w:t>
            </w:r>
            <w:r>
              <w:rPr>
                <w:rFonts w:hint="eastAsia" w:ascii="宋体" w:hAnsi="宋体" w:cs="宋体"/>
                <w:snapToGrid w:val="0"/>
                <w:kern w:val="0"/>
                <w:szCs w:val="21"/>
              </w:rPr>
              <w:t>环保</w:t>
            </w:r>
          </w:p>
        </w:tc>
        <w:tc>
          <w:tcPr>
            <w:tcW w:w="7831" w:type="dxa"/>
            <w:gridSpan w:val="2"/>
            <w:vAlign w:val="center"/>
          </w:tcPr>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asciiTheme="minorEastAsia" w:hAnsiTheme="minorEastAsia" w:eastAsiaTheme="minorEastAsia" w:cstheme="minorEastAsia"/>
          <w:b/>
          <w:szCs w:val="21"/>
        </w:rPr>
      </w:pPr>
      <w:bookmarkStart w:id="110" w:name="_Toc82"/>
      <w:r>
        <w:rPr>
          <w:rFonts w:hint="eastAsia" w:asciiTheme="minorEastAsia" w:hAnsiTheme="minorEastAsia" w:eastAsiaTheme="minorEastAsia" w:cstheme="minorEastAsia"/>
          <w:b/>
          <w:szCs w:val="21"/>
        </w:rPr>
        <w:t>二、计算办法</w:t>
      </w:r>
      <w:bookmarkEnd w:id="110"/>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rPr>
          <w:rFonts w:asciiTheme="minorEastAsia" w:hAnsiTheme="minorEastAsia" w:eastAsiaTheme="minorEastAsia" w:cstheme="minorEastAsia"/>
          <w:b/>
          <w:szCs w:val="21"/>
        </w:rPr>
      </w:pPr>
    </w:p>
    <w:p>
      <w:pPr>
        <w:pStyle w:val="20"/>
        <w:rPr>
          <w:rFonts w:asciiTheme="minorEastAsia" w:hAnsiTheme="minorEastAsia" w:eastAsiaTheme="minorEastAsia" w:cstheme="minorEastAsia"/>
        </w:rPr>
      </w:pPr>
    </w:p>
    <w:p>
      <w:pPr>
        <w:spacing w:line="360" w:lineRule="auto"/>
        <w:outlineLvl w:val="1"/>
        <w:rPr>
          <w:rFonts w:asciiTheme="minorEastAsia" w:hAnsiTheme="minorEastAsia" w:eastAsiaTheme="minorEastAsia" w:cstheme="minorEastAsia"/>
          <w:b/>
          <w:szCs w:val="21"/>
        </w:rPr>
      </w:pPr>
      <w:bookmarkStart w:id="111" w:name="_Toc14475"/>
      <w:r>
        <w:rPr>
          <w:rFonts w:hint="eastAsia" w:asciiTheme="minorEastAsia" w:hAnsiTheme="minorEastAsia" w:eastAsiaTheme="minorEastAsia" w:cstheme="minorEastAsia"/>
          <w:b/>
          <w:szCs w:val="21"/>
        </w:rPr>
        <w:t>三、评分细则</w:t>
      </w:r>
      <w:bookmarkEnd w:id="111"/>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sz w:val="21"/>
                <w:szCs w:val="21"/>
              </w:rPr>
              <w:t>类别</w:t>
            </w:r>
          </w:p>
        </w:tc>
        <w:tc>
          <w:tcPr>
            <w:tcW w:w="1376" w:type="dxa"/>
            <w:tcBorders>
              <w:top w:val="single" w:color="auto" w:sz="12"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sz w:val="21"/>
                <w:szCs w:val="21"/>
              </w:rPr>
              <w:t>评审因素</w:t>
            </w:r>
          </w:p>
        </w:tc>
        <w:tc>
          <w:tcPr>
            <w:tcW w:w="6512" w:type="dxa"/>
            <w:tcBorders>
              <w:top w:val="single" w:color="auto" w:sz="12"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sz w:val="21"/>
                <w:szCs w:val="21"/>
              </w:rPr>
              <w:t>评审标准</w:t>
            </w:r>
          </w:p>
        </w:tc>
        <w:tc>
          <w:tcPr>
            <w:tcW w:w="664" w:type="dxa"/>
            <w:tcBorders>
              <w:top w:val="single" w:color="auto" w:sz="12"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keepNext w:val="0"/>
              <w:keepLines w:val="0"/>
              <w:pageBreakBefore w:val="0"/>
              <w:widowControl/>
              <w:kinsoku/>
              <w:wordWrap/>
              <w:overflowPunct/>
              <w:topLinePunct w:val="0"/>
              <w:bidi w:val="0"/>
              <w:snapToGrid/>
              <w:jc w:val="center"/>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kern w:val="0"/>
                <w:sz w:val="21"/>
                <w:szCs w:val="21"/>
              </w:rPr>
              <w:t>竞标报价</w:t>
            </w:r>
            <w:r>
              <w:rPr>
                <w:rFonts w:hint="eastAsia" w:asciiTheme="minorEastAsia" w:hAnsiTheme="minorEastAsia" w:eastAsiaTheme="minorEastAsia" w:cstheme="minorEastAsia"/>
                <w:color w:val="000000" w:themeColor="text1"/>
                <w:kern w:val="0"/>
                <w:sz w:val="21"/>
                <w:szCs w:val="21"/>
              </w:rPr>
              <w:br w:type="textWrapping"/>
            </w:r>
            <w:r>
              <w:rPr>
                <w:rFonts w:hint="eastAsia" w:asciiTheme="minorEastAsia" w:hAnsiTheme="minorEastAsia" w:eastAsiaTheme="minorEastAsia" w:cstheme="minorEastAsia"/>
                <w:color w:val="000000" w:themeColor="text1"/>
                <w:kern w:val="0"/>
                <w:sz w:val="21"/>
                <w:szCs w:val="21"/>
              </w:rPr>
              <w:t>30分</w:t>
            </w:r>
          </w:p>
        </w:tc>
        <w:tc>
          <w:tcPr>
            <w:tcW w:w="1376" w:type="dxa"/>
            <w:vAlign w:val="center"/>
          </w:tcPr>
          <w:p>
            <w:pPr>
              <w:keepNext w:val="0"/>
              <w:keepLines w:val="0"/>
              <w:pageBreakBefore w:val="0"/>
              <w:widowControl/>
              <w:kinsoku/>
              <w:wordWrap/>
              <w:overflowPunct/>
              <w:topLinePunct w:val="0"/>
              <w:bidi w:val="0"/>
              <w:snapToGrid/>
              <w:jc w:val="center"/>
              <w:textAlignment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kern w:val="0"/>
                <w:sz w:val="21"/>
                <w:szCs w:val="21"/>
              </w:rPr>
              <w:t>最后报价</w:t>
            </w:r>
          </w:p>
        </w:tc>
        <w:tc>
          <w:tcPr>
            <w:tcW w:w="6512" w:type="dxa"/>
            <w:vAlign w:val="center"/>
          </w:tcPr>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1、报价采用低价优先法计算，即满足磋商采购文件要求且报价最低的报价为磋商基准价，其报价分为满分3</w:t>
            </w:r>
            <w:r>
              <w:rPr>
                <w:rFonts w:hint="eastAsia" w:asciiTheme="minorEastAsia" w:hAnsiTheme="minorEastAsia" w:eastAsiaTheme="minorEastAsia" w:cstheme="minorEastAsia"/>
                <w:color w:val="000000" w:themeColor="text1"/>
                <w:kern w:val="0"/>
                <w:sz w:val="21"/>
                <w:szCs w:val="21"/>
              </w:rPr>
              <w:t>0</w:t>
            </w:r>
            <w:r>
              <w:rPr>
                <w:rFonts w:hint="eastAsia" w:asciiTheme="minorEastAsia" w:hAnsiTheme="minorEastAsia" w:eastAsiaTheme="minorEastAsia" w:cstheme="minorEastAsia"/>
                <w:color w:val="000000" w:themeColor="text1"/>
                <w:sz w:val="21"/>
                <w:szCs w:val="21"/>
              </w:rPr>
              <w:t>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2、其他供应商的报价分按照下列公式计算：</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报价分=（磋商基准价/磋商报价）×3</w:t>
            </w:r>
            <w:r>
              <w:rPr>
                <w:rFonts w:hint="eastAsia" w:asciiTheme="minorEastAsia" w:hAnsiTheme="minorEastAsia" w:eastAsiaTheme="minorEastAsia" w:cstheme="minorEastAsia"/>
                <w:color w:val="000000" w:themeColor="text1"/>
                <w:kern w:val="0"/>
                <w:sz w:val="21"/>
                <w:szCs w:val="21"/>
              </w:rPr>
              <w:t>0</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备注：1、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b/>
                <w:bCs/>
                <w:color w:val="000000" w:themeColor="text1"/>
                <w:sz w:val="21"/>
                <w:szCs w:val="21"/>
              </w:rPr>
              <w:t>2、符合本磋商文件第四章“政策支持”条件的，在评审时予以价格扣除，用扣除后的价格参与评审。</w:t>
            </w:r>
          </w:p>
        </w:tc>
        <w:tc>
          <w:tcPr>
            <w:tcW w:w="664" w:type="dxa"/>
            <w:vAlign w:val="center"/>
          </w:tcPr>
          <w:p>
            <w:pPr>
              <w:keepNext w:val="0"/>
              <w:keepLines w:val="0"/>
              <w:pageBreakBefore w:val="0"/>
              <w:widowControl/>
              <w:kinsoku/>
              <w:wordWrap/>
              <w:overflowPunct/>
              <w:topLinePunct w:val="0"/>
              <w:bidi w:val="0"/>
              <w:snapToGrid/>
              <w:jc w:val="center"/>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kern w:val="0"/>
                <w:sz w:val="21"/>
                <w:szCs w:val="21"/>
              </w:rPr>
              <w:t>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商务30分</w:t>
            </w:r>
          </w:p>
        </w:tc>
        <w:tc>
          <w:tcPr>
            <w:tcW w:w="137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kern w:val="0"/>
                <w:sz w:val="21"/>
                <w:szCs w:val="21"/>
              </w:rPr>
              <w:t>体系认证</w:t>
            </w:r>
          </w:p>
        </w:tc>
        <w:tc>
          <w:tcPr>
            <w:tcW w:w="6512" w:type="dxa"/>
            <w:vAlign w:val="center"/>
          </w:tcPr>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themeColor="text1"/>
                <w:sz w:val="21"/>
                <w:szCs w:val="21"/>
              </w:rPr>
              <w:t>供应商应具有有效期内ISO9001质量管理体系认证证书、ISO14001环境管理体系认证证书、ISO45001职业健康安全管理体系认证证书的，每提供一个得1分，未提供不得分，最高得3分。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z w:val="21"/>
                <w:szCs w:val="21"/>
              </w:rPr>
            </w:pPr>
          </w:p>
        </w:tc>
        <w:tc>
          <w:tcPr>
            <w:tcW w:w="137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spacing w:val="-6"/>
                <w:kern w:val="0"/>
                <w:sz w:val="21"/>
                <w:szCs w:val="21"/>
              </w:rPr>
              <w:t>配送团队</w:t>
            </w:r>
          </w:p>
        </w:tc>
        <w:tc>
          <w:tcPr>
            <w:tcW w:w="6512" w:type="dxa"/>
            <w:vAlign w:val="center"/>
          </w:tcPr>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根据供应商配送团队的（配送车辆数量、服务人员数量、响应时间的长短）情况</w:t>
            </w:r>
            <w:r>
              <w:rPr>
                <w:rFonts w:hint="eastAsia" w:asciiTheme="minorEastAsia" w:hAnsiTheme="minorEastAsia" w:eastAsiaTheme="minorEastAsia" w:cstheme="minorEastAsia"/>
                <w:sz w:val="21"/>
                <w:szCs w:val="21"/>
                <w:lang w:eastAsia="zh-CN"/>
              </w:rPr>
              <w:t>进行评分</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车辆及</w:t>
            </w:r>
            <w:r>
              <w:rPr>
                <w:rFonts w:hint="eastAsia" w:asciiTheme="minorEastAsia" w:hAnsiTheme="minorEastAsia" w:eastAsiaTheme="minorEastAsia" w:cstheme="minorEastAsia"/>
                <w:sz w:val="21"/>
                <w:szCs w:val="21"/>
              </w:rPr>
              <w:t>人员完备、</w:t>
            </w:r>
            <w:r>
              <w:rPr>
                <w:rFonts w:hint="eastAsia" w:asciiTheme="minorEastAsia" w:hAnsiTheme="minorEastAsia" w:eastAsiaTheme="minorEastAsia" w:cstheme="minorEastAsia"/>
                <w:sz w:val="21"/>
                <w:szCs w:val="21"/>
                <w:lang w:eastAsia="zh-CN"/>
              </w:rPr>
              <w:t>响应</w:t>
            </w:r>
            <w:r>
              <w:rPr>
                <w:rFonts w:hint="eastAsia" w:asciiTheme="minorEastAsia" w:hAnsiTheme="minorEastAsia" w:eastAsiaTheme="minorEastAsia" w:cstheme="minorEastAsia"/>
                <w:sz w:val="21"/>
                <w:szCs w:val="21"/>
              </w:rPr>
              <w:t>时间迅速的得</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车辆及</w:t>
            </w:r>
            <w:r>
              <w:rPr>
                <w:rFonts w:hint="eastAsia" w:asciiTheme="minorEastAsia" w:hAnsiTheme="minorEastAsia" w:eastAsiaTheme="minorEastAsia" w:cstheme="minorEastAsia"/>
                <w:sz w:val="21"/>
                <w:szCs w:val="21"/>
              </w:rPr>
              <w:t>人员</w:t>
            </w:r>
            <w:r>
              <w:rPr>
                <w:rFonts w:hint="eastAsia" w:asciiTheme="minorEastAsia" w:hAnsiTheme="minorEastAsia" w:eastAsiaTheme="minorEastAsia" w:cstheme="minorEastAsia"/>
                <w:sz w:val="21"/>
                <w:szCs w:val="21"/>
                <w:lang w:eastAsia="zh-CN"/>
              </w:rPr>
              <w:t>基本</w:t>
            </w:r>
            <w:r>
              <w:rPr>
                <w:rFonts w:hint="eastAsia" w:asciiTheme="minorEastAsia" w:hAnsiTheme="minorEastAsia" w:eastAsiaTheme="minorEastAsia" w:cstheme="minorEastAsia"/>
                <w:sz w:val="21"/>
                <w:szCs w:val="21"/>
              </w:rPr>
              <w:t>完备、</w:t>
            </w:r>
            <w:r>
              <w:rPr>
                <w:rFonts w:hint="eastAsia" w:asciiTheme="minorEastAsia" w:hAnsiTheme="minorEastAsia" w:eastAsiaTheme="minorEastAsia" w:cstheme="minorEastAsia"/>
                <w:sz w:val="21"/>
                <w:szCs w:val="21"/>
                <w:lang w:eastAsia="zh-CN"/>
              </w:rPr>
              <w:t>响应时间</w:t>
            </w:r>
            <w:r>
              <w:rPr>
                <w:rFonts w:hint="eastAsia" w:asciiTheme="minorEastAsia" w:hAnsiTheme="minorEastAsia" w:eastAsiaTheme="minorEastAsia" w:cstheme="minorEastAsia"/>
                <w:sz w:val="21"/>
                <w:szCs w:val="21"/>
              </w:rPr>
              <w:t>时间满足采购人要求的得</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sz w:val="21"/>
                <w:szCs w:val="21"/>
              </w:rPr>
              <w:t>未提供或不能满足本项目需求 0 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z w:val="21"/>
                <w:szCs w:val="21"/>
              </w:rPr>
            </w:pPr>
          </w:p>
        </w:tc>
        <w:tc>
          <w:tcPr>
            <w:tcW w:w="137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响应文件</w:t>
            </w:r>
          </w:p>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themeColor="text1"/>
                <w:spacing w:val="-6"/>
                <w:sz w:val="21"/>
                <w:szCs w:val="21"/>
              </w:rPr>
              <w:t>完整性</w:t>
            </w:r>
          </w:p>
        </w:tc>
        <w:tc>
          <w:tcPr>
            <w:tcW w:w="6512" w:type="dxa"/>
            <w:vAlign w:val="center"/>
          </w:tcPr>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文件制作规范，字迹及图表清晰得2分；</w:t>
            </w:r>
          </w:p>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themeColor="text1"/>
                <w:spacing w:val="-6"/>
                <w:sz w:val="21"/>
                <w:szCs w:val="21"/>
              </w:rPr>
              <w:t>目录与有关材料装订及编排顺序对应清晰，查阅方便得2分。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z w:val="21"/>
                <w:szCs w:val="21"/>
              </w:rPr>
            </w:pPr>
          </w:p>
        </w:tc>
        <w:tc>
          <w:tcPr>
            <w:tcW w:w="1376" w:type="dxa"/>
            <w:tcBorders>
              <w:bottom w:val="single" w:color="auto" w:sz="4"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themeColor="text1"/>
                <w:spacing w:val="-6"/>
                <w:sz w:val="21"/>
                <w:szCs w:val="21"/>
              </w:rPr>
              <w:t>业绩证明</w:t>
            </w:r>
          </w:p>
        </w:tc>
        <w:tc>
          <w:tcPr>
            <w:tcW w:w="6512"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jc w:val="left"/>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themeColor="text1"/>
                <w:kern w:val="0"/>
                <w:sz w:val="21"/>
                <w:szCs w:val="21"/>
              </w:rPr>
              <w:t>近三年（磋商截止时间往前推算36个月）承担过的类似项目业绩一个得2分，最多得12分；（需提供合同复印件件并加盖公章，未提供不得分）</w:t>
            </w:r>
          </w:p>
        </w:tc>
        <w:tc>
          <w:tcPr>
            <w:tcW w:w="664" w:type="dxa"/>
            <w:tcBorders>
              <w:bottom w:val="single" w:color="auto" w:sz="4"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12分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z w:val="21"/>
                <w:szCs w:val="21"/>
              </w:rPr>
            </w:pPr>
          </w:p>
        </w:tc>
        <w:tc>
          <w:tcPr>
            <w:tcW w:w="1376" w:type="dxa"/>
            <w:tcBorders>
              <w:top w:val="single" w:color="auto" w:sz="4"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themeColor="text1"/>
                <w:spacing w:val="-6"/>
                <w:sz w:val="21"/>
                <w:szCs w:val="21"/>
              </w:rPr>
              <w:t>用户反馈</w:t>
            </w:r>
          </w:p>
        </w:tc>
        <w:tc>
          <w:tcPr>
            <w:tcW w:w="6512" w:type="dxa"/>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jc w:val="left"/>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themeColor="text1"/>
                <w:kern w:val="0"/>
                <w:sz w:val="21"/>
                <w:szCs w:val="21"/>
              </w:rPr>
              <w:t>近三年内（磋商截止时间往前推算36个月）以来业主出具的服务良好评价证明，每提供1个业主单位的评价得1分，最高得6分（需提供盖用户单位公章相关证明，未提供不得分）</w:t>
            </w:r>
          </w:p>
        </w:tc>
        <w:tc>
          <w:tcPr>
            <w:tcW w:w="664" w:type="dxa"/>
            <w:tcBorders>
              <w:top w:val="single" w:color="auto" w:sz="4" w:space="0"/>
            </w:tcBorders>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技术服务40分</w:t>
            </w:r>
          </w:p>
        </w:tc>
        <w:tc>
          <w:tcPr>
            <w:tcW w:w="137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themeColor="text1"/>
                <w:spacing w:val="-6"/>
                <w:sz w:val="21"/>
                <w:szCs w:val="21"/>
              </w:rPr>
              <w:t>供货方案</w:t>
            </w:r>
          </w:p>
        </w:tc>
        <w:tc>
          <w:tcPr>
            <w:tcW w:w="6512" w:type="dxa"/>
            <w:vAlign w:val="center"/>
          </w:tcPr>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根据供应商提供的配送方案（人员安排、响应时间、交货时间、交货方式、供货渠道等）的全面性、科学性及对本项目的针对性强进行评分：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方案合理可行性强、内容详实完善、针对性强、服务时间迅速的得10分，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方案可行、内容完整、服务时间满足采购人要求的得7分，</w:t>
            </w:r>
          </w:p>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themeColor="text1"/>
                <w:sz w:val="21"/>
                <w:szCs w:val="21"/>
              </w:rPr>
              <w:t>方案有一定的可信性、内容简略、服务时间满足采购人要求的得4分，未提供或不能满足本项目需求 0 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themeColor="text1"/>
                <w:spacing w:val="-6"/>
                <w:sz w:val="21"/>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ind w:left="-4" w:leftChars="-2" w:firstLine="2" w:firstLineChars="1"/>
              <w:jc w:val="center"/>
              <w:rPr>
                <w:rFonts w:hint="eastAsia" w:asciiTheme="minorEastAsia" w:hAnsiTheme="minorEastAsia" w:eastAsiaTheme="minorEastAsia" w:cstheme="minorEastAsia"/>
                <w:sz w:val="21"/>
                <w:szCs w:val="21"/>
              </w:rPr>
            </w:pPr>
          </w:p>
        </w:tc>
        <w:tc>
          <w:tcPr>
            <w:tcW w:w="1376" w:type="dxa"/>
            <w:vAlign w:val="center"/>
          </w:tcPr>
          <w:p>
            <w:pPr>
              <w:keepNext w:val="0"/>
              <w:keepLines w:val="0"/>
              <w:pageBreakBefore w:val="0"/>
              <w:kinsoku/>
              <w:wordWrap/>
              <w:overflowPunct/>
              <w:topLinePunct w:val="0"/>
              <w:bidi w:val="0"/>
              <w:snapToGrid/>
              <w:ind w:left="-4" w:leftChars="-2" w:firstLine="2" w:firstLineChars="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z w:val="21"/>
                <w:szCs w:val="21"/>
              </w:rPr>
              <w:t>商品质量</w:t>
            </w:r>
          </w:p>
        </w:tc>
        <w:tc>
          <w:tcPr>
            <w:tcW w:w="6512" w:type="dxa"/>
            <w:vAlign w:val="center"/>
          </w:tcPr>
          <w:p>
            <w:pPr>
              <w:keepNext w:val="0"/>
              <w:keepLines w:val="0"/>
              <w:pageBreakBefore w:val="0"/>
              <w:widowControl/>
              <w:kinsoku/>
              <w:wordWrap/>
              <w:overflowPunct/>
              <w:topLinePunct w:val="0"/>
              <w:bidi w:val="0"/>
              <w:snapToGrid/>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pacing w:val="-6"/>
                <w:sz w:val="21"/>
                <w:szCs w:val="21"/>
              </w:rPr>
              <w:t>供应商所提供的商品进货渠道合法明确（可追溯），提供2017、 2018、2019年商品进货证明，每提供1年得2分，最多得6分。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pacing w:val="-6"/>
                <w:sz w:val="21"/>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z w:val="21"/>
                <w:szCs w:val="21"/>
              </w:rPr>
            </w:pPr>
          </w:p>
        </w:tc>
        <w:tc>
          <w:tcPr>
            <w:tcW w:w="137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themeColor="text1"/>
                <w:spacing w:val="-6"/>
                <w:sz w:val="21"/>
                <w:szCs w:val="21"/>
              </w:rPr>
              <w:t>服务承诺</w:t>
            </w:r>
          </w:p>
        </w:tc>
        <w:tc>
          <w:tcPr>
            <w:tcW w:w="6512" w:type="dxa"/>
            <w:vAlign w:val="center"/>
          </w:tcPr>
          <w:p>
            <w:pPr>
              <w:keepNext w:val="0"/>
              <w:keepLines w:val="0"/>
              <w:pageBreakBefore w:val="0"/>
              <w:kinsoku/>
              <w:wordWrap/>
              <w:overflowPunct/>
              <w:topLinePunct w:val="0"/>
              <w:bidi w:val="0"/>
              <w:snapToGrid/>
              <w:ind w:left="-4" w:leftChars="-2" w:firstLine="1" w:firstLineChars="1"/>
              <w:jc w:val="left"/>
              <w:rPr>
                <w:rFonts w:hint="eastAsia" w:asciiTheme="minorEastAsia" w:hAnsiTheme="minorEastAsia" w:eastAsiaTheme="minorEastAsia" w:cstheme="minorEastAsia"/>
                <w:color w:val="000000" w:themeColor="text1"/>
                <w:spacing w:val="-6"/>
                <w:sz w:val="21"/>
                <w:szCs w:val="21"/>
                <w:lang w:eastAsia="zh-CN"/>
              </w:rPr>
            </w:pPr>
            <w:r>
              <w:rPr>
                <w:rFonts w:hint="eastAsia" w:asciiTheme="minorEastAsia" w:hAnsiTheme="minorEastAsia" w:eastAsiaTheme="minorEastAsia" w:cstheme="minorEastAsia"/>
                <w:color w:val="000000" w:themeColor="text1"/>
                <w:spacing w:val="-6"/>
                <w:sz w:val="21"/>
                <w:szCs w:val="21"/>
              </w:rPr>
              <w:t>根据供应商是否按照采购人要求的品种、质量、数量、价格、送达时间、不合格产品无条件退回并及时补上的服务承诺等</w:t>
            </w:r>
            <w:r>
              <w:rPr>
                <w:rFonts w:hint="eastAsia" w:asciiTheme="minorEastAsia" w:hAnsiTheme="minorEastAsia" w:eastAsiaTheme="minorEastAsia" w:cstheme="minorEastAsia"/>
                <w:color w:val="000000" w:themeColor="text1"/>
                <w:spacing w:val="-6"/>
                <w:sz w:val="21"/>
                <w:szCs w:val="21"/>
                <w:lang w:eastAsia="zh-CN"/>
              </w:rPr>
              <w:t>进行</w:t>
            </w:r>
            <w:r>
              <w:rPr>
                <w:rFonts w:hint="eastAsia" w:asciiTheme="minorEastAsia" w:hAnsiTheme="minorEastAsia" w:eastAsiaTheme="minorEastAsia" w:cstheme="minorEastAsia"/>
                <w:color w:val="000000" w:themeColor="text1"/>
                <w:spacing w:val="-6"/>
                <w:sz w:val="21"/>
                <w:szCs w:val="21"/>
              </w:rPr>
              <w:t>评</w:t>
            </w:r>
            <w:r>
              <w:rPr>
                <w:rFonts w:hint="eastAsia" w:asciiTheme="minorEastAsia" w:hAnsiTheme="minorEastAsia" w:eastAsiaTheme="minorEastAsia" w:cstheme="minorEastAsia"/>
                <w:color w:val="000000" w:themeColor="text1"/>
                <w:spacing w:val="-6"/>
                <w:sz w:val="21"/>
                <w:szCs w:val="21"/>
                <w:lang w:eastAsia="zh-CN"/>
              </w:rPr>
              <w:t>分：</w:t>
            </w:r>
          </w:p>
          <w:p>
            <w:pPr>
              <w:keepNext w:val="0"/>
              <w:keepLines w:val="0"/>
              <w:pageBreakBefore w:val="0"/>
              <w:kinsoku/>
              <w:wordWrap/>
              <w:overflowPunct/>
              <w:topLinePunct w:val="0"/>
              <w:bidi w:val="0"/>
              <w:snapToGrid/>
              <w:ind w:left="-4" w:leftChars="-2" w:firstLine="2" w:firstLineChars="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内容详实完善、针对性强、服务迅速的得 </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ind w:left="-4" w:leftChars="-2" w:firstLine="2" w:firstLineChars="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内容可行、服务时间满足采购人要求的得 </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内容简略、服务时间满足采购人要求的得 4分，</w:t>
            </w:r>
          </w:p>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sz w:val="21"/>
                <w:szCs w:val="21"/>
              </w:rPr>
              <w:t>未提供或不能满足本项目需求 0 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color w:val="000000" w:themeColor="text1"/>
                <w:spacing w:val="-6"/>
                <w:sz w:val="21"/>
                <w:szCs w:val="21"/>
              </w:rPr>
            </w:pPr>
            <w:r>
              <w:rPr>
                <w:rFonts w:hint="eastAsia" w:asciiTheme="minorEastAsia" w:hAnsiTheme="minorEastAsia" w:eastAsiaTheme="minorEastAsia" w:cstheme="minorEastAsia"/>
                <w:color w:val="000000" w:themeColor="text1"/>
                <w:spacing w:val="-6"/>
                <w:sz w:val="21"/>
                <w:szCs w:val="21"/>
              </w:rPr>
              <w:t>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z w:val="21"/>
                <w:szCs w:val="21"/>
              </w:rPr>
            </w:pPr>
          </w:p>
        </w:tc>
        <w:tc>
          <w:tcPr>
            <w:tcW w:w="1376" w:type="dxa"/>
            <w:vAlign w:val="center"/>
          </w:tcPr>
          <w:p>
            <w:pPr>
              <w:keepNext w:val="0"/>
              <w:keepLines w:val="0"/>
              <w:pageBreakBefore w:val="0"/>
              <w:kinsoku/>
              <w:wordWrap/>
              <w:overflowPunct/>
              <w:topLinePunct w:val="0"/>
              <w:bidi w:val="0"/>
              <w:snapToGrid/>
              <w:ind w:left="-4" w:leftChars="-2" w:firstLine="2" w:firstLineChars="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售后服务</w:t>
            </w:r>
          </w:p>
          <w:p>
            <w:pPr>
              <w:keepNext w:val="0"/>
              <w:keepLines w:val="0"/>
              <w:pageBreakBefore w:val="0"/>
              <w:kinsoku/>
              <w:wordWrap/>
              <w:overflowPunct/>
              <w:topLinePunct w:val="0"/>
              <w:bidi w:val="0"/>
              <w:snapToGrid/>
              <w:ind w:left="-4" w:leftChars="-2" w:firstLine="2" w:firstLineChars="1"/>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z w:val="21"/>
                <w:szCs w:val="21"/>
              </w:rPr>
              <w:t>方案</w:t>
            </w:r>
          </w:p>
        </w:tc>
        <w:tc>
          <w:tcPr>
            <w:tcW w:w="6512" w:type="dxa"/>
            <w:vAlign w:val="center"/>
          </w:tcPr>
          <w:p>
            <w:pPr>
              <w:keepNext w:val="0"/>
              <w:keepLines w:val="0"/>
              <w:pageBreakBefore w:val="0"/>
              <w:kinsoku/>
              <w:wordWrap/>
              <w:overflowPunct/>
              <w:topLinePunct w:val="0"/>
              <w:bidi w:val="0"/>
              <w:snapToGrid/>
              <w:ind w:left="-4" w:leftChars="-2" w:firstLine="2" w:firstLineChars="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根据售后服务方案（退换服务、响应时间、人员安排、售后网点等）的全面性、科学性及对本项目的针对性强进行评分。</w:t>
            </w:r>
          </w:p>
          <w:p>
            <w:pPr>
              <w:keepNext w:val="0"/>
              <w:keepLines w:val="0"/>
              <w:pageBreakBefore w:val="0"/>
              <w:kinsoku/>
              <w:wordWrap/>
              <w:overflowPunct/>
              <w:topLinePunct w:val="0"/>
              <w:bidi w:val="0"/>
              <w:snapToGrid/>
              <w:ind w:left="-4" w:leftChars="-2" w:firstLine="2" w:firstLineChars="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方案合理可行性强、内容详实完善、针对性强、服务迅速的得 10 分，方案可行、内容完整、服务时间满足采购人要求的得 7分，</w:t>
            </w:r>
          </w:p>
          <w:p>
            <w:pPr>
              <w:keepNext w:val="0"/>
              <w:keepLines w:val="0"/>
              <w:pageBreakBefore w:val="0"/>
              <w:kinsoku/>
              <w:wordWrap/>
              <w:overflowPunct/>
              <w:topLinePunct w:val="0"/>
              <w:bidi w:val="0"/>
              <w:snapToGrid/>
              <w:ind w:left="-4" w:leftChars="-2" w:firstLine="2" w:firstLineChars="1"/>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z w:val="21"/>
                <w:szCs w:val="21"/>
              </w:rPr>
              <w:t>方案有一定的可信性、内容简略、服务时间满足采购人要求的得 4分，未提供或不能满足本项目需求 0 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z w:val="21"/>
                <w:szCs w:val="21"/>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z w:val="21"/>
                <w:szCs w:val="21"/>
              </w:rPr>
            </w:pPr>
          </w:p>
        </w:tc>
        <w:tc>
          <w:tcPr>
            <w:tcW w:w="137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处罚措施</w:t>
            </w:r>
          </w:p>
        </w:tc>
        <w:tc>
          <w:tcPr>
            <w:tcW w:w="6512" w:type="dxa"/>
            <w:vAlign w:val="center"/>
          </w:tcPr>
          <w:p>
            <w:pPr>
              <w:keepNext w:val="0"/>
              <w:keepLines w:val="0"/>
              <w:pageBreakBefore w:val="0"/>
              <w:kinsoku/>
              <w:wordWrap/>
              <w:overflowPunct/>
              <w:topLinePunct w:val="0"/>
              <w:bidi w:val="0"/>
              <w:snapToGrid/>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根据供应商提供的成交后根据采购人提出采购计划能够按约定时间送达及未及时送达处罚措施比较，罚则最严厉全面且最具针对性的6分，罚则较严厉全面且较具针对性的4分，罚则不全面且针对性较弱的 2分。</w:t>
            </w:r>
          </w:p>
        </w:tc>
        <w:tc>
          <w:tcPr>
            <w:tcW w:w="664"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总分</w:t>
            </w:r>
          </w:p>
        </w:tc>
        <w:tc>
          <w:tcPr>
            <w:tcW w:w="8552" w:type="dxa"/>
            <w:gridSpan w:val="3"/>
            <w:vAlign w:val="center"/>
          </w:tcPr>
          <w:p>
            <w:pPr>
              <w:keepNext w:val="0"/>
              <w:keepLines w:val="0"/>
              <w:pageBreakBefore w:val="0"/>
              <w:kinsoku/>
              <w:wordWrap/>
              <w:overflowPunct/>
              <w:topLinePunct w:val="0"/>
              <w:bidi w:val="0"/>
              <w:snapToGrid/>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100</w:t>
            </w:r>
          </w:p>
        </w:tc>
      </w:tr>
    </w:tbl>
    <w:p>
      <w:pPr>
        <w:spacing w:line="360" w:lineRule="auto"/>
        <w:outlineLvl w:val="1"/>
        <w:rPr>
          <w:rFonts w:asciiTheme="minorEastAsia" w:hAnsiTheme="minorEastAsia" w:eastAsiaTheme="minorEastAsia" w:cstheme="minorEastAsia"/>
          <w:b/>
          <w:szCs w:val="21"/>
        </w:rPr>
      </w:pPr>
      <w:bookmarkStart w:id="112" w:name="_Toc18580"/>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t>四、评定办法</w:t>
      </w:r>
      <w:bookmarkEnd w:id="112"/>
    </w:p>
    <w:p>
      <w:pPr>
        <w:numPr>
          <w:ilvl w:val="3"/>
          <w:numId w:val="36"/>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7"/>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7"/>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7"/>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6"/>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6"/>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
    <w:p/>
    <w:p/>
    <w:p>
      <w:pPr>
        <w:spacing w:line="360" w:lineRule="auto"/>
        <w:outlineLvl w:val="1"/>
        <w:rPr>
          <w:rFonts w:asciiTheme="minorEastAsia" w:hAnsiTheme="minorEastAsia" w:eastAsiaTheme="minorEastAsia" w:cstheme="minorEastAsia"/>
          <w:b/>
          <w:szCs w:val="21"/>
        </w:rPr>
      </w:pPr>
      <w:bookmarkStart w:id="113" w:name="_Toc6605"/>
      <w:r>
        <w:rPr>
          <w:rFonts w:hint="eastAsia" w:asciiTheme="minorEastAsia" w:hAnsiTheme="minorEastAsia" w:eastAsiaTheme="minorEastAsia" w:cstheme="minorEastAsia"/>
          <w:b/>
          <w:szCs w:val="21"/>
        </w:rPr>
        <w:t>五、磋商及评审步骤</w:t>
      </w:r>
      <w:bookmarkEnd w:id="113"/>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1.验证委托代理人身份、响应文件密封检查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4.1磋商小组所有成员应当集中与单一供应商分别进行磋商，并按照磋商会随机抽签的顺序给予所有参加磋商的供应商平等的磋商机会。</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在磋商过程中，若磋商小组无法联系上供应商代表或者供应商代表在接到磋商小组通知后15分钟内不能抵达磋商会现场的，视为该供应商自动退出磋商。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5.1经磋商确定最终采购需求和提交最后报价的供应商后，由磋商小组采用综合评分法对提交最后报价的供应商的响应文件和最后报价进行综合评分。具体详见“评分细则”。</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8"/>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numPr>
          <w:ilvl w:val="0"/>
          <w:numId w:val="4"/>
        </w:numPr>
        <w:spacing w:line="240" w:lineRule="auto"/>
        <w:jc w:val="center"/>
        <w:rPr>
          <w:rFonts w:asciiTheme="minorEastAsia" w:hAnsiTheme="minorEastAsia" w:eastAsiaTheme="minorEastAsia" w:cstheme="minorEastAsia"/>
          <w:b w:val="0"/>
          <w:kern w:val="0"/>
          <w:szCs w:val="21"/>
        </w:rPr>
      </w:pPr>
      <w:bookmarkStart w:id="114" w:name="_Toc211783328"/>
      <w:bookmarkStart w:id="115" w:name="_Toc318643471"/>
      <w:bookmarkStart w:id="116" w:name="_Toc24536"/>
      <w:r>
        <w:rPr>
          <w:rFonts w:hint="eastAsia" w:asciiTheme="minorEastAsia" w:hAnsiTheme="minorEastAsia" w:eastAsiaTheme="minorEastAsia" w:cstheme="minorEastAsia"/>
          <w:sz w:val="36"/>
          <w:szCs w:val="36"/>
        </w:rPr>
        <w:t>合同书</w:t>
      </w:r>
      <w:bookmarkEnd w:id="114"/>
      <w:bookmarkEnd w:id="115"/>
      <w:r>
        <w:rPr>
          <w:rFonts w:hint="eastAsia" w:asciiTheme="minorEastAsia" w:hAnsiTheme="minorEastAsia" w:eastAsiaTheme="minorEastAsia" w:cstheme="minorEastAsia"/>
          <w:sz w:val="36"/>
          <w:szCs w:val="36"/>
        </w:rPr>
        <w:t>格式</w:t>
      </w:r>
      <w:bookmarkEnd w:id="116"/>
    </w:p>
    <w:p>
      <w:pPr>
        <w:ind w:firstLine="42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协    议   书</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ind w:firstLine="416"/>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4.</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合同协议书；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pPr>
      <w:r>
        <w:rPr>
          <w:rFonts w:hint="eastAsia" w:asciiTheme="minorEastAsia" w:hAnsiTheme="minorEastAsia" w:eastAsiaTheme="minorEastAsia" w:cstheme="minorEastAsia"/>
          <w:szCs w:val="21"/>
        </w:rPr>
        <w:t>合同签订地址：</w:t>
      </w:r>
    </w:p>
    <w:p>
      <w:pPr>
        <w:pStyle w:val="3"/>
        <w:numPr>
          <w:ilvl w:val="0"/>
          <w:numId w:val="4"/>
        </w:numPr>
        <w:jc w:val="center"/>
        <w:rPr>
          <w:rFonts w:asciiTheme="minorEastAsia" w:hAnsiTheme="minorEastAsia" w:eastAsiaTheme="minorEastAsia" w:cstheme="minorEastAsia"/>
          <w:sz w:val="36"/>
          <w:szCs w:val="36"/>
        </w:rPr>
      </w:pPr>
      <w:bookmarkStart w:id="117" w:name="_Toc26503"/>
      <w:r>
        <w:rPr>
          <w:rFonts w:hint="eastAsia" w:asciiTheme="minorEastAsia" w:hAnsiTheme="minorEastAsia" w:eastAsiaTheme="minorEastAsia" w:cstheme="minorEastAsia"/>
          <w:sz w:val="36"/>
          <w:szCs w:val="36"/>
        </w:rPr>
        <w:t>竞争性磋商响应文件格式</w:t>
      </w:r>
      <w:bookmarkEnd w:id="117"/>
    </w:p>
    <w:p>
      <w:pPr>
        <w:autoSpaceDE w:val="0"/>
        <w:autoSpaceDN w:val="0"/>
        <w:adjustRightInd w:val="0"/>
        <w:rPr>
          <w:rFonts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asciiTheme="minorEastAsia" w:hAnsiTheme="minorEastAsia" w:eastAsiaTheme="minorEastAsia" w:cstheme="minorEastAsia"/>
        </w:rPr>
      </w:pPr>
    </w:p>
    <w:p>
      <w:pPr>
        <w:autoSpaceDE w:val="0"/>
        <w:autoSpaceDN w:val="0"/>
        <w:adjustRightInd w:val="0"/>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项目编号：</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18" w:name="_Toc23858"/>
      <w:bookmarkStart w:id="119" w:name="_Toc5751"/>
    </w:p>
    <w:p>
      <w:pPr>
        <w:autoSpaceDE w:val="0"/>
        <w:autoSpaceDN w:val="0"/>
        <w:adjustRightInd w:val="0"/>
        <w:spacing w:line="360" w:lineRule="auto"/>
        <w:ind w:firstLine="1260" w:firstLineChars="4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8"/>
    <w:bookmarkEnd w:id="119"/>
    <w:p>
      <w:pPr>
        <w:autoSpaceDE w:val="0"/>
        <w:autoSpaceDN w:val="0"/>
        <w:adjustRightInd w:val="0"/>
        <w:spacing w:line="360" w:lineRule="auto"/>
        <w:jc w:val="center"/>
        <w:rPr>
          <w:rFonts w:asciiTheme="minorEastAsia" w:hAnsiTheme="minorEastAsia" w:eastAsiaTheme="minorEastAsia" w:cstheme="minorEastAsia"/>
          <w:b/>
          <w:bCs/>
          <w:sz w:val="24"/>
        </w:rPr>
      </w:pPr>
      <w:bookmarkStart w:id="120" w:name="_Toc360174584"/>
      <w:bookmarkStart w:id="121" w:name="_Toc264644272"/>
      <w:bookmarkStart w:id="122" w:name="_Toc533331084"/>
      <w:bookmarkStart w:id="123" w:name="_Toc533330957"/>
      <w:bookmarkStart w:id="124" w:name="_Toc11320441"/>
      <w:bookmarkStart w:id="125" w:name="_Toc211783342"/>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20"/>
      <w:bookmarkEnd w:id="121"/>
    </w:p>
    <w:p>
      <w:pPr>
        <w:autoSpaceDE w:val="0"/>
        <w:autoSpaceDN w:val="0"/>
        <w:adjustRightInd w:val="0"/>
        <w:rPr>
          <w:rFonts w:asciiTheme="minorEastAsia" w:hAnsiTheme="minorEastAsia" w:eastAsiaTheme="minorEastAsia" w:cstheme="minorEastAsia"/>
          <w:b/>
          <w:bCs/>
          <w:szCs w:val="21"/>
        </w:rPr>
      </w:pPr>
    </w:p>
    <w:p>
      <w:pPr>
        <w:autoSpaceDE w:val="0"/>
        <w:autoSpaceDN w:val="0"/>
        <w:adjustRightInd w:val="0"/>
        <w:spacing w:line="360" w:lineRule="auto"/>
        <w:rPr>
          <w:rFonts w:ascii="宋体" w:hAnsi="宋体" w:cs="宋体"/>
          <w:b/>
          <w:szCs w:val="21"/>
        </w:rPr>
      </w:pPr>
      <w:r>
        <w:rPr>
          <w:rFonts w:hint="eastAsia" w:ascii="宋体" w:hAnsi="宋体" w:cs="宋体"/>
          <w:b/>
          <w:szCs w:val="21"/>
        </w:rPr>
        <w:t>注：投标文件目录及内容每页须顺序编写页码。</w:t>
      </w:r>
    </w:p>
    <w:p>
      <w:pPr>
        <w:autoSpaceDE w:val="0"/>
        <w:autoSpaceDN w:val="0"/>
        <w:adjustRightInd w:val="0"/>
        <w:spacing w:line="360" w:lineRule="auto"/>
        <w:jc w:val="center"/>
        <w:outlineLvl w:val="1"/>
        <w:rPr>
          <w:rFonts w:ascii="宋体" w:hAnsi="宋体" w:cs="宋体"/>
          <w:b/>
          <w:szCs w:val="21"/>
        </w:rPr>
      </w:pPr>
      <w:bookmarkStart w:id="126" w:name="_Toc28214"/>
      <w:r>
        <w:rPr>
          <w:rFonts w:hint="eastAsia" w:ascii="宋体" w:hAnsi="宋体" w:cs="宋体"/>
          <w:b/>
          <w:szCs w:val="21"/>
        </w:rPr>
        <w:br w:type="textWrapping"/>
      </w:r>
      <w:r>
        <w:rPr>
          <w:rFonts w:hint="eastAsia" w:ascii="宋体" w:hAnsi="宋体" w:cs="宋体"/>
          <w:b/>
          <w:szCs w:val="21"/>
        </w:rPr>
        <w:t>一、评分标准索引表</w:t>
      </w:r>
      <w:bookmarkEnd w:id="126"/>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类别</w:t>
            </w:r>
          </w:p>
        </w:tc>
        <w:tc>
          <w:tcPr>
            <w:tcW w:w="1285"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评审因素</w:t>
            </w:r>
          </w:p>
        </w:tc>
        <w:tc>
          <w:tcPr>
            <w:tcW w:w="5358"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评审标准</w:t>
            </w:r>
          </w:p>
        </w:tc>
        <w:tc>
          <w:tcPr>
            <w:tcW w:w="825"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分值</w:t>
            </w:r>
          </w:p>
        </w:tc>
        <w:tc>
          <w:tcPr>
            <w:tcW w:w="1133"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360" w:lineRule="auto"/>
              <w:jc w:val="center"/>
              <w:textAlignment w:val="center"/>
              <w:rPr>
                <w:rFonts w:ascii="宋体" w:hAnsi="宋体" w:cs="宋体"/>
                <w:spacing w:val="-6"/>
                <w:szCs w:val="21"/>
              </w:rPr>
            </w:pPr>
          </w:p>
        </w:tc>
        <w:tc>
          <w:tcPr>
            <w:tcW w:w="1285" w:type="dxa"/>
            <w:vAlign w:val="center"/>
          </w:tcPr>
          <w:p>
            <w:pPr>
              <w:widowControl/>
              <w:spacing w:line="360" w:lineRule="auto"/>
              <w:jc w:val="center"/>
              <w:textAlignment w:val="center"/>
              <w:rPr>
                <w:rFonts w:ascii="宋体" w:hAnsi="宋体" w:cs="宋体"/>
                <w:spacing w:val="-6"/>
                <w:szCs w:val="21"/>
              </w:rPr>
            </w:pPr>
          </w:p>
        </w:tc>
        <w:tc>
          <w:tcPr>
            <w:tcW w:w="5358" w:type="dxa"/>
            <w:vAlign w:val="center"/>
          </w:tcPr>
          <w:p>
            <w:pPr>
              <w:widowControl/>
              <w:spacing w:line="360" w:lineRule="auto"/>
              <w:jc w:val="left"/>
              <w:textAlignment w:val="center"/>
              <w:rPr>
                <w:rFonts w:ascii="宋体" w:hAnsi="宋体" w:cs="宋体"/>
                <w:szCs w:val="21"/>
              </w:rPr>
            </w:pPr>
          </w:p>
        </w:tc>
        <w:tc>
          <w:tcPr>
            <w:tcW w:w="825" w:type="dxa"/>
            <w:vAlign w:val="center"/>
          </w:tcPr>
          <w:p>
            <w:pPr>
              <w:widowControl/>
              <w:spacing w:line="360" w:lineRule="auto"/>
              <w:jc w:val="center"/>
              <w:textAlignment w:val="center"/>
              <w:rPr>
                <w:rFonts w:ascii="宋体" w:hAnsi="宋体" w:cs="宋体"/>
                <w:szCs w:val="21"/>
              </w:rPr>
            </w:pPr>
          </w:p>
        </w:tc>
        <w:tc>
          <w:tcPr>
            <w:tcW w:w="1133" w:type="dxa"/>
            <w:vAlign w:val="center"/>
          </w:tcPr>
          <w:p>
            <w:pPr>
              <w:widowControl/>
              <w:spacing w:line="360" w:lineRule="auto"/>
              <w:jc w:val="center"/>
              <w:textAlignment w:val="center"/>
              <w:rPr>
                <w:rFonts w:ascii="宋体" w:hAnsi="宋体" w:cs="宋体"/>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spacing w:val="-6"/>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color w:val="000000"/>
                <w:spacing w:val="-6"/>
                <w:szCs w:val="21"/>
              </w:rPr>
            </w:pPr>
          </w:p>
        </w:tc>
        <w:tc>
          <w:tcPr>
            <w:tcW w:w="5358" w:type="dxa"/>
            <w:vAlign w:val="center"/>
          </w:tcPr>
          <w:p>
            <w:pPr>
              <w:autoSpaceDE w:val="0"/>
              <w:autoSpaceDN w:val="0"/>
              <w:adjustRightInd w:val="0"/>
              <w:spacing w:line="360" w:lineRule="auto"/>
              <w:ind w:right="71" w:rightChars="34"/>
              <w:rPr>
                <w:rFonts w:ascii="宋体" w:hAnsi="宋体" w:cs="宋体"/>
                <w:color w:val="000000"/>
                <w:spacing w:val="-6"/>
                <w:szCs w:val="21"/>
              </w:rPr>
            </w:pPr>
          </w:p>
        </w:tc>
        <w:tc>
          <w:tcPr>
            <w:tcW w:w="825" w:type="dxa"/>
            <w:vAlign w:val="center"/>
          </w:tcPr>
          <w:p>
            <w:pPr>
              <w:autoSpaceDE w:val="0"/>
              <w:autoSpaceDN w:val="0"/>
              <w:adjustRightInd w:val="0"/>
              <w:spacing w:line="360" w:lineRule="auto"/>
              <w:ind w:right="71" w:rightChars="34"/>
              <w:rPr>
                <w:rFonts w:ascii="宋体" w:hAnsi="宋体" w:cs="宋体"/>
                <w:color w:val="000000"/>
                <w:spacing w:val="-6"/>
                <w:szCs w:val="21"/>
              </w:rPr>
            </w:pPr>
          </w:p>
        </w:tc>
        <w:tc>
          <w:tcPr>
            <w:tcW w:w="1133" w:type="dxa"/>
            <w:vAlign w:val="center"/>
          </w:tcPr>
          <w:p>
            <w:pPr>
              <w:autoSpaceDE w:val="0"/>
              <w:autoSpaceDN w:val="0"/>
              <w:adjustRightInd w:val="0"/>
              <w:spacing w:line="360" w:lineRule="auto"/>
              <w:ind w:right="71" w:rightChars="34"/>
              <w:rPr>
                <w:rFonts w:ascii="宋体" w:hAnsi="宋体" w:cs="宋体"/>
                <w:color w:val="000000"/>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bottom w:val="single" w:color="auto" w:sz="4" w:space="0"/>
            </w:tcBorders>
            <w:vAlign w:val="center"/>
          </w:tcPr>
          <w:p>
            <w:pPr>
              <w:spacing w:line="360" w:lineRule="auto"/>
              <w:rPr>
                <w:rFonts w:ascii="宋体" w:hAnsi="宋体" w:cs="宋体"/>
                <w:spacing w:val="-6"/>
                <w:kern w:val="0"/>
                <w:szCs w:val="21"/>
              </w:rPr>
            </w:pPr>
          </w:p>
        </w:tc>
        <w:tc>
          <w:tcPr>
            <w:tcW w:w="5358"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top w:val="single" w:color="auto" w:sz="4" w:space="0"/>
            </w:tcBorders>
            <w:vAlign w:val="center"/>
          </w:tcPr>
          <w:p>
            <w:pPr>
              <w:spacing w:line="360" w:lineRule="auto"/>
              <w:rPr>
                <w:rFonts w:ascii="宋体" w:hAnsi="宋体" w:cs="宋体"/>
                <w:spacing w:val="-6"/>
                <w:kern w:val="0"/>
                <w:szCs w:val="21"/>
              </w:rPr>
            </w:pPr>
          </w:p>
        </w:tc>
        <w:tc>
          <w:tcPr>
            <w:tcW w:w="5358"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spacing w:val="-6"/>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ind w:left="-4" w:leftChars="-2" w:firstLine="2" w:firstLineChars="1"/>
              <w:rPr>
                <w:rFonts w:ascii="宋体" w:hAnsi="宋体" w:cs="宋体"/>
                <w:szCs w:val="21"/>
              </w:rPr>
            </w:pPr>
          </w:p>
        </w:tc>
        <w:tc>
          <w:tcPr>
            <w:tcW w:w="1285" w:type="dxa"/>
            <w:vAlign w:val="center"/>
          </w:tcPr>
          <w:p>
            <w:pPr>
              <w:spacing w:line="360" w:lineRule="auto"/>
              <w:ind w:left="-4" w:leftChars="-2" w:firstLine="2" w:firstLineChars="1"/>
              <w:rPr>
                <w:rFonts w:ascii="宋体" w:hAnsi="宋体" w:cs="宋体"/>
                <w:szCs w:val="21"/>
              </w:rPr>
            </w:pPr>
          </w:p>
        </w:tc>
        <w:tc>
          <w:tcPr>
            <w:tcW w:w="5358" w:type="dxa"/>
            <w:vAlign w:val="center"/>
          </w:tcPr>
          <w:p>
            <w:pPr>
              <w:spacing w:line="360" w:lineRule="auto"/>
              <w:ind w:left="-4" w:leftChars="-2" w:firstLine="2" w:firstLineChars="1"/>
              <w:rPr>
                <w:rFonts w:ascii="宋体" w:hAnsi="宋体" w:cs="宋体"/>
                <w:szCs w:val="21"/>
              </w:rPr>
            </w:pPr>
          </w:p>
        </w:tc>
        <w:tc>
          <w:tcPr>
            <w:tcW w:w="825" w:type="dxa"/>
            <w:vAlign w:val="center"/>
          </w:tcPr>
          <w:p>
            <w:pPr>
              <w:spacing w:line="360" w:lineRule="auto"/>
              <w:ind w:left="-4" w:leftChars="-2" w:firstLine="2" w:firstLineChars="1"/>
              <w:rPr>
                <w:rFonts w:ascii="宋体" w:hAnsi="宋体" w:cs="宋体"/>
                <w:szCs w:val="21"/>
              </w:rPr>
            </w:pPr>
          </w:p>
        </w:tc>
        <w:tc>
          <w:tcPr>
            <w:tcW w:w="1133" w:type="dxa"/>
            <w:vAlign w:val="center"/>
          </w:tcPr>
          <w:p>
            <w:pPr>
              <w:spacing w:line="360" w:lineRule="auto"/>
              <w:ind w:left="-4" w:leftChars="-2" w:firstLine="2" w:firstLineChars="1"/>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rPr>
                <w:rFonts w:ascii="宋体" w:hAnsi="宋体" w:cs="宋体"/>
                <w:spacing w:val="-6"/>
                <w:kern w:val="0"/>
                <w:szCs w:val="21"/>
              </w:rPr>
            </w:pPr>
          </w:p>
        </w:tc>
        <w:tc>
          <w:tcPr>
            <w:tcW w:w="825" w:type="dxa"/>
            <w:vAlign w:val="center"/>
          </w:tcPr>
          <w:p>
            <w:pPr>
              <w:autoSpaceDE w:val="0"/>
              <w:autoSpaceDN w:val="0"/>
              <w:adjustRightInd w:val="0"/>
              <w:spacing w:line="360" w:lineRule="auto"/>
              <w:rPr>
                <w:rFonts w:ascii="宋体" w:hAnsi="宋体" w:cs="宋体"/>
                <w:spacing w:val="-6"/>
                <w:kern w:val="0"/>
                <w:szCs w:val="21"/>
              </w:rPr>
            </w:pPr>
          </w:p>
        </w:tc>
        <w:tc>
          <w:tcPr>
            <w:tcW w:w="1133" w:type="dxa"/>
            <w:vAlign w:val="center"/>
          </w:tcPr>
          <w:p>
            <w:pPr>
              <w:autoSpaceDE w:val="0"/>
              <w:autoSpaceDN w:val="0"/>
              <w:adjustRightInd w:val="0"/>
              <w:spacing w:line="360" w:lineRule="auto"/>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bl>
    <w:p>
      <w:pPr>
        <w:autoSpaceDE w:val="0"/>
        <w:autoSpaceDN w:val="0"/>
        <w:adjustRightInd w:val="0"/>
        <w:spacing w:line="480" w:lineRule="auto"/>
        <w:rPr>
          <w:rFonts w:asciiTheme="minorEastAsia" w:hAnsiTheme="minorEastAsia" w:eastAsiaTheme="minorEastAsia" w:cstheme="minorEastAsia"/>
          <w:b/>
        </w:rPr>
      </w:pPr>
    </w:p>
    <w:p>
      <w:pPr>
        <w:adjustRightInd w:val="0"/>
        <w:snapToGrid w:val="0"/>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27" w:name="_Toc16226"/>
      <w:bookmarkStart w:id="128" w:name="_Toc30144"/>
      <w:bookmarkStart w:id="129" w:name="_Toc15789"/>
      <w:bookmarkStart w:id="130" w:name="_Toc479184125"/>
      <w:r>
        <w:rPr>
          <w:rFonts w:hint="eastAsia" w:asciiTheme="minorEastAsia" w:hAnsiTheme="minorEastAsia" w:eastAsiaTheme="minorEastAsia" w:cstheme="minorEastAsia"/>
          <w:b/>
        </w:rPr>
        <w:t>二、磋商书</w:t>
      </w:r>
      <w:bookmarkEnd w:id="127"/>
      <w:bookmarkEnd w:id="128"/>
      <w:bookmarkEnd w:id="129"/>
      <w:bookmarkEnd w:id="130"/>
    </w:p>
    <w:p>
      <w:pPr>
        <w:pStyle w:val="20"/>
        <w:rPr>
          <w:rFonts w:asciiTheme="minorEastAsia" w:hAnsiTheme="minorEastAsia" w:eastAsiaTheme="minorEastAsia" w:cstheme="minorEastAsia"/>
          <w:b/>
          <w:szCs w:val="21"/>
        </w:rPr>
      </w:pP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包货物的磋商邀请，我方代表（姓名、职务）经正式授权并代表供应商（供应商的名称、地址）提交下述文件正本一份，副本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8"/>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8"/>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8"/>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 xml:space="preserve">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日历天。</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asciiTheme="minorEastAsia" w:hAnsiTheme="minorEastAsia" w:eastAsiaTheme="minorEastAsia" w:cstheme="minorEastAsia"/>
          <w:kern w:val="0"/>
          <w:szCs w:val="21"/>
        </w:rPr>
      </w:pP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b/>
        </w:rPr>
      </w:pPr>
      <w:bookmarkStart w:id="131" w:name="_Toc479184126"/>
      <w:bookmarkStart w:id="132" w:name="_Toc24205"/>
      <w:bookmarkStart w:id="133" w:name="_Toc13969"/>
      <w:bookmarkStart w:id="134" w:name="_Toc8419"/>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t>三、法定代表人授权书</w:t>
      </w:r>
      <w:bookmarkEnd w:id="131"/>
      <w:bookmarkEnd w:id="132"/>
      <w:bookmarkEnd w:id="133"/>
      <w:bookmarkEnd w:id="134"/>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pPr>
            <w:r>
              <w:rPr>
                <w:rFonts w:hint="eastAsia"/>
              </w:rPr>
              <w:t>授权代表身份证正反面（真彩扫描件）：</w:t>
            </w:r>
          </w:p>
          <w:p>
            <w:pPr>
              <w:autoSpaceDE w:val="0"/>
              <w:autoSpaceDN w:val="0"/>
              <w:adjustRightInd w:val="0"/>
              <w:spacing w:line="360" w:lineRule="auto"/>
              <w:jc w:val="left"/>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35" w:name="_Toc479184127"/>
      <w:bookmarkStart w:id="136" w:name="_Toc30476"/>
      <w:bookmarkStart w:id="137" w:name="_Toc432149008"/>
      <w:bookmarkStart w:id="138" w:name="_Toc30245"/>
      <w:bookmarkStart w:id="139" w:name="_Toc29904"/>
      <w:bookmarkStart w:id="140" w:name="_Toc424832832"/>
      <w:bookmarkStart w:id="141" w:name="_Toc360120184"/>
      <w:bookmarkStart w:id="142" w:name="_Toc12101"/>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35"/>
      <w:bookmarkEnd w:id="136"/>
      <w:bookmarkEnd w:id="137"/>
      <w:bookmarkEnd w:id="138"/>
      <w:bookmarkEnd w:id="139"/>
      <w:bookmarkEnd w:id="140"/>
      <w:bookmarkEnd w:id="141"/>
      <w:bookmarkEnd w:id="142"/>
    </w:p>
    <w:p>
      <w:pPr>
        <w:spacing w:line="360" w:lineRule="auto"/>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kern w:val="0"/>
                <w:szCs w:val="21"/>
              </w:rPr>
            </w:pPr>
          </w:p>
          <w:p>
            <w:pPr>
              <w:spacing w:line="360" w:lineRule="auto"/>
              <w:rPr>
                <w:rFonts w:asciiTheme="minorEastAsia" w:hAnsiTheme="minorEastAsia" w:eastAsiaTheme="minorEastAsia" w:cstheme="minorEastAsia"/>
                <w:kern w:val="0"/>
                <w:szCs w:val="21"/>
              </w:rPr>
            </w:pPr>
            <w:r>
              <w:rPr>
                <w:rFonts w:hint="eastAsia"/>
              </w:rPr>
              <w:t>粘贴法定代表人身份证正反面（真彩扫描件）：</w:t>
            </w:r>
          </w:p>
        </w:tc>
      </w:tr>
    </w:tbl>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43" w:name="_Toc432149006"/>
      <w:bookmarkStart w:id="144" w:name="_Toc422466732"/>
      <w:r>
        <w:rPr>
          <w:rFonts w:hint="eastAsia" w:asciiTheme="minorEastAsia" w:hAnsiTheme="minorEastAsia" w:eastAsiaTheme="minorEastAsia" w:cstheme="minorEastAsia"/>
          <w:b/>
          <w:bCs/>
          <w:sz w:val="24"/>
        </w:rPr>
        <w:br w:type="page"/>
      </w:r>
      <w:bookmarkStart w:id="145" w:name="_Toc4301"/>
      <w:bookmarkStart w:id="146" w:name="_Toc479184128"/>
      <w:bookmarkStart w:id="147" w:name="_Toc4741"/>
      <w:bookmarkStart w:id="148" w:name="_Toc5537"/>
      <w:r>
        <w:rPr>
          <w:rFonts w:hint="eastAsia" w:asciiTheme="minorEastAsia" w:hAnsiTheme="minorEastAsia" w:eastAsiaTheme="minorEastAsia" w:cstheme="minorEastAsia"/>
          <w:b/>
          <w:bCs/>
          <w:szCs w:val="21"/>
        </w:rPr>
        <w:t>四、报价一览表</w:t>
      </w:r>
      <w:bookmarkEnd w:id="143"/>
      <w:bookmarkEnd w:id="144"/>
      <w:bookmarkEnd w:id="145"/>
      <w:bookmarkEnd w:id="146"/>
      <w:bookmarkEnd w:id="147"/>
      <w:bookmarkEnd w:id="148"/>
    </w:p>
    <w:p>
      <w:pPr>
        <w:adjustRightInd w:val="0"/>
        <w:snapToGrid w:val="0"/>
        <w:ind w:left="-88" w:leftChars="-42"/>
        <w:rPr>
          <w:rFonts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bCs/>
                <w:color w:val="000000" w:themeColor="text1"/>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u w:val="single"/>
              </w:rPr>
              <w:t xml:space="preserve">大写：      </w:t>
            </w:r>
            <w:r>
              <w:rPr>
                <w:rFonts w:hint="eastAsia" w:asciiTheme="minorEastAsia" w:hAnsiTheme="minorEastAsia" w:eastAsiaTheme="minorEastAsia" w:cstheme="minorEastAsia"/>
                <w:color w:val="000000" w:themeColor="text1"/>
                <w:szCs w:val="21"/>
              </w:rPr>
              <w:br w:type="textWrapping"/>
            </w:r>
            <w:r>
              <w:rPr>
                <w:rFonts w:hint="eastAsia" w:asciiTheme="minorEastAsia" w:hAnsiTheme="minorEastAsia" w:eastAsiaTheme="minorEastAsia" w:cstheme="minorEastAsia"/>
                <w:color w:val="000000" w:themeColor="text1"/>
                <w:szCs w:val="21"/>
                <w:u w:val="single"/>
              </w:rPr>
              <w:t xml:space="preserve">小写：      </w:t>
            </w:r>
            <w:r>
              <w:rPr>
                <w:rFonts w:hint="eastAsia" w:asciiTheme="minorEastAsia" w:hAnsiTheme="minorEastAsia" w:eastAsiaTheme="minorEastAsia" w:cstheme="minorEastAsia"/>
                <w:color w:val="000000" w:themeColor="text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color w:val="000000" w:themeColor="text1"/>
                <w:szCs w:val="21"/>
              </w:rPr>
            </w:pPr>
            <w:r>
              <w:rPr>
                <w:rFonts w:hint="eastAsia" w:asciiTheme="minorEastAsia" w:hAnsiTheme="minorEastAsia" w:eastAsiaTheme="minorEastAsia" w:cstheme="minorEastAsia"/>
                <w:bCs/>
                <w:color w:val="000000" w:themeColor="text1"/>
                <w:szCs w:val="21"/>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color w:val="000000" w:themeColor="text1"/>
                <w:szCs w:val="21"/>
              </w:rPr>
            </w:pPr>
            <w:r>
              <w:rPr>
                <w:rFonts w:hint="eastAsia" w:asciiTheme="minorEastAsia" w:hAnsiTheme="minorEastAsia" w:eastAsiaTheme="minorEastAsia" w:cstheme="minorEastAsia"/>
                <w:bCs/>
                <w:color w:val="000000" w:themeColor="text1"/>
                <w:szCs w:val="21"/>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tc>
      </w:tr>
    </w:tbl>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（3）此表除保留在竞争性磋商响应文件中外，另复制一份与法定代表人授权书（原件）、保证金缴纳证明（如有）（复印件）及报价优惠声明（如有）一起另外密封装在一个小信封中，作为磋商记录之用。</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49" w:name="_Toc460258117"/>
      <w:bookmarkStart w:id="150" w:name="_Toc259028723"/>
      <w:bookmarkStart w:id="151" w:name="_Toc424832831"/>
      <w:bookmarkStart w:id="152" w:name="_Toc432149007"/>
      <w:r>
        <w:rPr>
          <w:rFonts w:hint="eastAsia" w:asciiTheme="minorEastAsia" w:hAnsiTheme="minorEastAsia" w:eastAsiaTheme="minorEastAsia" w:cstheme="minorEastAsia"/>
          <w:b/>
          <w:bCs/>
          <w:sz w:val="24"/>
        </w:rPr>
        <w:br w:type="page"/>
      </w:r>
      <w:bookmarkEnd w:id="149"/>
      <w:bookmarkEnd w:id="150"/>
      <w:bookmarkStart w:id="153" w:name="_Toc479184129"/>
      <w:bookmarkStart w:id="154" w:name="_Toc18559"/>
      <w:bookmarkStart w:id="155" w:name="_Toc1079"/>
      <w:bookmarkStart w:id="156" w:name="_Toc29767"/>
      <w:bookmarkStart w:id="157" w:name="_Toc28536"/>
      <w:r>
        <w:rPr>
          <w:rFonts w:hint="eastAsia" w:asciiTheme="minorEastAsia" w:hAnsiTheme="minorEastAsia" w:eastAsiaTheme="minorEastAsia" w:cstheme="minorEastAsia"/>
          <w:b/>
          <w:bCs/>
          <w:szCs w:val="21"/>
        </w:rPr>
        <w:t>五、</w:t>
      </w:r>
      <w:bookmarkEnd w:id="153"/>
      <w:bookmarkEnd w:id="154"/>
      <w:bookmarkEnd w:id="155"/>
      <w:r>
        <w:rPr>
          <w:rFonts w:hint="eastAsia" w:asciiTheme="minorEastAsia" w:hAnsiTheme="minorEastAsia" w:eastAsiaTheme="minorEastAsia" w:cstheme="minorEastAsia"/>
          <w:b/>
          <w:bCs/>
          <w:szCs w:val="21"/>
        </w:rPr>
        <w:t>报价费用构成表</w:t>
      </w:r>
      <w:bookmarkEnd w:id="156"/>
      <w:bookmarkEnd w:id="157"/>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pPr w:leftFromText="180" w:rightFromText="180" w:vertAnchor="text" w:horzAnchor="page" w:tblpX="1415" w:tblpY="383"/>
        <w:tblOverlap w:val="never"/>
        <w:tblW w:w="5204" w:type="pct"/>
        <w:tblInd w:w="0" w:type="dxa"/>
        <w:tblLayout w:type="fixed"/>
        <w:tblCellMar>
          <w:top w:w="0" w:type="dxa"/>
          <w:left w:w="0" w:type="dxa"/>
          <w:bottom w:w="0" w:type="dxa"/>
          <w:right w:w="0" w:type="dxa"/>
        </w:tblCellMar>
      </w:tblPr>
      <w:tblGrid>
        <w:gridCol w:w="1708"/>
        <w:gridCol w:w="1973"/>
        <w:gridCol w:w="1362"/>
        <w:gridCol w:w="1132"/>
        <w:gridCol w:w="1067"/>
        <w:gridCol w:w="1201"/>
        <w:gridCol w:w="1031"/>
      </w:tblGrid>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序号</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类别及名称</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规格</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计量单位</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color w:val="000000" w:themeColor="text1"/>
                <w:kern w:val="0"/>
                <w:szCs w:val="21"/>
              </w:rPr>
            </w:pPr>
            <w:r>
              <w:rPr>
                <w:rFonts w:hint="eastAsia" w:ascii="宋体" w:hAnsi="宋体" w:eastAsia="宋体" w:cs="宋体"/>
                <w:b/>
                <w:sz w:val="21"/>
                <w:szCs w:val="21"/>
              </w:rPr>
              <w:t>规格型号</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b/>
                <w:sz w:val="21"/>
                <w:szCs w:val="21"/>
              </w:rPr>
            </w:pPr>
            <w:r>
              <w:rPr>
                <w:rFonts w:hint="eastAsia" w:ascii="宋体" w:hAnsi="宋体" w:eastAsia="宋体" w:cs="宋体"/>
                <w:b/>
                <w:sz w:val="21"/>
                <w:szCs w:val="21"/>
              </w:rPr>
              <w:t>制造商名称</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b/>
                <w:color w:val="000000" w:themeColor="text1"/>
                <w:kern w:val="0"/>
                <w:szCs w:val="21"/>
              </w:rPr>
            </w:pPr>
            <w:r>
              <w:rPr>
                <w:rFonts w:hint="eastAsia" w:asciiTheme="minorEastAsia" w:hAnsiTheme="minorEastAsia" w:eastAsiaTheme="minorEastAsia" w:cstheme="minorEastAsia"/>
                <w:b/>
                <w:color w:val="000000" w:themeColor="text1"/>
                <w:kern w:val="0"/>
                <w:szCs w:val="21"/>
              </w:rPr>
              <w:t>单价（元）</w:t>
            </w: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一、钢材及辅料</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镀锌板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1*1*1*125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方管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100*100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15方管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4米C型钢</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5米C型钢120</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75*50*250U型槽</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镀锌方管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30*30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镀锌方管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120*80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镀锌方管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40*40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花角铁</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花角铁螺丝</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三角片</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铁板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130*130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不锈钢方管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15*15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不锈钢活页</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付</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不锈钢链子</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不锈钢螺丝</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钢扁铁</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二、线缆及电料</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BVR软铜线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1.5mm2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BVR软铜线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2.5mm2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BVR软铜线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4mm2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BVR软铜线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6mm2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BVR软铜线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10mm2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BVR软铜线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16mm2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2*1.5mm2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2*2.5mm2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2*4mm2+2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3*1.5mm2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3*2.5mm2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3*2.5mm2+1</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3*4mm2+1</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3*6mm2+1</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3*16mm2+1</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3*16mm2+2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电缆线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3*25mm2+1</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橡套电缆</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YC 3*4+1</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橡套电缆</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YC 3*10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橡套电缆</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YC 3*70+2*35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橡套电缆</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YC 3*70+2*35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铝芯电缆</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VLV3*185+2*95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成套配电箱</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500*600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交流接触器</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1210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德力西断路器</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DZ47-125/IN:100A</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台式丝印机</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带线接线板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双排</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带线接线板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单排</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三、水暖器材</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PPR热熔器</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20㎜-63㎜</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Φ60mm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PPR带丝直接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PPR带丝直接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PPR带丝直接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PPR带丝直接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Φ60mm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PPR球阀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PPR球阀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PPR球阀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PPR球阀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Φ60mm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PPR三通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PPR三通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PPR三通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PPR三通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Φ60mm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PPR弯头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PPR弯头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PPR弯头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PPR弯头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Φ60mm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PPR变节头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PPR活接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PPR活接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PPR活接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PPR活接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Φ60mm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PPR堵头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PPR阀门</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PPR闸阀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Φ32mm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Φ16mm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Φ25mm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Φ100mm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Φ160mm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Φ16mm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Φ25mm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Φ100mm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Φ160mm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PVC三通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PVC弯头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Φ100mm-90度</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PVC弯头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Φ160mm-90度</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PVC弯头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Φ200mm-90度</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Φ25mm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Φ40mm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Φ100mm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Φ160mm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PVC直接</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Φ200mm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PVC变径接头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Φ50*20mm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PVC变径接头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Φ50*32mm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PVC变径接头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Φ50*40mm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PVC胶水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PVC卡子</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3cm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PVC卡子</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5cm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PVC波纹管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外径 Φ100mm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m</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63</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PPR内螺接头</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1寸</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64</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气管铜接头</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65</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热熔水管外丝直接</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66</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PP热熔器内外丝接头</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1寸</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67</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PVC-U热熔热水管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6分</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热水管</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69</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排水管卡</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四、劳保、小五金</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100燕尾钉</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150定向轮</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150万向轮</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1次性指套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L型 200个/包</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2*2.5平行线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200定向轮</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200万向轮</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50*50桥架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502胶水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6206轴承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AB胶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LED广场照明灯</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LED节能灯管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T5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LED日光灯</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LED日光灯</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PVC手指套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白纯棉手套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白带扣手套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百丽珠</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450ml罐</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箱</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板车内胎</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板车撬杠</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板车外胎</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半皮手套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半皮手套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保温桶水龙头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编制袋</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1.5m*1.2m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波纹管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玻璃胶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彩带灯</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插锁</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沉头十字木螺钉</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沉头十字木螺钉</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冲击钻头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创可贴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邦迪</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打包扣</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kg</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大插销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大功率电铃</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大挂锁</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大扫把</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大拖把</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带把门锁</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带盖小垃圾桶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发泡胶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发泡真空轮胎</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26X21/2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帆布手套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方块电池</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防滑手指套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白色大号</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袋</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防滑线手套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挂锁</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硅胶软管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2.5cm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柜子锁</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滚筒</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焊条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豪华家用增压泵</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嘉虹15WG-0.4-8</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口罩</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活动扳手</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活页</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家用不锈钢小汤勺</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家用大汤勺</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尖嘴钳</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剪刀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小剪刀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洁厕灵</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金属软管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近视眼镜</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100度</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京木牌起子</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快速接头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宽拖把</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木质</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框子</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垃圾袋</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拉马丁</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拉码</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蓝色pvc点胶手套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蓝色纱窗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蓝月亮洗手液</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劳保线手套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老虎夹子</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老花镜</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力车内胎</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力车外胎</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轮胎针钥匙</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螺帽</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螺栓</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螺丝</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梅花起子</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门栓不锈钢</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密封胶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棉手套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抹布</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公斤</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木柄横拖把</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木拖把</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60cm 一字型</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木拖把</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木拖把 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南孚电池</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内六角</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内六角</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内六角</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内六角扳手</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内六角螺杆</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内胎</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3.5-10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尼龙扎带</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尼龙扎带</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袋</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排笔</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0.8</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排笔</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排笔</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泡沫板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泡沫胶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泡沫双面胶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泡沫填充剂</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配套钢丝绳扣</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喷射泵</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1.5kw</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膨胀螺栓</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膨胀螺栓</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10*100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平板车定外轮</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普通黄油</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气泵式高压水枪</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气动脚踏板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气管钢接头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气管接头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气管快速接头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气枪</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墙板钉</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3.5*25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墙板钉</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3.5*35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墙板钉</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3.5*40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墙板钉</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墙壁挂衣钩</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清洁剂</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清洁球</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球型门锁</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日光灯镇流器</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三相热水器电源</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扫帚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砂纸</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粗砂纸</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砂纸</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十字木螺钉</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十字批头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十字起子</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20cm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实心板车轮</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配6206型轴承</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实心板车轮</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带钢圈</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试电笔</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手喷油漆</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手指套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数模插座</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刷子带把</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水车内胎</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水车外胎</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26*21/2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水泥钢钉</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塑料菜盒</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塑料凳</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塑料水管软管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4分</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塑料水瓢</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20cm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塑料烟缸</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塑料油壶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铁柄横拖把</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铁丝</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铜球阀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4分</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透明胶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透明皂</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拖车轮子</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瓦板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5m*7块</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平方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万向车轮 带刹车</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万向轮</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温度计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无鞋带球鞋</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洗脸池单水阀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金牛</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洗碗布</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洗衣粉</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大袋</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袋</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细砂纸</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线手套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线拖把</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小垃圾桶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小排笔</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小排笔</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中</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小排笔</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小扫帚</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高粱做</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小瓦条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1.0*1.5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斜口钳</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延时接线座</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燕尾钉</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钥匙扣</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一次性口罩</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厚</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一字起</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扎带</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袋</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扎带</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5*150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扎丝</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长柄长手刷</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针织布口罩</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真空胎</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3.5-10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条</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指甲剪</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轴承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6202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轴承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6204</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轴承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6206</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自攻六角尾钉</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自钻螺丝</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钻头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4.2</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气枪</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打包器</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LED投光灯</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200W</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雨衣</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工作服</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马甲 工作服</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环保材料雨衣</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套鞋</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206</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稀释剂</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20kg/桶 国华环保</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207</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纸胶布</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宽30mm</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208</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缠绕膜</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质量好，卷径大，内芯小，4卷/箱</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箱</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209</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汰渍洗衣粉</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800克/袋</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袋</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210</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一次性医用口罩</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211</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大扫把（竹子）</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212</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实心板车轮胎</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带轮毂</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明装开关</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214</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空开</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220V 40A 2P</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215</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空开</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220V 20A 2P</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216</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空开</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380V 63A  3P</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217</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空开</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380V 40A 3P</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218</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漏保空开</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380V 32A 4P</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219</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双面胶</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宽1.5cm</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限位开关</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OMRON V-153-1C25 1185RE8</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221</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PVC绝缘胶布</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密胺长柄汤勺</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搅拌胶水用 加长</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零线排</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安装于配电箱内</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地线排</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安装于配电箱内</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225</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三脚插头</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10A*H-231-250V</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226</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十字槽沉头木螺钉</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4*40mm</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铝扣钢丝绳</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φ3cm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228</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锁搭扣</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150mm长</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229</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U形紧索扣</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紧固∅8mm丝索</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230</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开式索具螺旋扣</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C0型 长约30cm</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231</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气管尖嘴</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2分</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继电器</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japan。5A.250VAC~5A.240VAC,5A.28VDC;12个/盒</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盒</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阻燃绝缘PVC电工波纹套管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捆</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234</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CD60型电容</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80WF AC220V</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生胶带</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236</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镀塑钢丝绳</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Φ3mm</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237</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∮1.2护套软钢丝</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细，有塑料护套（防扎手）</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kern w:val="0"/>
                <w:szCs w:val="21"/>
              </w:rPr>
              <w:t>五、备杂用品</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白乳胶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汉高508T胶水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有机玻璃</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0.3</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有机玻璃</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0.5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纤维板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三角形彩带</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丝网板夹</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丝质黄布</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宽1.5m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洒水壶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三合板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耐高温高速黄油</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蓝色 1Kg/罐</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罐</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耐高温润滑油</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耐力板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酒精</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30Kg</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开口机绒布</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开水器浮球阀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开水器用软管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1米左右/根</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凯日达牌自动开关</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HX-120W</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拷贝纸</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38*25cm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拷贝纸</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52*37</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拷贝纸</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38*28</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加厚防滑垫</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加厚吸水垫</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加热器</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5kw</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黄色地面胶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红色防滑垫</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红色防滑垫小</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红色吸水垫</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喉卡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蝴蝶夹</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海绵</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240cm*120cm*2cm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400*300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白猫洗洁精</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白色大脸盆</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彩花</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包</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大塑料箱</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刀片</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片</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刀片刺丝</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刀片丝架子</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灯带插头</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点胶瓶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250ml</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电池</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5号</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电池</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7号</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电子秤30kg</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电子台秤0.1g</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垫箱纸</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雕牌透明皂 小块</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4.8*9*2.3cm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箱</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镀塑钢丝绳</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3MM</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镀锌洒水壶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15L/个</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蹲式马桶冲水器</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防爆灯</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150w</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防护板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平方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防滑螺帽</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m5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防火板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3.7 4.78 2.65</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平方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干湿温度计</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钢丝球</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古田丝网板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大网眼</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刮板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米</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508（T100）胶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5Kw电热风机</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3Kw电热风机</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75防火板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4.78*42 3.7*66</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平方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78防火板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平方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64</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80线拖把</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把</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8位空开盒</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A4硬垫板</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护手霜</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减压阀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带配件</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69</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气动脚踏开关</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纸杯</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大号</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箱</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排风扇</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正野30*30</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台</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电磁阀</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73</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刀片刺丝</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件</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74</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电水壶</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6L</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75</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记号笔</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ZEBIFA油性蓝色</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支</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76</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空开铁支架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60cm长</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根</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77</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地线桩</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heme="minorEastAsia" w:hAnsiTheme="minorEastAsia" w:eastAsiaTheme="minorEastAsia" w:cstheme="minorEastAsia"/>
                <w:color w:val="000000" w:themeColor="text1"/>
                <w:szCs w:val="21"/>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78</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塑料大油桶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做水车用</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79</w:t>
            </w:r>
          </w:p>
        </w:tc>
        <w:tc>
          <w:tcPr>
            <w:tcW w:w="10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不锈钢保温桶</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70L</w:t>
            </w:r>
          </w:p>
        </w:tc>
        <w:tc>
          <w:tcPr>
            <w:tcW w:w="5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80</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热熔过胶机铜刀头</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机器生产厂家采购；质量好</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片</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90"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81</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一次性纸箱内衬内膜包装袋</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960cm*850cm，密封性好，无刺激性气味</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个</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437" w:hRule="atLeast"/>
        </w:trPr>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8</w:t>
            </w:r>
            <w:r>
              <w:rPr>
                <w:rFonts w:hint="eastAsia" w:asciiTheme="minorEastAsia" w:hAnsiTheme="minorEastAsia" w:cstheme="minorEastAsia"/>
                <w:color w:val="000000" w:themeColor="text1"/>
                <w:kern w:val="0"/>
                <w:szCs w:val="21"/>
                <w:lang w:val="en-US" w:eastAsia="zh-CN"/>
              </w:rPr>
              <w:t>2</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Cs w:val="21"/>
              </w:rPr>
            </w:pPr>
            <w:r>
              <w:rPr>
                <w:rFonts w:hint="eastAsia" w:asciiTheme="minorEastAsia" w:hAnsiTheme="minorEastAsia" w:cstheme="minorEastAsia"/>
                <w:color w:val="000000" w:themeColor="text1"/>
                <w:kern w:val="0"/>
                <w:szCs w:val="21"/>
                <w:lang w:val="en-US" w:eastAsia="zh-CN"/>
              </w:rPr>
              <w:t>烟盒食品盒专用胶水</w:t>
            </w:r>
          </w:p>
        </w:tc>
        <w:tc>
          <w:tcPr>
            <w:tcW w:w="7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Cs w:val="21"/>
              </w:rPr>
            </w:pPr>
            <w:r>
              <w:rPr>
                <w:rFonts w:hint="eastAsia" w:asciiTheme="minorEastAsia" w:hAnsiTheme="minorEastAsia" w:cstheme="minorEastAsia"/>
                <w:color w:val="000000" w:themeColor="text1"/>
                <w:kern w:val="0"/>
                <w:szCs w:val="21"/>
                <w:lang w:val="en-US" w:eastAsia="zh-CN"/>
              </w:rPr>
              <w:t>PV-9098</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Cs w:val="21"/>
              </w:rPr>
            </w:pPr>
            <w:r>
              <w:rPr>
                <w:rFonts w:hint="eastAsia" w:asciiTheme="minorEastAsia" w:hAnsiTheme="minorEastAsia" w:cstheme="minorEastAsia"/>
                <w:color w:val="000000" w:themeColor="text1"/>
                <w:kern w:val="0"/>
                <w:szCs w:val="21"/>
                <w:lang w:eastAsia="zh-CN"/>
              </w:rPr>
              <w:t>公斤</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r>
        <w:tblPrEx>
          <w:tblCellMar>
            <w:top w:w="0" w:type="dxa"/>
            <w:left w:w="0" w:type="dxa"/>
            <w:bottom w:w="0" w:type="dxa"/>
            <w:right w:w="0" w:type="dxa"/>
          </w:tblCellMar>
        </w:tblPrEx>
        <w:trPr>
          <w:trHeight w:val="580" w:hRule="atLeast"/>
        </w:trPr>
        <w:tc>
          <w:tcPr>
            <w:tcW w:w="445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themeColor="text1"/>
                <w:kern w:val="0"/>
                <w:szCs w:val="21"/>
                <w:lang w:eastAsia="zh-CN"/>
              </w:rPr>
            </w:pPr>
            <w:r>
              <w:rPr>
                <w:rFonts w:hint="eastAsia" w:asciiTheme="minorEastAsia" w:hAnsiTheme="minorEastAsia" w:eastAsiaTheme="minorEastAsia" w:cstheme="minorEastAsia"/>
                <w:color w:val="000000" w:themeColor="text1"/>
                <w:kern w:val="0"/>
                <w:szCs w:val="21"/>
                <w:lang w:eastAsia="zh-CN"/>
              </w:rPr>
              <w:t>合计</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heme="minorEastAsia" w:hAnsiTheme="minorEastAsia" w:eastAsiaTheme="minorEastAsia" w:cstheme="minorEastAsia"/>
                <w:color w:val="000000" w:themeColor="text1"/>
                <w:kern w:val="0"/>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1"/>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1"/>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1"/>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如果不提供详细的报价费用构成可能将被视为没有实质性响应磋商文件。</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bookmarkStart w:id="234" w:name="_GoBack"/>
      <w:bookmarkEnd w:id="234"/>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8" w:name="_Toc479184130"/>
      <w:bookmarkStart w:id="159" w:name="_Toc28656"/>
      <w:bookmarkStart w:id="160" w:name="_Toc26825"/>
      <w:bookmarkStart w:id="161" w:name="_Toc14049"/>
      <w:r>
        <w:rPr>
          <w:rFonts w:hint="eastAsia" w:asciiTheme="minorEastAsia" w:hAnsiTheme="minorEastAsia" w:eastAsiaTheme="minorEastAsia" w:cstheme="minorEastAsia"/>
          <w:b/>
          <w:bCs/>
          <w:szCs w:val="21"/>
        </w:rPr>
        <w:t>六、耗材清单</w:t>
      </w:r>
      <w:bookmarkEnd w:id="158"/>
      <w:bookmarkEnd w:id="159"/>
      <w:bookmarkEnd w:id="160"/>
      <w:bookmarkEnd w:id="161"/>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2" w:name="_Toc32726"/>
      <w:bookmarkStart w:id="163" w:name="_Toc7535"/>
      <w:bookmarkStart w:id="164" w:name="_Toc479184131"/>
      <w:bookmarkStart w:id="165" w:name="_Toc11978"/>
      <w:r>
        <w:rPr>
          <w:rFonts w:hint="eastAsia" w:asciiTheme="minorEastAsia" w:hAnsiTheme="minorEastAsia" w:eastAsiaTheme="minorEastAsia" w:cstheme="minorEastAsia"/>
          <w:b/>
          <w:bCs/>
          <w:szCs w:val="21"/>
        </w:rPr>
        <w:t>七、拟投入设备/备件、工具情况</w:t>
      </w:r>
      <w:bookmarkEnd w:id="162"/>
      <w:bookmarkEnd w:id="163"/>
      <w:bookmarkEnd w:id="164"/>
      <w:bookmarkEnd w:id="165"/>
    </w:p>
    <w:p>
      <w:pPr>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6" w:name="_Toc450827818"/>
      <w:bookmarkStart w:id="167" w:name="_Toc479184132"/>
      <w:bookmarkStart w:id="168" w:name="_Toc10449"/>
      <w:bookmarkStart w:id="169" w:name="_Toc27053"/>
      <w:bookmarkStart w:id="170" w:name="_Toc13778"/>
      <w:r>
        <w:rPr>
          <w:rFonts w:hint="eastAsia" w:asciiTheme="minorEastAsia" w:hAnsiTheme="minorEastAsia" w:eastAsiaTheme="minorEastAsia" w:cstheme="minorEastAsia"/>
          <w:b/>
          <w:bCs/>
          <w:szCs w:val="21"/>
        </w:rPr>
        <w:t>八、缴纳保证金的银行凭证</w:t>
      </w:r>
      <w:bookmarkEnd w:id="166"/>
      <w:bookmarkEnd w:id="167"/>
      <w:bookmarkEnd w:id="168"/>
      <w:bookmarkEnd w:id="169"/>
      <w:r>
        <w:rPr>
          <w:rFonts w:hint="eastAsia" w:asciiTheme="minorEastAsia" w:hAnsiTheme="minorEastAsia" w:eastAsiaTheme="minorEastAsia" w:cstheme="minorEastAsia"/>
          <w:b/>
          <w:bCs/>
          <w:szCs w:val="21"/>
        </w:rPr>
        <w:t>（如有）</w:t>
      </w:r>
      <w:bookmarkEnd w:id="170"/>
    </w:p>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51"/>
    <w:bookmarkEnd w:id="152"/>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71" w:name="_Toc479184133"/>
      <w:bookmarkStart w:id="172" w:name="_Toc422466736"/>
      <w:bookmarkStart w:id="173" w:name="_Toc28200"/>
      <w:bookmarkStart w:id="174" w:name="_Toc432149012"/>
      <w:bookmarkStart w:id="175" w:name="_Toc1591"/>
      <w:bookmarkStart w:id="176" w:name="_Toc2274"/>
      <w:r>
        <w:rPr>
          <w:rFonts w:hint="eastAsia" w:asciiTheme="minorEastAsia" w:hAnsiTheme="minorEastAsia" w:eastAsiaTheme="minorEastAsia" w:cstheme="minorEastAsia"/>
          <w:b/>
          <w:bCs/>
          <w:szCs w:val="21"/>
        </w:rPr>
        <w:t>九、偏离说明表</w:t>
      </w:r>
      <w:bookmarkEnd w:id="171"/>
      <w:bookmarkEnd w:id="172"/>
      <w:bookmarkEnd w:id="173"/>
      <w:bookmarkEnd w:id="174"/>
      <w:bookmarkEnd w:id="175"/>
      <w:bookmarkEnd w:id="176"/>
    </w:p>
    <w:p>
      <w:pPr>
        <w:adjustRightInd w:val="0"/>
        <w:snapToGrid w:val="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color="auto" w:fill="D7D7D7" w:themeFill="background1" w:themeFillShade="D8"/>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2"/>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2"/>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7" w:name="_Toc432149013"/>
      <w:bookmarkStart w:id="178" w:name="_Toc32060"/>
      <w:bookmarkStart w:id="179" w:name="_Toc479184134"/>
      <w:bookmarkStart w:id="180" w:name="_Toc362935521"/>
      <w:bookmarkStart w:id="181" w:name="_Toc28283"/>
      <w:bookmarkStart w:id="182" w:name="_Toc31207"/>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77"/>
      <w:bookmarkEnd w:id="178"/>
      <w:bookmarkEnd w:id="179"/>
      <w:bookmarkEnd w:id="180"/>
      <w:bookmarkEnd w:id="181"/>
      <w:r>
        <w:rPr>
          <w:rFonts w:hint="eastAsia" w:asciiTheme="minorEastAsia" w:hAnsiTheme="minorEastAsia" w:eastAsiaTheme="minorEastAsia" w:cstheme="minorEastAsia"/>
          <w:b/>
          <w:bCs/>
          <w:szCs w:val="21"/>
        </w:rPr>
        <w:br w:type="textWrapping"/>
      </w:r>
      <w:bookmarkEnd w:id="182"/>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序号</w:t>
            </w:r>
          </w:p>
        </w:tc>
        <w:tc>
          <w:tcPr>
            <w:tcW w:w="1330"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771"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96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768"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756"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1176"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21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中标公告网页链接（如有）</w:t>
            </w:r>
          </w:p>
        </w:tc>
        <w:tc>
          <w:tcPr>
            <w:tcW w:w="101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是否投</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入使用</w:t>
            </w:r>
          </w:p>
        </w:tc>
        <w:tc>
          <w:tcPr>
            <w:tcW w:w="59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30"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6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68"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75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7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01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599"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2.公开竞标成交的类似业绩，还应提供成交/中标公告网页链接。</w:t>
      </w:r>
    </w:p>
    <w:p>
      <w:pPr>
        <w:spacing w:line="360" w:lineRule="auto"/>
        <w:rPr>
          <w:rFonts w:asciiTheme="minorEastAsia" w:hAnsiTheme="minorEastAsia" w:eastAsiaTheme="minorEastAsia" w:cstheme="minorEastAsia"/>
          <w:szCs w:val="21"/>
        </w:rPr>
      </w:pPr>
      <w:bookmarkStart w:id="183" w:name="_Toc460258118"/>
      <w:bookmarkStart w:id="184" w:name="_Toc454806053"/>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5" w:name="_Toc4834"/>
      <w:bookmarkStart w:id="186" w:name="_Toc30455"/>
      <w:bookmarkStart w:id="187" w:name="_Toc479184135"/>
      <w:bookmarkStart w:id="188" w:name="_Toc16425"/>
      <w:r>
        <w:rPr>
          <w:rFonts w:hint="eastAsia" w:asciiTheme="minorEastAsia" w:hAnsiTheme="minorEastAsia" w:eastAsiaTheme="minorEastAsia" w:cstheme="minorEastAsia"/>
          <w:b/>
          <w:bCs/>
          <w:szCs w:val="21"/>
        </w:rPr>
        <w:t>十一、拟投入项目组人员一览表</w:t>
      </w:r>
      <w:bookmarkEnd w:id="183"/>
      <w:bookmarkEnd w:id="184"/>
      <w:bookmarkEnd w:id="185"/>
      <w:bookmarkEnd w:id="186"/>
      <w:bookmarkEnd w:id="187"/>
      <w:bookmarkEnd w:id="188"/>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9" w:name="_Toc22945"/>
      <w:bookmarkStart w:id="190" w:name="_Toc479184136"/>
      <w:bookmarkStart w:id="191" w:name="_Toc432149014"/>
      <w:bookmarkStart w:id="192" w:name="_Toc10429"/>
      <w:bookmarkStart w:id="193" w:name="_Toc26838"/>
      <w:bookmarkStart w:id="194" w:name="_Toc422466737"/>
      <w:r>
        <w:rPr>
          <w:rFonts w:hint="eastAsia" w:asciiTheme="minorEastAsia" w:hAnsiTheme="minorEastAsia" w:eastAsiaTheme="minorEastAsia" w:cstheme="minorEastAsia"/>
          <w:b/>
          <w:bCs/>
          <w:kern w:val="0"/>
          <w:szCs w:val="21"/>
        </w:rPr>
        <w:t>十二、</w:t>
      </w:r>
      <w:r>
        <w:rPr>
          <w:rFonts w:hint="eastAsia" w:asciiTheme="minorEastAsia" w:hAnsiTheme="minorEastAsia" w:eastAsiaTheme="minorEastAsia" w:cstheme="minorEastAsia"/>
          <w:b/>
          <w:bCs/>
          <w:szCs w:val="21"/>
        </w:rPr>
        <w:t>供应商的资格声明</w:t>
      </w:r>
      <w:bookmarkEnd w:id="189"/>
      <w:bookmarkEnd w:id="190"/>
      <w:bookmarkEnd w:id="191"/>
      <w:bookmarkEnd w:id="192"/>
      <w:bookmarkEnd w:id="193"/>
      <w:bookmarkEnd w:id="194"/>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5" w:name="_Toc450827823"/>
      <w:bookmarkStart w:id="196" w:name="_Toc24556"/>
      <w:bookmarkStart w:id="197" w:name="_Toc479184137"/>
      <w:bookmarkStart w:id="198" w:name="_Toc17527"/>
      <w:bookmarkStart w:id="199" w:name="_Toc17331"/>
      <w:bookmarkStart w:id="200" w:name="_Toc259028731"/>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资格证明文件</w:t>
      </w:r>
      <w:bookmarkEnd w:id="195"/>
      <w:bookmarkEnd w:id="196"/>
      <w:bookmarkEnd w:id="197"/>
      <w:bookmarkEnd w:id="198"/>
      <w:bookmarkEnd w:id="199"/>
      <w:bookmarkEnd w:id="200"/>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88" w:leftChars="-42"/>
        <w:jc w:val="center"/>
        <w:rPr>
          <w:rFonts w:asciiTheme="minorEastAsia" w:hAnsiTheme="minorEastAsia" w:eastAsiaTheme="minorEastAsia" w:cstheme="minorEastAsia"/>
          <w:szCs w:val="21"/>
        </w:rPr>
      </w:pPr>
    </w:p>
    <w:p>
      <w:pPr>
        <w:spacing w:line="360" w:lineRule="auto"/>
        <w:ind w:left="168" w:leftChars="8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01" w:name="_Toc18555"/>
      <w:bookmarkStart w:id="202" w:name="_Toc290207179"/>
      <w:bookmarkStart w:id="203" w:name="_Toc32187"/>
      <w:bookmarkStart w:id="204" w:name="_Toc364868916"/>
      <w:bookmarkStart w:id="205" w:name="_Toc358447587"/>
      <w:bookmarkStart w:id="206" w:name="_Toc427239751"/>
      <w:bookmarkStart w:id="207" w:name="_Toc5793"/>
      <w:r>
        <w:rPr>
          <w:rFonts w:hint="eastAsia" w:asciiTheme="minorEastAsia" w:hAnsiTheme="minorEastAsia" w:eastAsiaTheme="minorEastAsia" w:cstheme="minorEastAsia"/>
          <w:b/>
          <w:bCs/>
          <w:kern w:val="0"/>
          <w:szCs w:val="21"/>
        </w:rPr>
        <w:t>十四、</w:t>
      </w:r>
      <w:bookmarkEnd w:id="201"/>
      <w:bookmarkEnd w:id="202"/>
      <w:bookmarkEnd w:id="203"/>
      <w:bookmarkEnd w:id="204"/>
      <w:bookmarkEnd w:id="205"/>
      <w:bookmarkEnd w:id="206"/>
      <w:bookmarkEnd w:id="207"/>
      <w:bookmarkStart w:id="208" w:name="_Toc27229"/>
      <w:bookmarkStart w:id="209" w:name="_Toc460258123"/>
      <w:bookmarkStart w:id="210" w:name="_Toc29785"/>
      <w:bookmarkStart w:id="211" w:name="_Toc479184138"/>
      <w:r>
        <w:rPr>
          <w:rFonts w:hint="eastAsia" w:asciiTheme="minorEastAsia" w:hAnsiTheme="minorEastAsia" w:eastAsiaTheme="minorEastAsia" w:cstheme="minorEastAsia"/>
          <w:b/>
        </w:rPr>
        <w:t>报价技术文件</w:t>
      </w:r>
      <w:bookmarkEnd w:id="208"/>
      <w:bookmarkEnd w:id="209"/>
      <w:bookmarkEnd w:id="210"/>
      <w:bookmarkEnd w:id="211"/>
    </w:p>
    <w:p>
      <w:pPr>
        <w:rPr>
          <w:rFonts w:asciiTheme="minorEastAsia" w:hAnsiTheme="minorEastAsia" w:eastAsiaTheme="minorEastAsia" w:cstheme="minorEastAsia"/>
          <w:szCs w:val="21"/>
        </w:rPr>
      </w:pPr>
    </w:p>
    <w:p>
      <w:pPr>
        <w:pStyle w:val="97"/>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numPr>
          <w:ilvl w:val="1"/>
          <w:numId w:val="43"/>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3"/>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3"/>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3"/>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3"/>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3"/>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12" w:name="_Toc22465"/>
      <w:bookmarkStart w:id="213" w:name="_Toc2101"/>
      <w:bookmarkStart w:id="214" w:name="_Toc356836516"/>
      <w:bookmarkStart w:id="215" w:name="_Toc8098"/>
      <w:bookmarkStart w:id="216" w:name="_Toc479184140"/>
      <w:bookmarkStart w:id="217" w:name="_Toc422466739"/>
      <w:bookmarkStart w:id="218" w:name="_Toc12119"/>
      <w:bookmarkStart w:id="219" w:name="_Toc355802499"/>
      <w:bookmarkStart w:id="220" w:name="_Toc432149016"/>
      <w:bookmarkStart w:id="221" w:name="_Toc20131"/>
      <w:r>
        <w:rPr>
          <w:rFonts w:hint="eastAsia" w:asciiTheme="minorEastAsia" w:hAnsiTheme="minorEastAsia" w:eastAsiaTheme="minorEastAsia" w:cstheme="minorEastAsia"/>
          <w:b/>
        </w:rPr>
        <w:t>十五、中小企业声明函</w:t>
      </w:r>
      <w:bookmarkEnd w:id="212"/>
      <w:bookmarkEnd w:id="213"/>
      <w:bookmarkEnd w:id="214"/>
      <w:bookmarkEnd w:id="215"/>
      <w:bookmarkEnd w:id="216"/>
      <w:bookmarkEnd w:id="217"/>
      <w:bookmarkEnd w:id="218"/>
      <w:bookmarkEnd w:id="219"/>
      <w:bookmarkEnd w:id="220"/>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1"/>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22" w:name="OLE_LINK5"/>
      <w:r>
        <w:rPr>
          <w:rFonts w:hint="eastAsia" w:asciiTheme="minorEastAsia" w:hAnsiTheme="minorEastAsia" w:eastAsiaTheme="minorEastAsia" w:cstheme="minorEastAsia"/>
          <w:spacing w:val="6"/>
          <w:szCs w:val="21"/>
        </w:rPr>
        <w:t>______（请填写：中型、小型、微型）企业</w:t>
      </w:r>
      <w:bookmarkEnd w:id="222"/>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4"/>
        </w:numPr>
        <w:spacing w:line="360" w:lineRule="auto"/>
        <w:ind w:firstLine="446" w:firstLineChars="200"/>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numPr>
          <w:ilvl w:val="0"/>
          <w:numId w:val="44"/>
        </w:numPr>
        <w:spacing w:line="360" w:lineRule="auto"/>
        <w:ind w:firstLine="446" w:firstLineChars="200"/>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spacing w:line="360" w:lineRule="auto"/>
        <w:ind w:firstLine="44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asciiTheme="minorEastAsia" w:hAnsiTheme="minorEastAsia" w:eastAsiaTheme="minorEastAsia" w:cstheme="minorEastAsia"/>
          <w:spacing w:val="6"/>
          <w:szCs w:val="21"/>
        </w:rPr>
      </w:pPr>
    </w:p>
    <w:p>
      <w:pPr>
        <w:autoSpaceDE w:val="0"/>
        <w:autoSpaceDN w:val="0"/>
        <w:adjustRightInd w:val="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22"/>
    <w:bookmarkEnd w:id="123"/>
    <w:bookmarkEnd w:id="124"/>
    <w:bookmarkEnd w:id="125"/>
    <w:p>
      <w:pPr>
        <w:adjustRightInd w:val="0"/>
        <w:snapToGrid w:val="0"/>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23" w:name="_Toc20647"/>
      <w:bookmarkStart w:id="224" w:name="_Toc479184141"/>
      <w:bookmarkStart w:id="225" w:name="_Toc7229"/>
      <w:bookmarkStart w:id="226" w:name="_Toc4320"/>
      <w:bookmarkStart w:id="227" w:name="_Toc30406"/>
      <w:bookmarkStart w:id="228" w:name="_Toc476839034"/>
      <w:r>
        <w:rPr>
          <w:rFonts w:hint="eastAsia" w:asciiTheme="minorEastAsia" w:hAnsiTheme="minorEastAsia" w:eastAsiaTheme="minorEastAsia" w:cstheme="minorEastAsia"/>
          <w:b/>
          <w:bCs/>
          <w:spacing w:val="6"/>
          <w:szCs w:val="21"/>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3"/>
    </w:p>
    <w:p>
      <w:pPr>
        <w:adjustRightInd w:val="0"/>
        <w:snapToGrid w:val="0"/>
        <w:jc w:val="center"/>
        <w:rPr>
          <w:rFonts w:asciiTheme="minorEastAsia" w:hAnsiTheme="minorEastAsia" w:eastAsiaTheme="minorEastAsia" w:cstheme="minorEastAsia"/>
          <w:spacing w:val="6"/>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r>
        <w:rPr>
          <w:rFonts w:hint="eastAsia" w:asciiTheme="minorEastAsia" w:hAnsiTheme="minorEastAsia" w:eastAsiaTheme="minorEastAsia" w:cstheme="minorEastAsia"/>
          <w:szCs w:val="21"/>
          <w:u w:val="single"/>
        </w:rPr>
        <w:t xml:space="preserve">                        </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r>
        <w:rPr>
          <w:rFonts w:hint="eastAsia" w:asciiTheme="minorEastAsia" w:hAnsiTheme="minorEastAsia" w:eastAsiaTheme="minorEastAsia" w:cstheme="minorEastAsia"/>
          <w:szCs w:val="21"/>
          <w:u w:val="single"/>
        </w:rPr>
        <w:t xml:space="preserve">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adjustRightInd w:val="0"/>
        <w:snapToGrid w:val="0"/>
        <w:jc w:val="center"/>
        <w:outlineLvl w:val="1"/>
        <w:rPr>
          <w:rFonts w:asciiTheme="minorEastAsia" w:hAnsiTheme="minorEastAsia" w:eastAsiaTheme="minorEastAsia" w:cstheme="minorEastAsia"/>
          <w:b/>
          <w:lang w:val="zh-CN"/>
        </w:rPr>
      </w:pPr>
      <w:bookmarkStart w:id="229" w:name="_Toc10065"/>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rPr>
        <w:t>十七、</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9"/>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（供应商）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 xml:space="preserve">     （采购人）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4"/>
        <w:spacing w:line="360" w:lineRule="auto"/>
        <w:ind w:left="1033" w:leftChars="342" w:hanging="315" w:hangingChars="150"/>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备注：享受政府采购支持政策的残疾人福利性单位应当同时满足以下条件：</w:t>
      </w:r>
    </w:p>
    <w:p>
      <w:pPr>
        <w:numPr>
          <w:ilvl w:val="0"/>
          <w:numId w:val="45"/>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安置的残疾人占本单位在职职工人数的比例不低于 25%（含 25%），并且安置的残疾人人数不少于 10 人（含 10 人）；</w:t>
      </w:r>
    </w:p>
    <w:p>
      <w:pPr>
        <w:numPr>
          <w:ilvl w:val="0"/>
          <w:numId w:val="45"/>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依法与安置的每位残疾人签订了一年以上（含一年）的劳动合同或服务协议；</w:t>
      </w:r>
    </w:p>
    <w:p>
      <w:pPr>
        <w:numPr>
          <w:ilvl w:val="0"/>
          <w:numId w:val="45"/>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为安置的每位残疾人按月足额缴纳了基本养老保险、基本医疗保险、失业保险、工伤保险和生育保险等社会保险费；</w:t>
      </w:r>
    </w:p>
    <w:p>
      <w:pPr>
        <w:numPr>
          <w:ilvl w:val="0"/>
          <w:numId w:val="45"/>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通过银行等金融机构向安置的每位残疾人，按月支付了不低于单位所在区县适用的经省级人民政府批准的月最低工资标准的工资；</w:t>
      </w:r>
    </w:p>
    <w:p>
      <w:pPr>
        <w:numPr>
          <w:ilvl w:val="0"/>
          <w:numId w:val="45"/>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30" w:name="_Toc30620"/>
      <w:r>
        <w:rPr>
          <w:rFonts w:hint="eastAsia" w:asciiTheme="minorEastAsia" w:hAnsiTheme="minorEastAsia" w:eastAsiaTheme="minorEastAsia" w:cstheme="minorEastAsia"/>
          <w:b/>
        </w:rPr>
        <w:t>十八、节能环保产品证明材料（若符合）</w:t>
      </w:r>
      <w:bookmarkEnd w:id="230"/>
    </w:p>
    <w:p>
      <w:pPr>
        <w:adjustRightInd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spacing w:before="100" w:beforeAutospacing="1" w:after="100" w:afterAutospacing="1"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asciiTheme="minorEastAsia" w:hAnsiTheme="minorEastAsia" w:eastAsiaTheme="minorEastAsia" w:cstheme="minorEastAsia"/>
          <w:b/>
        </w:rPr>
      </w:pPr>
      <w:bookmarkStart w:id="231" w:name="_Toc2706"/>
      <w:r>
        <w:rPr>
          <w:rFonts w:hint="eastAsia" w:asciiTheme="minorEastAsia" w:hAnsiTheme="minorEastAsia" w:eastAsiaTheme="minorEastAsia" w:cstheme="minorEastAsia"/>
          <w:b/>
          <w:bCs/>
          <w:spacing w:val="6"/>
          <w:szCs w:val="21"/>
        </w:rPr>
        <w:t>十九、</w:t>
      </w:r>
      <w:r>
        <w:rPr>
          <w:rFonts w:hint="eastAsia" w:asciiTheme="minorEastAsia" w:hAnsiTheme="minorEastAsia" w:eastAsiaTheme="minorEastAsia" w:cstheme="minorEastAsia"/>
          <w:b/>
        </w:rPr>
        <w:t>无重大违法记录声明</w:t>
      </w:r>
      <w:bookmarkEnd w:id="224"/>
      <w:bookmarkEnd w:id="225"/>
      <w:bookmarkEnd w:id="226"/>
      <w:bookmarkEnd w:id="227"/>
      <w:bookmarkEnd w:id="228"/>
      <w:bookmarkEnd w:id="231"/>
    </w:p>
    <w:p>
      <w:pPr>
        <w:spacing w:line="48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（磋商供应商应在此基础上，根据本单位实际情况进行声明）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line="360" w:lineRule="auto"/>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szCs w:val="21"/>
          <w:lang w:val="zh-CN"/>
        </w:rPr>
        <w:t>时                 间：           年          月          日</w:t>
      </w:r>
      <w:r>
        <w:rPr>
          <w:rFonts w:hint="eastAsia" w:asciiTheme="minorEastAsia" w:hAnsiTheme="minorEastAsia" w:eastAsiaTheme="minorEastAsia" w:cstheme="minorEastAsia"/>
          <w:szCs w:val="21"/>
        </w:rPr>
        <w:t xml:space="preserve"> </w:t>
      </w:r>
    </w:p>
    <w:p>
      <w:pPr>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asciiTheme="minorEastAsia" w:hAnsiTheme="minorEastAsia" w:eastAsiaTheme="minorEastAsia" w:cstheme="minorEastAsia"/>
          <w:spacing w:val="6"/>
          <w:szCs w:val="21"/>
        </w:rPr>
      </w:pPr>
      <w:bookmarkStart w:id="232" w:name="_Toc10829"/>
      <w:bookmarkStart w:id="233" w:name="_Toc1054"/>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rPr>
        <w:t>二十、磋商供应商认为应该提交的其它文件（格式自拟）</w:t>
      </w:r>
      <w:bookmarkEnd w:id="232"/>
      <w:bookmarkEnd w:id="233"/>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38</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8240;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4">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7">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1">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2">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9">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4">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7"/>
  </w:num>
  <w:num w:numId="2">
    <w:abstractNumId w:val="10"/>
  </w:num>
  <w:num w:numId="3">
    <w:abstractNumId w:val="18"/>
  </w:num>
  <w:num w:numId="4">
    <w:abstractNumId w:val="27"/>
  </w:num>
  <w:num w:numId="5">
    <w:abstractNumId w:val="13"/>
  </w:num>
  <w:num w:numId="6">
    <w:abstractNumId w:val="12"/>
  </w:num>
  <w:num w:numId="7">
    <w:abstractNumId w:val="1"/>
  </w:num>
  <w:num w:numId="8">
    <w:abstractNumId w:val="31"/>
  </w:num>
  <w:num w:numId="9">
    <w:abstractNumId w:val="15"/>
  </w:num>
  <w:num w:numId="10">
    <w:abstractNumId w:val="8"/>
  </w:num>
  <w:num w:numId="11">
    <w:abstractNumId w:val="14"/>
  </w:num>
  <w:num w:numId="12">
    <w:abstractNumId w:val="33"/>
  </w:num>
  <w:num w:numId="13">
    <w:abstractNumId w:val="43"/>
  </w:num>
  <w:num w:numId="14">
    <w:abstractNumId w:val="44"/>
  </w:num>
  <w:num w:numId="15">
    <w:abstractNumId w:val="26"/>
  </w:num>
  <w:num w:numId="16">
    <w:abstractNumId w:val="29"/>
  </w:num>
  <w:num w:numId="17">
    <w:abstractNumId w:val="32"/>
  </w:num>
  <w:num w:numId="18">
    <w:abstractNumId w:val="34"/>
  </w:num>
  <w:num w:numId="19">
    <w:abstractNumId w:val="3"/>
  </w:num>
  <w:num w:numId="20">
    <w:abstractNumId w:val="36"/>
  </w:num>
  <w:num w:numId="21">
    <w:abstractNumId w:val="5"/>
  </w:num>
  <w:num w:numId="22">
    <w:abstractNumId w:val="24"/>
  </w:num>
  <w:num w:numId="23">
    <w:abstractNumId w:val="20"/>
  </w:num>
  <w:num w:numId="24">
    <w:abstractNumId w:val="39"/>
  </w:num>
  <w:num w:numId="25">
    <w:abstractNumId w:val="11"/>
  </w:num>
  <w:num w:numId="26">
    <w:abstractNumId w:val="25"/>
  </w:num>
  <w:num w:numId="27">
    <w:abstractNumId w:val="7"/>
  </w:num>
  <w:num w:numId="28">
    <w:abstractNumId w:val="38"/>
  </w:num>
  <w:num w:numId="29">
    <w:abstractNumId w:val="42"/>
  </w:num>
  <w:num w:numId="30">
    <w:abstractNumId w:val="28"/>
  </w:num>
  <w:num w:numId="31">
    <w:abstractNumId w:val="22"/>
  </w:num>
  <w:num w:numId="32">
    <w:abstractNumId w:val="9"/>
  </w:num>
  <w:num w:numId="33">
    <w:abstractNumId w:val="19"/>
  </w:num>
  <w:num w:numId="34">
    <w:abstractNumId w:val="41"/>
  </w:num>
  <w:num w:numId="35">
    <w:abstractNumId w:val="23"/>
  </w:num>
  <w:num w:numId="36">
    <w:abstractNumId w:val="40"/>
  </w:num>
  <w:num w:numId="37">
    <w:abstractNumId w:val="35"/>
  </w:num>
  <w:num w:numId="38">
    <w:abstractNumId w:val="16"/>
  </w:num>
  <w:num w:numId="39">
    <w:abstractNumId w:val="30"/>
  </w:num>
  <w:num w:numId="40">
    <w:abstractNumId w:val="2"/>
  </w:num>
  <w:num w:numId="41">
    <w:abstractNumId w:val="17"/>
  </w:num>
  <w:num w:numId="42">
    <w:abstractNumId w:val="21"/>
  </w:num>
  <w:num w:numId="43">
    <w:abstractNumId w:val="6"/>
  </w:num>
  <w:num w:numId="44">
    <w:abstractNumId w:val="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6190"/>
    <w:rsid w:val="00176509"/>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0E66"/>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69CD"/>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97DEC"/>
    <w:rsid w:val="00AA2694"/>
    <w:rsid w:val="00AA36C7"/>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28729D"/>
    <w:rsid w:val="01461ACD"/>
    <w:rsid w:val="01757860"/>
    <w:rsid w:val="018D0205"/>
    <w:rsid w:val="01AE73A6"/>
    <w:rsid w:val="01C12A88"/>
    <w:rsid w:val="01D07706"/>
    <w:rsid w:val="0221271C"/>
    <w:rsid w:val="022D649C"/>
    <w:rsid w:val="02351774"/>
    <w:rsid w:val="023A6ECB"/>
    <w:rsid w:val="02420646"/>
    <w:rsid w:val="028223A8"/>
    <w:rsid w:val="02A9706C"/>
    <w:rsid w:val="02AF6599"/>
    <w:rsid w:val="02DE374B"/>
    <w:rsid w:val="03044359"/>
    <w:rsid w:val="031C67BA"/>
    <w:rsid w:val="03511571"/>
    <w:rsid w:val="035E37BC"/>
    <w:rsid w:val="03715197"/>
    <w:rsid w:val="03A25185"/>
    <w:rsid w:val="03A92E0C"/>
    <w:rsid w:val="03A93F07"/>
    <w:rsid w:val="03DD17F0"/>
    <w:rsid w:val="03F730D5"/>
    <w:rsid w:val="040E4213"/>
    <w:rsid w:val="04137380"/>
    <w:rsid w:val="04160294"/>
    <w:rsid w:val="0421064D"/>
    <w:rsid w:val="0424709F"/>
    <w:rsid w:val="04273734"/>
    <w:rsid w:val="042C6AE4"/>
    <w:rsid w:val="0439748C"/>
    <w:rsid w:val="045F4428"/>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732373"/>
    <w:rsid w:val="06943DA7"/>
    <w:rsid w:val="06B7286F"/>
    <w:rsid w:val="06C116BD"/>
    <w:rsid w:val="06C767F8"/>
    <w:rsid w:val="06EA2FBD"/>
    <w:rsid w:val="06ED1770"/>
    <w:rsid w:val="06FE4AAE"/>
    <w:rsid w:val="070157D1"/>
    <w:rsid w:val="07117CDC"/>
    <w:rsid w:val="07354BE2"/>
    <w:rsid w:val="07506DDE"/>
    <w:rsid w:val="078360F1"/>
    <w:rsid w:val="079555F7"/>
    <w:rsid w:val="07AA21A6"/>
    <w:rsid w:val="07B323DD"/>
    <w:rsid w:val="07CB1191"/>
    <w:rsid w:val="07D33E7D"/>
    <w:rsid w:val="07DA2552"/>
    <w:rsid w:val="07E61182"/>
    <w:rsid w:val="07F876CF"/>
    <w:rsid w:val="07FA3FC0"/>
    <w:rsid w:val="08376BE0"/>
    <w:rsid w:val="08483779"/>
    <w:rsid w:val="085D5FC0"/>
    <w:rsid w:val="0886626A"/>
    <w:rsid w:val="08912C45"/>
    <w:rsid w:val="089A1EB6"/>
    <w:rsid w:val="08AD0CF8"/>
    <w:rsid w:val="08AD503B"/>
    <w:rsid w:val="08C76CFD"/>
    <w:rsid w:val="08E340CC"/>
    <w:rsid w:val="08E95B0E"/>
    <w:rsid w:val="090C54BE"/>
    <w:rsid w:val="092936B1"/>
    <w:rsid w:val="092E5E66"/>
    <w:rsid w:val="09573A7B"/>
    <w:rsid w:val="096A4BCE"/>
    <w:rsid w:val="098226D8"/>
    <w:rsid w:val="09894939"/>
    <w:rsid w:val="09A02CD8"/>
    <w:rsid w:val="0A165448"/>
    <w:rsid w:val="0A502EA2"/>
    <w:rsid w:val="0A5758F7"/>
    <w:rsid w:val="0A67144A"/>
    <w:rsid w:val="0A71618F"/>
    <w:rsid w:val="0A7E1671"/>
    <w:rsid w:val="0AC16F66"/>
    <w:rsid w:val="0B435CD5"/>
    <w:rsid w:val="0B456825"/>
    <w:rsid w:val="0B4B17AC"/>
    <w:rsid w:val="0B4C1B40"/>
    <w:rsid w:val="0B4F5787"/>
    <w:rsid w:val="0B625354"/>
    <w:rsid w:val="0B6438A9"/>
    <w:rsid w:val="0BC22757"/>
    <w:rsid w:val="0BD0342B"/>
    <w:rsid w:val="0BE3070D"/>
    <w:rsid w:val="0BE94FBA"/>
    <w:rsid w:val="0C367BBD"/>
    <w:rsid w:val="0C3C4113"/>
    <w:rsid w:val="0C4225D4"/>
    <w:rsid w:val="0C49239C"/>
    <w:rsid w:val="0C4E57C8"/>
    <w:rsid w:val="0C7336D0"/>
    <w:rsid w:val="0CC36F40"/>
    <w:rsid w:val="0CE3614D"/>
    <w:rsid w:val="0CF02600"/>
    <w:rsid w:val="0D162766"/>
    <w:rsid w:val="0D30615A"/>
    <w:rsid w:val="0D50445B"/>
    <w:rsid w:val="0D7807F1"/>
    <w:rsid w:val="0D790C65"/>
    <w:rsid w:val="0D895A46"/>
    <w:rsid w:val="0D9B67EB"/>
    <w:rsid w:val="0DA45AD2"/>
    <w:rsid w:val="0DE86CEC"/>
    <w:rsid w:val="0E0A51BD"/>
    <w:rsid w:val="0E141CA7"/>
    <w:rsid w:val="0E386D2E"/>
    <w:rsid w:val="0E442D5B"/>
    <w:rsid w:val="0E4E7B59"/>
    <w:rsid w:val="0E6E5960"/>
    <w:rsid w:val="0EAE4301"/>
    <w:rsid w:val="0ED27024"/>
    <w:rsid w:val="0ED94F19"/>
    <w:rsid w:val="0EDC5EDB"/>
    <w:rsid w:val="0F1B0DB7"/>
    <w:rsid w:val="0F3425BB"/>
    <w:rsid w:val="0F5A5FCA"/>
    <w:rsid w:val="0F6C7EA7"/>
    <w:rsid w:val="0FA03F81"/>
    <w:rsid w:val="0FC5121F"/>
    <w:rsid w:val="0FC52200"/>
    <w:rsid w:val="0FC57219"/>
    <w:rsid w:val="0FF11896"/>
    <w:rsid w:val="0FF743B8"/>
    <w:rsid w:val="103A20DA"/>
    <w:rsid w:val="104114BC"/>
    <w:rsid w:val="104F21E7"/>
    <w:rsid w:val="10522A43"/>
    <w:rsid w:val="105950B7"/>
    <w:rsid w:val="10681B45"/>
    <w:rsid w:val="10D545EB"/>
    <w:rsid w:val="10E51E7E"/>
    <w:rsid w:val="1109548A"/>
    <w:rsid w:val="11156035"/>
    <w:rsid w:val="111F2499"/>
    <w:rsid w:val="11296D36"/>
    <w:rsid w:val="1146103D"/>
    <w:rsid w:val="116C7384"/>
    <w:rsid w:val="122B6BF7"/>
    <w:rsid w:val="12305D0B"/>
    <w:rsid w:val="124B307E"/>
    <w:rsid w:val="12595354"/>
    <w:rsid w:val="12676ACE"/>
    <w:rsid w:val="12896006"/>
    <w:rsid w:val="128C79F5"/>
    <w:rsid w:val="12987FD1"/>
    <w:rsid w:val="12D57C7C"/>
    <w:rsid w:val="12DE2F04"/>
    <w:rsid w:val="12F453F7"/>
    <w:rsid w:val="135A65CD"/>
    <w:rsid w:val="13681291"/>
    <w:rsid w:val="139A72A6"/>
    <w:rsid w:val="13D75C16"/>
    <w:rsid w:val="141A71FC"/>
    <w:rsid w:val="14393E39"/>
    <w:rsid w:val="1439492C"/>
    <w:rsid w:val="144E282E"/>
    <w:rsid w:val="147A0B54"/>
    <w:rsid w:val="14905D77"/>
    <w:rsid w:val="14C13D98"/>
    <w:rsid w:val="14C818C6"/>
    <w:rsid w:val="14D17473"/>
    <w:rsid w:val="14D2285A"/>
    <w:rsid w:val="14F848F0"/>
    <w:rsid w:val="1533008F"/>
    <w:rsid w:val="153D3401"/>
    <w:rsid w:val="155142E7"/>
    <w:rsid w:val="15855A36"/>
    <w:rsid w:val="158E06A1"/>
    <w:rsid w:val="15932B1E"/>
    <w:rsid w:val="159F3DAD"/>
    <w:rsid w:val="15AF36C0"/>
    <w:rsid w:val="15D73E4B"/>
    <w:rsid w:val="15EE7CEF"/>
    <w:rsid w:val="1601488E"/>
    <w:rsid w:val="160D691C"/>
    <w:rsid w:val="16333435"/>
    <w:rsid w:val="16391530"/>
    <w:rsid w:val="16550678"/>
    <w:rsid w:val="166C136C"/>
    <w:rsid w:val="168C0198"/>
    <w:rsid w:val="16C6539F"/>
    <w:rsid w:val="16C83962"/>
    <w:rsid w:val="16ED23AA"/>
    <w:rsid w:val="173E2364"/>
    <w:rsid w:val="173E4E07"/>
    <w:rsid w:val="1761710C"/>
    <w:rsid w:val="17812612"/>
    <w:rsid w:val="1789592C"/>
    <w:rsid w:val="17933C9F"/>
    <w:rsid w:val="17B13E29"/>
    <w:rsid w:val="17D67A38"/>
    <w:rsid w:val="17DB1463"/>
    <w:rsid w:val="17ED5B45"/>
    <w:rsid w:val="18260DD1"/>
    <w:rsid w:val="182656C2"/>
    <w:rsid w:val="18303541"/>
    <w:rsid w:val="183735E3"/>
    <w:rsid w:val="18744310"/>
    <w:rsid w:val="189F530B"/>
    <w:rsid w:val="18A12DFD"/>
    <w:rsid w:val="18A922F3"/>
    <w:rsid w:val="18B137E8"/>
    <w:rsid w:val="18D46399"/>
    <w:rsid w:val="18F56002"/>
    <w:rsid w:val="192F50C9"/>
    <w:rsid w:val="19633F03"/>
    <w:rsid w:val="199E02FC"/>
    <w:rsid w:val="19BA1CE3"/>
    <w:rsid w:val="19DF55C2"/>
    <w:rsid w:val="1A0C61A8"/>
    <w:rsid w:val="1A132F57"/>
    <w:rsid w:val="1A300E03"/>
    <w:rsid w:val="1A5F760F"/>
    <w:rsid w:val="1A6F3E95"/>
    <w:rsid w:val="1A6F6E85"/>
    <w:rsid w:val="1AB2767B"/>
    <w:rsid w:val="1AD22ED2"/>
    <w:rsid w:val="1AD51B88"/>
    <w:rsid w:val="1B2058A0"/>
    <w:rsid w:val="1B566A66"/>
    <w:rsid w:val="1B8565CF"/>
    <w:rsid w:val="1B9104B0"/>
    <w:rsid w:val="1BAC363D"/>
    <w:rsid w:val="1BD60F79"/>
    <w:rsid w:val="1C0C60A0"/>
    <w:rsid w:val="1C11733D"/>
    <w:rsid w:val="1C41527E"/>
    <w:rsid w:val="1C49412F"/>
    <w:rsid w:val="1C4D3DCD"/>
    <w:rsid w:val="1C4F5FC4"/>
    <w:rsid w:val="1C64078D"/>
    <w:rsid w:val="1C81524F"/>
    <w:rsid w:val="1CA121A3"/>
    <w:rsid w:val="1CDF257F"/>
    <w:rsid w:val="1CE40841"/>
    <w:rsid w:val="1CF405AE"/>
    <w:rsid w:val="1CFB22F4"/>
    <w:rsid w:val="1D014450"/>
    <w:rsid w:val="1D0B4DE3"/>
    <w:rsid w:val="1D2A2C86"/>
    <w:rsid w:val="1D2A6659"/>
    <w:rsid w:val="1D41310E"/>
    <w:rsid w:val="1D426DC5"/>
    <w:rsid w:val="1D4377C2"/>
    <w:rsid w:val="1D54682E"/>
    <w:rsid w:val="1D575B51"/>
    <w:rsid w:val="1D83301E"/>
    <w:rsid w:val="1D836FC7"/>
    <w:rsid w:val="1D9F4A19"/>
    <w:rsid w:val="1DA05599"/>
    <w:rsid w:val="1DAB519B"/>
    <w:rsid w:val="1DC419C1"/>
    <w:rsid w:val="1DC65420"/>
    <w:rsid w:val="1DC94DC3"/>
    <w:rsid w:val="1DD04ECF"/>
    <w:rsid w:val="1E0649A4"/>
    <w:rsid w:val="1E474E6F"/>
    <w:rsid w:val="1E6843C7"/>
    <w:rsid w:val="1EA60FCA"/>
    <w:rsid w:val="1EA87417"/>
    <w:rsid w:val="1ED70A99"/>
    <w:rsid w:val="1F35766F"/>
    <w:rsid w:val="1F65672E"/>
    <w:rsid w:val="1F6B4880"/>
    <w:rsid w:val="1F6D18D3"/>
    <w:rsid w:val="1F7222CF"/>
    <w:rsid w:val="1F855EC8"/>
    <w:rsid w:val="1F865B87"/>
    <w:rsid w:val="1F8D0E35"/>
    <w:rsid w:val="1FB611E4"/>
    <w:rsid w:val="1FBA2E91"/>
    <w:rsid w:val="1FC02D54"/>
    <w:rsid w:val="1FD92D82"/>
    <w:rsid w:val="1FEE1F52"/>
    <w:rsid w:val="20161AFC"/>
    <w:rsid w:val="20341D2D"/>
    <w:rsid w:val="207471CF"/>
    <w:rsid w:val="20950348"/>
    <w:rsid w:val="20981E88"/>
    <w:rsid w:val="20A10137"/>
    <w:rsid w:val="20B97750"/>
    <w:rsid w:val="20BD2343"/>
    <w:rsid w:val="20C125E5"/>
    <w:rsid w:val="20F77EBA"/>
    <w:rsid w:val="20FE0571"/>
    <w:rsid w:val="212F48FD"/>
    <w:rsid w:val="216135E4"/>
    <w:rsid w:val="21B23C30"/>
    <w:rsid w:val="21D5663A"/>
    <w:rsid w:val="220D5F91"/>
    <w:rsid w:val="220F017A"/>
    <w:rsid w:val="223D6488"/>
    <w:rsid w:val="224F423C"/>
    <w:rsid w:val="227710AB"/>
    <w:rsid w:val="229B4E78"/>
    <w:rsid w:val="22B477C1"/>
    <w:rsid w:val="22C77F82"/>
    <w:rsid w:val="22E50F21"/>
    <w:rsid w:val="22F562BD"/>
    <w:rsid w:val="231C3AC6"/>
    <w:rsid w:val="23261385"/>
    <w:rsid w:val="233970A1"/>
    <w:rsid w:val="23414EF1"/>
    <w:rsid w:val="2390118C"/>
    <w:rsid w:val="23A33225"/>
    <w:rsid w:val="23A3458B"/>
    <w:rsid w:val="23A83880"/>
    <w:rsid w:val="23AC3B0D"/>
    <w:rsid w:val="23AC7B00"/>
    <w:rsid w:val="23AE3EA4"/>
    <w:rsid w:val="23BD797B"/>
    <w:rsid w:val="23CC13DF"/>
    <w:rsid w:val="241374BB"/>
    <w:rsid w:val="24210897"/>
    <w:rsid w:val="242E0AC8"/>
    <w:rsid w:val="24474E0A"/>
    <w:rsid w:val="244E06C0"/>
    <w:rsid w:val="244E4AD0"/>
    <w:rsid w:val="246B4679"/>
    <w:rsid w:val="249900C5"/>
    <w:rsid w:val="24BF7D42"/>
    <w:rsid w:val="255D2F2A"/>
    <w:rsid w:val="256C5A3D"/>
    <w:rsid w:val="257963F1"/>
    <w:rsid w:val="25A7402B"/>
    <w:rsid w:val="25FE15DC"/>
    <w:rsid w:val="26806C09"/>
    <w:rsid w:val="26863962"/>
    <w:rsid w:val="26983FA4"/>
    <w:rsid w:val="26FA6E39"/>
    <w:rsid w:val="271E4603"/>
    <w:rsid w:val="272A0710"/>
    <w:rsid w:val="27555997"/>
    <w:rsid w:val="276E4B45"/>
    <w:rsid w:val="277E0E1B"/>
    <w:rsid w:val="279F24C5"/>
    <w:rsid w:val="27C13C20"/>
    <w:rsid w:val="27E47883"/>
    <w:rsid w:val="28120519"/>
    <w:rsid w:val="281327C3"/>
    <w:rsid w:val="28195AAE"/>
    <w:rsid w:val="28323569"/>
    <w:rsid w:val="28326E12"/>
    <w:rsid w:val="28504863"/>
    <w:rsid w:val="287013AF"/>
    <w:rsid w:val="28943CBF"/>
    <w:rsid w:val="289D3AA9"/>
    <w:rsid w:val="28D9254C"/>
    <w:rsid w:val="28E96526"/>
    <w:rsid w:val="28F77A34"/>
    <w:rsid w:val="29213FAC"/>
    <w:rsid w:val="294019F3"/>
    <w:rsid w:val="295F6F3A"/>
    <w:rsid w:val="2978542E"/>
    <w:rsid w:val="298168E8"/>
    <w:rsid w:val="29880DC9"/>
    <w:rsid w:val="299658C8"/>
    <w:rsid w:val="29C74336"/>
    <w:rsid w:val="2A0C4705"/>
    <w:rsid w:val="2A104C01"/>
    <w:rsid w:val="2A2219FF"/>
    <w:rsid w:val="2A2649D3"/>
    <w:rsid w:val="2A2F0453"/>
    <w:rsid w:val="2A375CB0"/>
    <w:rsid w:val="2A4F7A8E"/>
    <w:rsid w:val="2A5C693A"/>
    <w:rsid w:val="2A9D1044"/>
    <w:rsid w:val="2AA14EFF"/>
    <w:rsid w:val="2AC52B69"/>
    <w:rsid w:val="2AE42B9F"/>
    <w:rsid w:val="2AFA4FF0"/>
    <w:rsid w:val="2AFF35D3"/>
    <w:rsid w:val="2B0A651F"/>
    <w:rsid w:val="2B132D50"/>
    <w:rsid w:val="2B6076B4"/>
    <w:rsid w:val="2B617D56"/>
    <w:rsid w:val="2B6E542D"/>
    <w:rsid w:val="2BEB27E3"/>
    <w:rsid w:val="2BEB2E9D"/>
    <w:rsid w:val="2BF61207"/>
    <w:rsid w:val="2C1713D1"/>
    <w:rsid w:val="2C2E6F83"/>
    <w:rsid w:val="2C6121D4"/>
    <w:rsid w:val="2C620007"/>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A7ADA"/>
    <w:rsid w:val="2EC2396D"/>
    <w:rsid w:val="2F1B0798"/>
    <w:rsid w:val="2F4F0438"/>
    <w:rsid w:val="2F506BFB"/>
    <w:rsid w:val="2F7E2CC0"/>
    <w:rsid w:val="2F921764"/>
    <w:rsid w:val="2F98405A"/>
    <w:rsid w:val="2FD11EB8"/>
    <w:rsid w:val="2FE1749B"/>
    <w:rsid w:val="303D5772"/>
    <w:rsid w:val="306E40F7"/>
    <w:rsid w:val="306F4499"/>
    <w:rsid w:val="30B15581"/>
    <w:rsid w:val="30B93848"/>
    <w:rsid w:val="30BE1DE8"/>
    <w:rsid w:val="31253510"/>
    <w:rsid w:val="313177AD"/>
    <w:rsid w:val="31341EAD"/>
    <w:rsid w:val="31423CC5"/>
    <w:rsid w:val="3157256E"/>
    <w:rsid w:val="3160159B"/>
    <w:rsid w:val="316102EA"/>
    <w:rsid w:val="31665B97"/>
    <w:rsid w:val="31711EF3"/>
    <w:rsid w:val="31854B7E"/>
    <w:rsid w:val="31E86EE4"/>
    <w:rsid w:val="31FD6157"/>
    <w:rsid w:val="32171B71"/>
    <w:rsid w:val="322B53E9"/>
    <w:rsid w:val="32915ABA"/>
    <w:rsid w:val="329C1497"/>
    <w:rsid w:val="32D72576"/>
    <w:rsid w:val="32D93319"/>
    <w:rsid w:val="32E04086"/>
    <w:rsid w:val="32F96A45"/>
    <w:rsid w:val="330D0307"/>
    <w:rsid w:val="3321210F"/>
    <w:rsid w:val="332C3D97"/>
    <w:rsid w:val="3360351F"/>
    <w:rsid w:val="33620CB2"/>
    <w:rsid w:val="336E777A"/>
    <w:rsid w:val="3399695C"/>
    <w:rsid w:val="33B17CDB"/>
    <w:rsid w:val="33E04B57"/>
    <w:rsid w:val="33FA7456"/>
    <w:rsid w:val="34024883"/>
    <w:rsid w:val="342C6E98"/>
    <w:rsid w:val="344F7140"/>
    <w:rsid w:val="34755DB1"/>
    <w:rsid w:val="349E0FB2"/>
    <w:rsid w:val="34A96A1A"/>
    <w:rsid w:val="34B370D1"/>
    <w:rsid w:val="34CA52FD"/>
    <w:rsid w:val="34E622D6"/>
    <w:rsid w:val="3518700F"/>
    <w:rsid w:val="352F2FF3"/>
    <w:rsid w:val="35375748"/>
    <w:rsid w:val="35486C73"/>
    <w:rsid w:val="359E09BB"/>
    <w:rsid w:val="361A4DE1"/>
    <w:rsid w:val="361F592F"/>
    <w:rsid w:val="362F79EA"/>
    <w:rsid w:val="36516B14"/>
    <w:rsid w:val="36556C85"/>
    <w:rsid w:val="365B1C96"/>
    <w:rsid w:val="36603459"/>
    <w:rsid w:val="366D2C19"/>
    <w:rsid w:val="3675230B"/>
    <w:rsid w:val="36766F5C"/>
    <w:rsid w:val="36777C43"/>
    <w:rsid w:val="367E7A3F"/>
    <w:rsid w:val="36C1347A"/>
    <w:rsid w:val="36C31B41"/>
    <w:rsid w:val="36C532A1"/>
    <w:rsid w:val="36CE234D"/>
    <w:rsid w:val="36D347D3"/>
    <w:rsid w:val="36DA50A9"/>
    <w:rsid w:val="36DB27DD"/>
    <w:rsid w:val="372F4949"/>
    <w:rsid w:val="3736228A"/>
    <w:rsid w:val="37671725"/>
    <w:rsid w:val="376F122C"/>
    <w:rsid w:val="3798526A"/>
    <w:rsid w:val="37B72EB1"/>
    <w:rsid w:val="37C806F3"/>
    <w:rsid w:val="37C85C3C"/>
    <w:rsid w:val="37CF1603"/>
    <w:rsid w:val="38585500"/>
    <w:rsid w:val="385D1C71"/>
    <w:rsid w:val="386038B3"/>
    <w:rsid w:val="388E1434"/>
    <w:rsid w:val="38BA5460"/>
    <w:rsid w:val="38C62FF5"/>
    <w:rsid w:val="38D62476"/>
    <w:rsid w:val="38E27127"/>
    <w:rsid w:val="39027E88"/>
    <w:rsid w:val="39075875"/>
    <w:rsid w:val="391904A1"/>
    <w:rsid w:val="391C718D"/>
    <w:rsid w:val="394D30B0"/>
    <w:rsid w:val="39624091"/>
    <w:rsid w:val="397C6037"/>
    <w:rsid w:val="39C373AF"/>
    <w:rsid w:val="39D43B66"/>
    <w:rsid w:val="39EC03FA"/>
    <w:rsid w:val="3A1D058F"/>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7B0871"/>
    <w:rsid w:val="3BAA143A"/>
    <w:rsid w:val="3BC378A6"/>
    <w:rsid w:val="3BDC08FD"/>
    <w:rsid w:val="3BE42ECD"/>
    <w:rsid w:val="3BFE1CAB"/>
    <w:rsid w:val="3C10260E"/>
    <w:rsid w:val="3C274A05"/>
    <w:rsid w:val="3C7511AE"/>
    <w:rsid w:val="3CA977D2"/>
    <w:rsid w:val="3CC733AF"/>
    <w:rsid w:val="3CD72551"/>
    <w:rsid w:val="3CF76813"/>
    <w:rsid w:val="3CFC6063"/>
    <w:rsid w:val="3D1319B5"/>
    <w:rsid w:val="3D237AD9"/>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E4917"/>
    <w:rsid w:val="40186E50"/>
    <w:rsid w:val="402F3ADF"/>
    <w:rsid w:val="40306F5A"/>
    <w:rsid w:val="40476BB3"/>
    <w:rsid w:val="40546FB6"/>
    <w:rsid w:val="40554803"/>
    <w:rsid w:val="407A60D5"/>
    <w:rsid w:val="40961808"/>
    <w:rsid w:val="409D6476"/>
    <w:rsid w:val="40AB4DEE"/>
    <w:rsid w:val="40D24BBE"/>
    <w:rsid w:val="40DE13B1"/>
    <w:rsid w:val="40EC4043"/>
    <w:rsid w:val="41166469"/>
    <w:rsid w:val="412008E0"/>
    <w:rsid w:val="413A6D3B"/>
    <w:rsid w:val="41515AC7"/>
    <w:rsid w:val="41902B9F"/>
    <w:rsid w:val="41B250A0"/>
    <w:rsid w:val="41C02331"/>
    <w:rsid w:val="41C13A63"/>
    <w:rsid w:val="41C67037"/>
    <w:rsid w:val="41D229E1"/>
    <w:rsid w:val="41EC6E94"/>
    <w:rsid w:val="41F72149"/>
    <w:rsid w:val="42415ACC"/>
    <w:rsid w:val="427D539F"/>
    <w:rsid w:val="42991E30"/>
    <w:rsid w:val="42CC19F4"/>
    <w:rsid w:val="42CE0B28"/>
    <w:rsid w:val="42CF6367"/>
    <w:rsid w:val="42DE1CCC"/>
    <w:rsid w:val="4308546B"/>
    <w:rsid w:val="43263445"/>
    <w:rsid w:val="434157E3"/>
    <w:rsid w:val="43494860"/>
    <w:rsid w:val="434D380E"/>
    <w:rsid w:val="43934189"/>
    <w:rsid w:val="439D4850"/>
    <w:rsid w:val="43C27232"/>
    <w:rsid w:val="43ED069F"/>
    <w:rsid w:val="442A6E5A"/>
    <w:rsid w:val="445C4B8F"/>
    <w:rsid w:val="44833851"/>
    <w:rsid w:val="44982752"/>
    <w:rsid w:val="44BF6F86"/>
    <w:rsid w:val="44C45031"/>
    <w:rsid w:val="44D53AB2"/>
    <w:rsid w:val="44F27B0D"/>
    <w:rsid w:val="45157F3F"/>
    <w:rsid w:val="45485BDE"/>
    <w:rsid w:val="45945C30"/>
    <w:rsid w:val="459F2306"/>
    <w:rsid w:val="45A832FE"/>
    <w:rsid w:val="45AB6174"/>
    <w:rsid w:val="45BA63E5"/>
    <w:rsid w:val="45CC5EDC"/>
    <w:rsid w:val="45F23ECF"/>
    <w:rsid w:val="45F73D47"/>
    <w:rsid w:val="462D2575"/>
    <w:rsid w:val="46467FD8"/>
    <w:rsid w:val="46601D33"/>
    <w:rsid w:val="4666746C"/>
    <w:rsid w:val="467505FA"/>
    <w:rsid w:val="467B6008"/>
    <w:rsid w:val="468720BA"/>
    <w:rsid w:val="46895AFC"/>
    <w:rsid w:val="46BC623F"/>
    <w:rsid w:val="46D855B9"/>
    <w:rsid w:val="470D2C74"/>
    <w:rsid w:val="477570F1"/>
    <w:rsid w:val="47AD33FA"/>
    <w:rsid w:val="47B41AAA"/>
    <w:rsid w:val="47CD38AD"/>
    <w:rsid w:val="47DB16D8"/>
    <w:rsid w:val="481726F3"/>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5B6649"/>
    <w:rsid w:val="4A615154"/>
    <w:rsid w:val="4A96607C"/>
    <w:rsid w:val="4A976E35"/>
    <w:rsid w:val="4AB92E92"/>
    <w:rsid w:val="4B2134B8"/>
    <w:rsid w:val="4B24233C"/>
    <w:rsid w:val="4B330A0B"/>
    <w:rsid w:val="4B5E55F9"/>
    <w:rsid w:val="4B685D82"/>
    <w:rsid w:val="4B7B4674"/>
    <w:rsid w:val="4B7C663B"/>
    <w:rsid w:val="4B812078"/>
    <w:rsid w:val="4B83536A"/>
    <w:rsid w:val="4BF71347"/>
    <w:rsid w:val="4BF97932"/>
    <w:rsid w:val="4C141E75"/>
    <w:rsid w:val="4C2A4039"/>
    <w:rsid w:val="4C696CFC"/>
    <w:rsid w:val="4C736F36"/>
    <w:rsid w:val="4CAE60E3"/>
    <w:rsid w:val="4CEE1D13"/>
    <w:rsid w:val="4CF4600C"/>
    <w:rsid w:val="4D032DA9"/>
    <w:rsid w:val="4D0C6DBE"/>
    <w:rsid w:val="4D25615C"/>
    <w:rsid w:val="4D36054D"/>
    <w:rsid w:val="4D41137F"/>
    <w:rsid w:val="4D524AEA"/>
    <w:rsid w:val="4D5724F7"/>
    <w:rsid w:val="4D757452"/>
    <w:rsid w:val="4D7E23EE"/>
    <w:rsid w:val="4D8C3F82"/>
    <w:rsid w:val="4DBC14B8"/>
    <w:rsid w:val="4DE936C7"/>
    <w:rsid w:val="4DF23555"/>
    <w:rsid w:val="4E050D4C"/>
    <w:rsid w:val="4E06569E"/>
    <w:rsid w:val="4E093792"/>
    <w:rsid w:val="4E1D26B7"/>
    <w:rsid w:val="4E1F052C"/>
    <w:rsid w:val="4E451D41"/>
    <w:rsid w:val="4E7A454C"/>
    <w:rsid w:val="4E820B4C"/>
    <w:rsid w:val="4E85341C"/>
    <w:rsid w:val="4E9B7B12"/>
    <w:rsid w:val="4EC47712"/>
    <w:rsid w:val="4EDD3C61"/>
    <w:rsid w:val="4EF1457F"/>
    <w:rsid w:val="4F2C40A0"/>
    <w:rsid w:val="4F2F3B98"/>
    <w:rsid w:val="4F380B7A"/>
    <w:rsid w:val="4F424B82"/>
    <w:rsid w:val="4F4B0CB3"/>
    <w:rsid w:val="4F4F0EBF"/>
    <w:rsid w:val="4F8C4B40"/>
    <w:rsid w:val="4FAA5CD5"/>
    <w:rsid w:val="4FBD187E"/>
    <w:rsid w:val="4FC56067"/>
    <w:rsid w:val="4FD11AC0"/>
    <w:rsid w:val="502F75EB"/>
    <w:rsid w:val="50400243"/>
    <w:rsid w:val="50494336"/>
    <w:rsid w:val="50784012"/>
    <w:rsid w:val="50813C12"/>
    <w:rsid w:val="5087463E"/>
    <w:rsid w:val="50A11680"/>
    <w:rsid w:val="50B77550"/>
    <w:rsid w:val="50C14BA0"/>
    <w:rsid w:val="50C773AE"/>
    <w:rsid w:val="50CD6602"/>
    <w:rsid w:val="510D0F23"/>
    <w:rsid w:val="51197B59"/>
    <w:rsid w:val="514977EC"/>
    <w:rsid w:val="51615030"/>
    <w:rsid w:val="51627812"/>
    <w:rsid w:val="51C136D4"/>
    <w:rsid w:val="51D33F6D"/>
    <w:rsid w:val="51DB1448"/>
    <w:rsid w:val="52045DB4"/>
    <w:rsid w:val="522C275E"/>
    <w:rsid w:val="524C13A2"/>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AC3148"/>
    <w:rsid w:val="54C0256E"/>
    <w:rsid w:val="54C334B7"/>
    <w:rsid w:val="54D4667D"/>
    <w:rsid w:val="54D55C56"/>
    <w:rsid w:val="54EC389B"/>
    <w:rsid w:val="54F847D9"/>
    <w:rsid w:val="55126190"/>
    <w:rsid w:val="555F3833"/>
    <w:rsid w:val="55667780"/>
    <w:rsid w:val="556E493A"/>
    <w:rsid w:val="55725F14"/>
    <w:rsid w:val="55941D63"/>
    <w:rsid w:val="559C0CE1"/>
    <w:rsid w:val="55B42D88"/>
    <w:rsid w:val="55D11119"/>
    <w:rsid w:val="55DB1F79"/>
    <w:rsid w:val="560A42BD"/>
    <w:rsid w:val="560C1D89"/>
    <w:rsid w:val="56353B20"/>
    <w:rsid w:val="56443B98"/>
    <w:rsid w:val="56453A77"/>
    <w:rsid w:val="56757259"/>
    <w:rsid w:val="568B7EB7"/>
    <w:rsid w:val="56BC078F"/>
    <w:rsid w:val="56CB4BCB"/>
    <w:rsid w:val="56FB75FE"/>
    <w:rsid w:val="57391A95"/>
    <w:rsid w:val="573F3C9E"/>
    <w:rsid w:val="574C52C4"/>
    <w:rsid w:val="57526FDB"/>
    <w:rsid w:val="57572F35"/>
    <w:rsid w:val="575B33A4"/>
    <w:rsid w:val="57674A5D"/>
    <w:rsid w:val="57C90530"/>
    <w:rsid w:val="57CE0836"/>
    <w:rsid w:val="582F44F7"/>
    <w:rsid w:val="583F27F2"/>
    <w:rsid w:val="58455B6D"/>
    <w:rsid w:val="584D29B0"/>
    <w:rsid w:val="584F7C49"/>
    <w:rsid w:val="5888302C"/>
    <w:rsid w:val="5889129A"/>
    <w:rsid w:val="588D1E1B"/>
    <w:rsid w:val="58AD528C"/>
    <w:rsid w:val="58B31955"/>
    <w:rsid w:val="58BA45A1"/>
    <w:rsid w:val="594F6915"/>
    <w:rsid w:val="595372F9"/>
    <w:rsid w:val="59737A65"/>
    <w:rsid w:val="59842DF4"/>
    <w:rsid w:val="59A0359A"/>
    <w:rsid w:val="59E52D9A"/>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F60FF"/>
    <w:rsid w:val="5B3F66E7"/>
    <w:rsid w:val="5B872AE6"/>
    <w:rsid w:val="5BA77753"/>
    <w:rsid w:val="5BB60E53"/>
    <w:rsid w:val="5BC025EF"/>
    <w:rsid w:val="5C1203C7"/>
    <w:rsid w:val="5C1F35AE"/>
    <w:rsid w:val="5C3905BF"/>
    <w:rsid w:val="5C66397A"/>
    <w:rsid w:val="5C7349B6"/>
    <w:rsid w:val="5C824C05"/>
    <w:rsid w:val="5C8725EE"/>
    <w:rsid w:val="5CB0251A"/>
    <w:rsid w:val="5CB97030"/>
    <w:rsid w:val="5CC97332"/>
    <w:rsid w:val="5D187049"/>
    <w:rsid w:val="5D1D2427"/>
    <w:rsid w:val="5D5E04AA"/>
    <w:rsid w:val="5D756277"/>
    <w:rsid w:val="5D955FBD"/>
    <w:rsid w:val="5DA62524"/>
    <w:rsid w:val="5DAC3919"/>
    <w:rsid w:val="5DB36259"/>
    <w:rsid w:val="5DBD33B2"/>
    <w:rsid w:val="5DC223CB"/>
    <w:rsid w:val="5DF66637"/>
    <w:rsid w:val="5DFF6858"/>
    <w:rsid w:val="5E185132"/>
    <w:rsid w:val="5E2A0167"/>
    <w:rsid w:val="5E5D68E8"/>
    <w:rsid w:val="5E802A96"/>
    <w:rsid w:val="5E9074FF"/>
    <w:rsid w:val="5EAE1AF2"/>
    <w:rsid w:val="5EB62A77"/>
    <w:rsid w:val="5EB80355"/>
    <w:rsid w:val="5EBB2226"/>
    <w:rsid w:val="5EBE5F24"/>
    <w:rsid w:val="5EF07004"/>
    <w:rsid w:val="5F0E1E9A"/>
    <w:rsid w:val="5F860C23"/>
    <w:rsid w:val="5FC44411"/>
    <w:rsid w:val="5FE426E2"/>
    <w:rsid w:val="605C7AA6"/>
    <w:rsid w:val="605F132B"/>
    <w:rsid w:val="608510A4"/>
    <w:rsid w:val="608762FF"/>
    <w:rsid w:val="609E1C45"/>
    <w:rsid w:val="60BD4FD1"/>
    <w:rsid w:val="60D507D0"/>
    <w:rsid w:val="60EA1511"/>
    <w:rsid w:val="60EB6C34"/>
    <w:rsid w:val="60FD5C7B"/>
    <w:rsid w:val="611F449C"/>
    <w:rsid w:val="613D7E7B"/>
    <w:rsid w:val="617162E9"/>
    <w:rsid w:val="61A52BAA"/>
    <w:rsid w:val="61FA0AE4"/>
    <w:rsid w:val="623438BB"/>
    <w:rsid w:val="624B10F0"/>
    <w:rsid w:val="624F3E48"/>
    <w:rsid w:val="6263598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410B16"/>
    <w:rsid w:val="63562840"/>
    <w:rsid w:val="637141EC"/>
    <w:rsid w:val="63805B1F"/>
    <w:rsid w:val="63834973"/>
    <w:rsid w:val="638F3DC7"/>
    <w:rsid w:val="6397194C"/>
    <w:rsid w:val="63DA4B5E"/>
    <w:rsid w:val="64273E62"/>
    <w:rsid w:val="642E2892"/>
    <w:rsid w:val="643B736C"/>
    <w:rsid w:val="64AD7C37"/>
    <w:rsid w:val="64B05758"/>
    <w:rsid w:val="64BE4B0D"/>
    <w:rsid w:val="65075A96"/>
    <w:rsid w:val="650E600B"/>
    <w:rsid w:val="650F0C7B"/>
    <w:rsid w:val="65B221E6"/>
    <w:rsid w:val="66426031"/>
    <w:rsid w:val="66593B74"/>
    <w:rsid w:val="665D2DD8"/>
    <w:rsid w:val="66651C8A"/>
    <w:rsid w:val="66675176"/>
    <w:rsid w:val="66955E3E"/>
    <w:rsid w:val="669F2C65"/>
    <w:rsid w:val="66B90C04"/>
    <w:rsid w:val="66BE6B53"/>
    <w:rsid w:val="66C55FD8"/>
    <w:rsid w:val="66D333AF"/>
    <w:rsid w:val="67192A34"/>
    <w:rsid w:val="674A4927"/>
    <w:rsid w:val="677243C5"/>
    <w:rsid w:val="678568CD"/>
    <w:rsid w:val="67904A3A"/>
    <w:rsid w:val="67A24F14"/>
    <w:rsid w:val="67BB4EAD"/>
    <w:rsid w:val="67E453F6"/>
    <w:rsid w:val="67F130F8"/>
    <w:rsid w:val="67F84AFE"/>
    <w:rsid w:val="680878A3"/>
    <w:rsid w:val="68340476"/>
    <w:rsid w:val="68375AD4"/>
    <w:rsid w:val="683870E8"/>
    <w:rsid w:val="68457681"/>
    <w:rsid w:val="684977D5"/>
    <w:rsid w:val="68552C50"/>
    <w:rsid w:val="685D34E7"/>
    <w:rsid w:val="68A8123A"/>
    <w:rsid w:val="68B84F4C"/>
    <w:rsid w:val="69055229"/>
    <w:rsid w:val="6929374C"/>
    <w:rsid w:val="692F20BB"/>
    <w:rsid w:val="69784C3F"/>
    <w:rsid w:val="69C1095D"/>
    <w:rsid w:val="69FD46A1"/>
    <w:rsid w:val="6A0138F7"/>
    <w:rsid w:val="6A1E155A"/>
    <w:rsid w:val="6A7B5447"/>
    <w:rsid w:val="6ADB012D"/>
    <w:rsid w:val="6AE3748E"/>
    <w:rsid w:val="6AF53FAE"/>
    <w:rsid w:val="6B1C3EC6"/>
    <w:rsid w:val="6B3F4C28"/>
    <w:rsid w:val="6B574638"/>
    <w:rsid w:val="6B5F5B98"/>
    <w:rsid w:val="6B615C8D"/>
    <w:rsid w:val="6B67068F"/>
    <w:rsid w:val="6B6E2E8D"/>
    <w:rsid w:val="6B977A86"/>
    <w:rsid w:val="6BAB6FBB"/>
    <w:rsid w:val="6BB568D4"/>
    <w:rsid w:val="6BDF79C7"/>
    <w:rsid w:val="6BE146ED"/>
    <w:rsid w:val="6C0B074D"/>
    <w:rsid w:val="6C1458EF"/>
    <w:rsid w:val="6C231806"/>
    <w:rsid w:val="6C275F8B"/>
    <w:rsid w:val="6C3B15FF"/>
    <w:rsid w:val="6C3B431E"/>
    <w:rsid w:val="6C3E5116"/>
    <w:rsid w:val="6C725FD7"/>
    <w:rsid w:val="6C852D02"/>
    <w:rsid w:val="6CEA2C90"/>
    <w:rsid w:val="6CFA5C74"/>
    <w:rsid w:val="6D2C4A68"/>
    <w:rsid w:val="6D3B2E78"/>
    <w:rsid w:val="6D3C3AC0"/>
    <w:rsid w:val="6D410335"/>
    <w:rsid w:val="6D4305C3"/>
    <w:rsid w:val="6D48445E"/>
    <w:rsid w:val="6D500B73"/>
    <w:rsid w:val="6D5D12BA"/>
    <w:rsid w:val="6D666AA6"/>
    <w:rsid w:val="6D687043"/>
    <w:rsid w:val="6D7D6DC8"/>
    <w:rsid w:val="6D885EAB"/>
    <w:rsid w:val="6D953F0C"/>
    <w:rsid w:val="6DB67EBB"/>
    <w:rsid w:val="6DEF52E3"/>
    <w:rsid w:val="6E0E6A1E"/>
    <w:rsid w:val="6E2D763E"/>
    <w:rsid w:val="6E420FB1"/>
    <w:rsid w:val="6E953983"/>
    <w:rsid w:val="6E95768E"/>
    <w:rsid w:val="6EA14900"/>
    <w:rsid w:val="6EB27AA3"/>
    <w:rsid w:val="6EBD1CFE"/>
    <w:rsid w:val="6EF9461D"/>
    <w:rsid w:val="6F1348E9"/>
    <w:rsid w:val="6F2A01FE"/>
    <w:rsid w:val="6F2A71A4"/>
    <w:rsid w:val="6F9415EA"/>
    <w:rsid w:val="6FB72F84"/>
    <w:rsid w:val="6FCA5E7C"/>
    <w:rsid w:val="6FE3419F"/>
    <w:rsid w:val="6FF778F1"/>
    <w:rsid w:val="700346D4"/>
    <w:rsid w:val="700972F0"/>
    <w:rsid w:val="70287F2C"/>
    <w:rsid w:val="70AF69EB"/>
    <w:rsid w:val="70F97D93"/>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34B8E"/>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12351E"/>
    <w:rsid w:val="74BE4E97"/>
    <w:rsid w:val="74D504C8"/>
    <w:rsid w:val="74F679F1"/>
    <w:rsid w:val="74F841F7"/>
    <w:rsid w:val="75003D28"/>
    <w:rsid w:val="750445F2"/>
    <w:rsid w:val="751D637E"/>
    <w:rsid w:val="751F2555"/>
    <w:rsid w:val="753504B8"/>
    <w:rsid w:val="75466A74"/>
    <w:rsid w:val="75706BDE"/>
    <w:rsid w:val="758418D8"/>
    <w:rsid w:val="75A17528"/>
    <w:rsid w:val="75AA6AC3"/>
    <w:rsid w:val="75B749A9"/>
    <w:rsid w:val="75CB1443"/>
    <w:rsid w:val="75CD3F16"/>
    <w:rsid w:val="761A34DA"/>
    <w:rsid w:val="76781DCD"/>
    <w:rsid w:val="76D84698"/>
    <w:rsid w:val="775865D7"/>
    <w:rsid w:val="775B4584"/>
    <w:rsid w:val="776234AF"/>
    <w:rsid w:val="776D12AE"/>
    <w:rsid w:val="77895532"/>
    <w:rsid w:val="778C44DC"/>
    <w:rsid w:val="77AD0FE0"/>
    <w:rsid w:val="77BE7384"/>
    <w:rsid w:val="7880151A"/>
    <w:rsid w:val="78821B50"/>
    <w:rsid w:val="788E2A2A"/>
    <w:rsid w:val="78C52EE0"/>
    <w:rsid w:val="78D23C9C"/>
    <w:rsid w:val="7913610A"/>
    <w:rsid w:val="791A167A"/>
    <w:rsid w:val="794D119C"/>
    <w:rsid w:val="796B6F7E"/>
    <w:rsid w:val="79935707"/>
    <w:rsid w:val="799A2128"/>
    <w:rsid w:val="79C0552F"/>
    <w:rsid w:val="79C30D65"/>
    <w:rsid w:val="79CC3295"/>
    <w:rsid w:val="7A0B1561"/>
    <w:rsid w:val="7A25258A"/>
    <w:rsid w:val="7A2C646D"/>
    <w:rsid w:val="7A55546C"/>
    <w:rsid w:val="7A743686"/>
    <w:rsid w:val="7A824E2E"/>
    <w:rsid w:val="7A9E7BE0"/>
    <w:rsid w:val="7AFF6437"/>
    <w:rsid w:val="7B021BF1"/>
    <w:rsid w:val="7B304822"/>
    <w:rsid w:val="7B9F2862"/>
    <w:rsid w:val="7BA9751C"/>
    <w:rsid w:val="7BAB44F6"/>
    <w:rsid w:val="7BB856C6"/>
    <w:rsid w:val="7BBB27D3"/>
    <w:rsid w:val="7BC24A45"/>
    <w:rsid w:val="7BD52A90"/>
    <w:rsid w:val="7BFB7E57"/>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DDD18D5"/>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Char"/>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Char"/>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Char"/>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Char"/>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1F1F0-2D93-4C60-A8AC-0C2E9C3CFB9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81</Pages>
  <Words>9021</Words>
  <Characters>51426</Characters>
  <Lines>428</Lines>
  <Paragraphs>120</Paragraphs>
  <TotalTime>1</TotalTime>
  <ScaleCrop>false</ScaleCrop>
  <LinksUpToDate>false</LinksUpToDate>
  <CharactersWithSpaces>60327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Annie</cp:lastModifiedBy>
  <cp:lastPrinted>2020-08-14T00:37:32Z</cp:lastPrinted>
  <dcterms:modified xsi:type="dcterms:W3CDTF">2020-08-14T00:52:58Z</dcterms:modified>
  <dc:title>湖 北  招 标</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