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0"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ind w:right="53"/>
              <w:jc w:val="left"/>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编</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号：</w:t>
            </w:r>
          </w:p>
        </w:tc>
        <w:tc>
          <w:tcPr>
            <w:tcW w:w="6053" w:type="dxa"/>
            <w:tcBorders>
              <w:top w:val="nil"/>
              <w:left w:val="nil"/>
              <w:bottom w:val="nil"/>
              <w:right w:val="nil"/>
              <w:tl2br w:val="nil"/>
              <w:tr2bl w:val="nil"/>
            </w:tcBorders>
            <w:vAlign w:val="top"/>
          </w:tcPr>
          <w:p>
            <w:pPr>
              <w:pStyle w:val="95"/>
              <w:kinsoku w:val="0"/>
              <w:overflowPunct w:val="0"/>
              <w:spacing w:before="122"/>
              <w:ind w:left="55"/>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ZJZB-202007-214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3"/>
              <w:ind w:right="53"/>
              <w:jc w:val="left"/>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名</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称：</w:t>
            </w:r>
          </w:p>
        </w:tc>
        <w:tc>
          <w:tcPr>
            <w:tcW w:w="6053" w:type="dxa"/>
            <w:tcBorders>
              <w:top w:val="nil"/>
              <w:left w:val="nil"/>
              <w:bottom w:val="nil"/>
              <w:right w:val="nil"/>
              <w:tl2br w:val="nil"/>
              <w:tr2bl w:val="nil"/>
            </w:tcBorders>
            <w:vAlign w:val="top"/>
          </w:tcPr>
          <w:p>
            <w:pPr>
              <w:pStyle w:val="95"/>
              <w:kinsoku w:val="0"/>
              <w:overflowPunct w:val="0"/>
              <w:spacing w:before="123" w:line="242" w:lineRule="auto"/>
              <w:ind w:left="55" w:right="136"/>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听涛德祐剧场可研及设计服务项目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2"/>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before="122" w:line="299" w:lineRule="exact"/>
              <w:ind w:right="53" w:rightChars="0"/>
              <w:rPr>
                <w:rFonts w:hint="eastAsia" w:asciiTheme="minorEastAsia" w:hAnsiTheme="minorEastAsia" w:eastAsiaTheme="minorEastAsia" w:cstheme="minorEastAsia"/>
                <w:b/>
                <w:color w:val="000000" w:themeColor="text1"/>
                <w:sz w:val="28"/>
                <w:szCs w:val="22"/>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采   购   人：</w:t>
            </w:r>
          </w:p>
        </w:tc>
        <w:tc>
          <w:tcPr>
            <w:tcW w:w="563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eastAsia" w:asciiTheme="minorEastAsia" w:hAnsiTheme="minorEastAsia" w:eastAsiaTheme="minorEastAsia" w:cstheme="minorEastAsia"/>
                <w:b/>
                <w:color w:val="000000" w:themeColor="text1"/>
                <w:sz w:val="28"/>
                <w:szCs w:val="22"/>
                <w14:textFill>
                  <w14:solidFill>
                    <w14:schemeClr w14:val="tx1"/>
                  </w14:solidFill>
                </w14:textFill>
              </w:rPr>
            </w:pPr>
            <w:r>
              <w:rPr>
                <w:rFonts w:hint="eastAsia" w:asciiTheme="minorEastAsia" w:hAnsiTheme="minorEastAsia" w:eastAsiaTheme="minorEastAsia" w:cstheme="minorEastAsia"/>
                <w:b/>
                <w:color w:val="000000" w:themeColor="text1"/>
                <w:sz w:val="28"/>
                <w:szCs w:val="22"/>
                <w14:textFill>
                  <w14:solidFill>
                    <w14:schemeClr w14:val="tx1"/>
                  </w14:solidFill>
                </w14:textFill>
              </w:rPr>
              <w:t>武汉市东湖生态旅游风景区听涛管理处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line="299" w:lineRule="exact"/>
              <w:ind w:right="53" w:rightChars="0"/>
              <w:rPr>
                <w:rFonts w:hint="eastAsia" w:asciiTheme="minorEastAsia" w:hAnsiTheme="minorEastAsia" w:eastAsiaTheme="minorEastAsia" w:cstheme="minorEastAsia"/>
                <w:b/>
                <w:color w:val="000000" w:themeColor="text1"/>
                <w:sz w:val="28"/>
                <w:szCs w:val="22"/>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采购代理机构：</w:t>
            </w:r>
          </w:p>
        </w:tc>
        <w:tc>
          <w:tcPr>
            <w:tcW w:w="563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eastAsia" w:asciiTheme="minorEastAsia" w:hAnsiTheme="minorEastAsia" w:eastAsiaTheme="minorEastAsia" w:cstheme="minorEastAsia"/>
                <w:b/>
                <w:color w:val="000000" w:themeColor="text1"/>
                <w:sz w:val="28"/>
                <w:szCs w:val="22"/>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2"/>
                <w:lang w:val="en-US" w:eastAsia="zh-CN"/>
                <w14:textFill>
                  <w14:solidFill>
                    <w14:schemeClr w14:val="tx1"/>
                  </w14:solidFill>
                </w14:textFill>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kinsoku w:val="0"/>
              <w:overflowPunct w:val="0"/>
              <w:spacing w:before="122" w:line="299" w:lineRule="exact"/>
              <w:ind w:right="53" w:rightChars="0"/>
              <w:rPr>
                <w:rFonts w:hint="eastAsia" w:asciiTheme="minorEastAsia" w:hAnsiTheme="minorEastAsia" w:eastAsiaTheme="minorEastAsia" w:cstheme="minorEastAsia"/>
                <w:b/>
                <w:color w:val="000000" w:themeColor="text1"/>
                <w:sz w:val="28"/>
                <w:szCs w:val="22"/>
                <w14:textFill>
                  <w14:solidFill>
                    <w14:schemeClr w14:val="tx1"/>
                  </w14:solidFill>
                </w14:textFill>
              </w:rPr>
            </w:pPr>
            <w:r>
              <w:rPr>
                <w:rFonts w:asciiTheme="minorEastAsia" w:hAnsiTheme="minorEastAsia" w:eastAsiaTheme="minorEastAsia" w:cstheme="minorEastAsia"/>
                <w:b/>
                <w:color w:val="000000" w:themeColor="text1"/>
                <w:sz w:val="28"/>
                <w14:textFill>
                  <w14:solidFill>
                    <w14:schemeClr w14:val="tx1"/>
                  </w14:solidFill>
                </w14:textFill>
              </w:rPr>
              <w:t>编 制 时 间 ：</w:t>
            </w:r>
          </w:p>
        </w:tc>
        <w:tc>
          <w:tcPr>
            <w:tcW w:w="563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eastAsia" w:asciiTheme="minorEastAsia" w:hAnsiTheme="minorEastAsia" w:eastAsiaTheme="minorEastAsia" w:cstheme="minorEastAsia"/>
                <w:b/>
                <w:color w:val="000000" w:themeColor="text1"/>
                <w:sz w:val="28"/>
                <w:szCs w:val="22"/>
                <w14:textFill>
                  <w14:solidFill>
                    <w14:schemeClr w14:val="tx1"/>
                  </w14:solidFill>
                </w14:textFill>
              </w:rPr>
            </w:pPr>
            <w:r>
              <w:rPr>
                <w:rFonts w:hint="eastAsia" w:asciiTheme="minorEastAsia" w:hAnsiTheme="minorEastAsia" w:eastAsiaTheme="minorEastAsia" w:cstheme="minorEastAsia"/>
                <w:b/>
                <w:color w:val="000000" w:themeColor="text1"/>
                <w:sz w:val="28"/>
                <w:szCs w:val="22"/>
                <w14:textFill>
                  <w14:solidFill>
                    <w14:schemeClr w14:val="tx1"/>
                  </w14:solidFill>
                </w14:textFill>
              </w:rPr>
              <w:t xml:space="preserve">2 0 </w:t>
            </w:r>
            <w:r>
              <w:rPr>
                <w:rFonts w:hint="eastAsia" w:asciiTheme="minorEastAsia" w:hAnsiTheme="minorEastAsia" w:eastAsiaTheme="minorEastAsia" w:cstheme="minorEastAsia"/>
                <w:b/>
                <w:color w:val="000000" w:themeColor="text1"/>
                <w:sz w:val="28"/>
                <w:szCs w:val="22"/>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 w:val="28"/>
                <w:szCs w:val="22"/>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szCs w:val="22"/>
                <w:lang w:val="en-US" w:eastAsia="zh-CN"/>
                <w14:textFill>
                  <w14:solidFill>
                    <w14:schemeClr w14:val="tx1"/>
                  </w14:solidFill>
                </w14:textFill>
              </w:rPr>
              <w:t>0</w:t>
            </w:r>
            <w:r>
              <w:rPr>
                <w:rFonts w:hint="eastAsia" w:asciiTheme="minorEastAsia" w:hAnsiTheme="minorEastAsia" w:eastAsiaTheme="minorEastAsia" w:cstheme="minorEastAsia"/>
                <w:b/>
                <w:color w:val="000000" w:themeColor="text1"/>
                <w:sz w:val="28"/>
                <w:szCs w:val="22"/>
                <w14:textFill>
                  <w14:solidFill>
                    <w14:schemeClr w14:val="tx1"/>
                  </w14:solidFill>
                </w14:textFill>
              </w:rPr>
              <w:t>年</w:t>
            </w:r>
            <w:r>
              <w:rPr>
                <w:rFonts w:hint="eastAsia" w:asciiTheme="minorEastAsia" w:hAnsiTheme="minorEastAsia" w:eastAsiaTheme="minorEastAsia" w:cstheme="minorEastAsia"/>
                <w:b/>
                <w:color w:val="000000" w:themeColor="text1"/>
                <w:sz w:val="28"/>
                <w:szCs w:val="22"/>
                <w:lang w:val="en-US" w:eastAsia="zh-CN"/>
                <w14:textFill>
                  <w14:solidFill>
                    <w14:schemeClr w14:val="tx1"/>
                  </w14:solidFill>
                </w14:textFill>
              </w:rPr>
              <w:t xml:space="preserve"> 7</w:t>
            </w:r>
            <w:r>
              <w:rPr>
                <w:rFonts w:hint="eastAsia" w:asciiTheme="minorEastAsia" w:hAnsiTheme="minorEastAsia" w:eastAsiaTheme="minorEastAsia" w:cstheme="minorEastAsia"/>
                <w:b/>
                <w:color w:val="000000" w:themeColor="text1"/>
                <w:sz w:val="28"/>
                <w:szCs w:val="22"/>
                <w14:textFill>
                  <w14:solidFill>
                    <w14:schemeClr w14:val="tx1"/>
                  </w14:solidFill>
                </w14:textFill>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_Toc7379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_Toc7379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_Toc8961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_Toc8961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_Toc21972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_Toc21972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_Toc9844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_Toc9844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_Toc3509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_Toc3509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_Toc20289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_Toc23719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_Toc23719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七、 信息发布媒体</w:t>
      </w:r>
      <w:r>
        <w:rPr>
          <w:rFonts w:hint="eastAsia" w:asciiTheme="minorEastAsia" w:hAnsiTheme="minorEastAsia" w:eastAsiaTheme="minorEastAsia" w:cstheme="minorEastAsia"/>
          <w:szCs w:val="21"/>
          <w:lang w:val="en-US" w:eastAsia="zh-CN"/>
        </w:rPr>
        <w:t>及时间</w:t>
      </w:r>
      <w:r>
        <w:tab/>
      </w:r>
      <w:r>
        <w:fldChar w:fldCharType="begin"/>
      </w:r>
      <w:r>
        <w:instrText xml:space="preserve"> PAGEREF _Toc22156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_Toc31239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八、 注意事项</w:t>
      </w:r>
      <w:r>
        <w:tab/>
      </w:r>
      <w:r>
        <w:fldChar w:fldCharType="begin"/>
      </w:r>
      <w:r>
        <w:instrText xml:space="preserve"> PAGEREF _Toc31239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_Toc13765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_Toc13765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_Toc17132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_Toc17132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_Toc390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_Toc390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_Toc24056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_Toc24722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_Toc12006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_Toc12006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_Toc10160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_Toc10160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_Toc8052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_Toc8052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_Toc10608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_Toc10608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_Toc12431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_Toc12431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_Toc296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_Toc7662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_Toc7662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_Toc6812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_Toc28544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_Toc28544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_Toc28509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_Toc28509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_Toc18366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_Toc18366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_Toc28690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_Toc28690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_Toc9696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_Toc9696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_Toc28292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_Toc28292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_Toc13082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_Toc13082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_Toc13251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_Toc2233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_Toc32375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_Toc4874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_Toc4874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_Toc14555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_Toc14555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_Toc3578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_Toc3578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_Toc10075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_Toc10075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_Toc2988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_Toc7503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_Toc7503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_Toc31956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_Toc28781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_Toc28781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_Toc12504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_Toc12504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_Toc26853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_Toc26853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_Toc13316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_Toc13316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_Toc6982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_Toc6982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_Toc25685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_Toc25685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_Toc17049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_Toc17049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_Toc6567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_Toc6567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_Toc9309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_Toc25676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_Toc5439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_Toc5439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_Toc15696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_Toc15696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_Toc11469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_Toc11469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_Toc7676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_Toc7676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_Toc26475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_Toc24664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_Toc12632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_Toc12632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_Toc6320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_Toc27278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_Toc27278 </w:instrText>
      </w:r>
      <w:r>
        <w:fldChar w:fldCharType="separate"/>
      </w:r>
      <w:r>
        <w:t>28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_Toc22645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_Toc22645 </w:instrText>
      </w:r>
      <w:r>
        <w:fldChar w:fldCharType="separate"/>
      </w:r>
      <w:r>
        <w:t>29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_Toc12972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_Toc12972 </w:instrText>
      </w:r>
      <w:r>
        <w:fldChar w:fldCharType="separate"/>
      </w:r>
      <w:r>
        <w:t>29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_Toc3310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_Toc3310 </w:instrText>
      </w:r>
      <w:r>
        <w:fldChar w:fldCharType="separate"/>
      </w:r>
      <w:r>
        <w:t>31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_Toc1377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 xml:space="preserve"> 四、</w:t>
      </w:r>
      <w:r>
        <w:rPr>
          <w:rFonts w:hint="eastAsia" w:asciiTheme="minorEastAsia" w:hAnsiTheme="minorEastAsia" w:eastAsiaTheme="minorEastAsia" w:cstheme="minorEastAsia"/>
          <w:szCs w:val="21"/>
        </w:rPr>
        <w:t>评定办法</w:t>
      </w:r>
      <w:r>
        <w:tab/>
      </w:r>
      <w:r>
        <w:fldChar w:fldCharType="begin"/>
      </w:r>
      <w:r>
        <w:instrText xml:space="preserve"> PAGEREF _Toc142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_Toc13030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_Toc31730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_Toc31730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_Toc23943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_Toc23943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评分标准索引表</w:t>
      </w:r>
      <w:r>
        <w:tab/>
      </w:r>
      <w:r>
        <w:fldChar w:fldCharType="begin"/>
      </w:r>
      <w:r>
        <w:instrText xml:space="preserve"> PAGEREF _Toc11214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_Toc11349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_Toc11349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_Toc23387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三</w:t>
      </w:r>
      <w:r>
        <w:rPr>
          <w:rFonts w:hint="eastAsia" w:asciiTheme="minorEastAsia" w:hAnsiTheme="minorEastAsia" w:eastAsiaTheme="minorEastAsia" w:cstheme="minorEastAsia"/>
        </w:rPr>
        <w:t>、法定代表人授权书</w:t>
      </w:r>
      <w:r>
        <w:tab/>
      </w:r>
      <w:r>
        <w:fldChar w:fldCharType="begin"/>
      </w:r>
      <w:r>
        <w:instrText xml:space="preserve"> PAGEREF _Toc23387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 xml:space="preserve">  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_Toc9326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四</w:t>
      </w:r>
      <w:r>
        <w:rPr>
          <w:rFonts w:hint="eastAsia" w:asciiTheme="minorEastAsia" w:hAnsiTheme="minorEastAsia" w:eastAsiaTheme="minorEastAsia" w:cstheme="minorEastAsia"/>
          <w:bCs/>
          <w:szCs w:val="21"/>
        </w:rPr>
        <w:t>、报价一览表</w:t>
      </w:r>
      <w:r>
        <w:tab/>
      </w:r>
      <w:r>
        <w:fldChar w:fldCharType="begin"/>
      </w:r>
      <w:r>
        <w:instrText xml:space="preserve"> PAGEREF _Toc20216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_Toc25984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_Toc10531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、耗材清单（如有）</w:t>
      </w:r>
      <w:r>
        <w:tab/>
      </w:r>
      <w:r>
        <w:fldChar w:fldCharType="begin"/>
      </w:r>
      <w:r>
        <w:instrText xml:space="preserve"> PAGEREF _Toc10531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_Toc11126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七、拟投入设备/备件、工具情况（如有）</w:t>
      </w:r>
      <w:r>
        <w:tab/>
      </w:r>
      <w:r>
        <w:fldChar w:fldCharType="begin"/>
      </w:r>
      <w:r>
        <w:instrText xml:space="preserve"> PAGEREF _Toc11126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_Toc21498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_Toc21498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_Toc18026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_Toc31700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_Toc853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_Toc19396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_Toc19396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_Toc4884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_Toc4884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_Toc25337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_Toc25337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_Toc10938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lang w:val="en-US" w:eastAsia="zh-CN"/>
        </w:rPr>
        <w:t>十七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_Toc29274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_Toc12100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十八、节能环保产品证明材料（若符合）</w:t>
      </w:r>
      <w:r>
        <w:tab/>
      </w:r>
      <w:r>
        <w:fldChar w:fldCharType="begin"/>
      </w:r>
      <w:r>
        <w:instrText xml:space="preserve"> PAGEREF _Toc12100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十九</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_Toc11219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_Toc4144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二十、参加本次政府采购活动前3年内发生诉讼及仲裁情况表</w:t>
      </w:r>
      <w:r>
        <w:tab/>
      </w:r>
      <w:r>
        <w:fldChar w:fldCharType="begin"/>
      </w:r>
      <w:r>
        <w:instrText xml:space="preserve"> PAGEREF _Toc4144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_Toc14632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_Toc14632 </w:instrText>
      </w:r>
      <w:r>
        <w:fldChar w:fldCharType="separate"/>
      </w:r>
      <w:r>
        <w:t>62</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bookmarkStart w:id="0" w:name="_Toc7379"/>
      <w:r>
        <w:rPr>
          <w:rFonts w:hint="eastAsia" w:asciiTheme="minorEastAsia" w:hAnsiTheme="minorEastAsia" w:eastAsiaTheme="minorEastAsia" w:cstheme="minorEastAsia"/>
          <w:sz w:val="36"/>
          <w:szCs w:val="36"/>
        </w:rPr>
        <w:t>竞争性磋商采购公告</w:t>
      </w:r>
      <w:bookmarkEnd w:id="0"/>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rPr>
      </w:pP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项目概况：</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听涛德祐剧场可研及设计服务项目的潜在供应商应在中经国际招标集团有限公司（武昌区中北路岳家嘴立交山河企业大厦48楼4805室）或线上获取采购文件,并于2020年8月10日10点00分（北京时间）前递交响应文件。</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1" w:name="_Toc1828"/>
      <w:r>
        <w:rPr>
          <w:rFonts w:hint="eastAsia" w:ascii="宋体" w:hAnsi="宋体" w:eastAsia="宋体" w:cs="宋体"/>
          <w:color w:val="000000" w:themeColor="text1"/>
          <w:sz w:val="21"/>
          <w:szCs w:val="21"/>
          <w14:textFill>
            <w14:solidFill>
              <w14:schemeClr w14:val="tx1"/>
            </w14:solidFill>
          </w14:textFill>
        </w:rPr>
        <w:t>项目基本情况</w:t>
      </w:r>
      <w:bookmarkEnd w:id="1"/>
    </w:p>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1、项目编号：</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ZJZB-202007-214</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2、项目名称：听涛德祐剧场可研及设计服务项目</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3、采购方式：竞争性磋商 </w:t>
      </w:r>
    </w:p>
    <w:p>
      <w:pPr>
        <w:spacing w:line="360" w:lineRule="auto"/>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、预算</w:t>
      </w:r>
      <w:r>
        <w:rPr>
          <w:rFonts w:hint="eastAsia" w:ascii="宋体" w:hAnsi="宋体" w:eastAsia="宋体" w:cs="宋体"/>
          <w:color w:val="000000" w:themeColor="text1"/>
          <w:sz w:val="21"/>
          <w:szCs w:val="21"/>
          <w:lang w:eastAsia="zh-CN"/>
          <w14:textFill>
            <w14:solidFill>
              <w14:schemeClr w14:val="tx1"/>
            </w14:solidFill>
          </w14:textFill>
        </w:rPr>
        <w:t>金额</w:t>
      </w:r>
      <w:r>
        <w:rPr>
          <w:rFonts w:hint="eastAsia" w:ascii="宋体" w:hAnsi="宋体" w:eastAsia="宋体" w:cs="宋体"/>
          <w:color w:val="000000" w:themeColor="text1"/>
          <w:sz w:val="21"/>
          <w:szCs w:val="21"/>
          <w14:textFill>
            <w14:solidFill>
              <w14:schemeClr w14:val="tx1"/>
            </w14:solidFill>
          </w14:textFill>
        </w:rPr>
        <w:t>：人民币</w:t>
      </w:r>
      <w:r>
        <w:rPr>
          <w:rFonts w:hint="eastAsia" w:ascii="宋体" w:hAnsi="宋体" w:cs="宋体"/>
          <w:color w:val="000000" w:themeColor="text1"/>
          <w:sz w:val="21"/>
          <w:szCs w:val="21"/>
          <w:u w:val="single"/>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万元</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5、最高限价：</w:t>
      </w:r>
      <w:r>
        <w:rPr>
          <w:rFonts w:hint="eastAsia" w:ascii="宋体" w:hAnsi="宋体" w:eastAsia="宋体" w:cs="宋体"/>
          <w:color w:val="000000" w:themeColor="text1"/>
          <w:sz w:val="21"/>
          <w:szCs w:val="21"/>
          <w14:textFill>
            <w14:solidFill>
              <w14:schemeClr w14:val="tx1"/>
            </w14:solidFill>
          </w14:textFill>
        </w:rPr>
        <w:t>人民币</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cs="宋体"/>
          <w:color w:val="000000" w:themeColor="text1"/>
          <w:sz w:val="21"/>
          <w:szCs w:val="21"/>
          <w:u w:val="single"/>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万元</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采购</w:t>
      </w:r>
      <w:r>
        <w:rPr>
          <w:rFonts w:hint="eastAsia" w:ascii="宋体" w:hAnsi="宋体" w:eastAsia="宋体" w:cs="宋体"/>
          <w:color w:val="000000" w:themeColor="text1"/>
          <w:sz w:val="21"/>
          <w:szCs w:val="21"/>
          <w14:textFill>
            <w14:solidFill>
              <w14:schemeClr w14:val="tx1"/>
            </w14:solidFill>
          </w14:textFill>
        </w:rPr>
        <w:t>需求：本次</w:t>
      </w:r>
      <w:r>
        <w:rPr>
          <w:rFonts w:hint="eastAsia" w:ascii="宋体" w:hAnsi="宋体" w:eastAsia="宋体" w:cs="宋体"/>
          <w:color w:val="000000" w:themeColor="text1"/>
          <w:sz w:val="21"/>
          <w:szCs w:val="21"/>
          <w:lang w:val="en-US" w:eastAsia="zh-CN"/>
          <w14:textFill>
            <w14:solidFill>
              <w14:schemeClr w14:val="tx1"/>
            </w14:solidFill>
          </w14:textFill>
        </w:rPr>
        <w:t>竞争性磋商采购</w:t>
      </w:r>
      <w:r>
        <w:rPr>
          <w:rFonts w:hint="eastAsia" w:ascii="宋体" w:hAnsi="宋体" w:eastAsia="宋体" w:cs="宋体"/>
          <w:color w:val="000000" w:themeColor="text1"/>
          <w:sz w:val="21"/>
          <w:szCs w:val="21"/>
          <w14:textFill>
            <w14:solidFill>
              <w14:schemeClr w14:val="tx1"/>
            </w14:solidFill>
          </w14:textFill>
        </w:rPr>
        <w:t>共分</w:t>
      </w:r>
      <w:r>
        <w:rPr>
          <w:rFonts w:hint="eastAsia" w:ascii="宋体" w:hAnsi="宋体" w:eastAsia="宋体" w:cs="宋体"/>
          <w:color w:val="000000" w:themeColor="text1"/>
          <w:sz w:val="21"/>
          <w:szCs w:val="21"/>
          <w:u w:val="single"/>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个项目包，具体需求如下，详细技术规格、参数及商务要求见本项目</w:t>
      </w:r>
      <w:r>
        <w:rPr>
          <w:rFonts w:hint="eastAsia" w:ascii="宋体" w:hAnsi="宋体" w:eastAsia="宋体" w:cs="宋体"/>
          <w:color w:val="000000" w:themeColor="text1"/>
          <w:sz w:val="21"/>
          <w:szCs w:val="21"/>
          <w:lang w:val="en-US" w:eastAsia="zh-CN"/>
          <w14:textFill>
            <w14:solidFill>
              <w14:schemeClr w14:val="tx1"/>
            </w14:solidFill>
          </w14:textFill>
        </w:rPr>
        <w:t>采购</w:t>
      </w:r>
      <w:r>
        <w:rPr>
          <w:rFonts w:hint="eastAsia" w:ascii="宋体" w:hAnsi="宋体" w:eastAsia="宋体" w:cs="宋体"/>
          <w:color w:val="000000" w:themeColor="text1"/>
          <w:sz w:val="21"/>
          <w:szCs w:val="21"/>
          <w14:textFill>
            <w14:solidFill>
              <w14:schemeClr w14:val="tx1"/>
            </w14:solidFill>
          </w14:textFill>
        </w:rPr>
        <w:t>文件第三章内容。</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类别：</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服务</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简要技术要求/项目性质：</w:t>
      </w:r>
      <w:r>
        <w:rPr>
          <w:rFonts w:hint="eastAsia" w:asciiTheme="minorEastAsia" w:hAnsiTheme="minorEastAsia" w:eastAsiaTheme="minorEastAsia" w:cstheme="minorEastAsia"/>
          <w:b w:val="0"/>
          <w:bCs w:val="0"/>
          <w:color w:val="000000" w:themeColor="text1"/>
          <w:kern w:val="2"/>
          <w:sz w:val="21"/>
          <w:szCs w:val="21"/>
          <w:highlight w:val="none"/>
          <w:lang w:val="en-US" w:eastAsia="zh-CN" w:bidi="ar-SA"/>
          <w14:textFill>
            <w14:solidFill>
              <w14:schemeClr w14:val="tx1"/>
            </w14:solidFill>
          </w14:textFill>
        </w:rPr>
        <w:t>可研编制、初步设计及概算、施工图设计及施工过程中的设计咨询和服务</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服务期</w:t>
      </w:r>
      <w:r>
        <w:rPr>
          <w:rFonts w:hint="eastAsia" w:ascii="宋体" w:hAnsi="宋体" w:eastAsia="宋体" w:cs="宋体"/>
          <w:color w:val="000000" w:themeColor="text1"/>
          <w:sz w:val="21"/>
          <w:szCs w:val="21"/>
          <w14:textFill>
            <w14:solidFill>
              <w14:schemeClr w14:val="tx1"/>
            </w14:solidFill>
          </w14:textFill>
        </w:rPr>
        <w:t>：可研编制</w:t>
      </w:r>
      <w:r>
        <w:rPr>
          <w:rFonts w:hint="eastAsia" w:ascii="宋体" w:hAnsi="宋体" w:eastAsia="宋体" w:cs="宋体"/>
          <w:color w:val="000000" w:themeColor="text1"/>
          <w:sz w:val="21"/>
          <w:szCs w:val="21"/>
          <w:u w:val="single"/>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天，初步设计及概算</w:t>
      </w:r>
      <w:r>
        <w:rPr>
          <w:rFonts w:hint="eastAsia" w:ascii="宋体" w:hAnsi="宋体" w:eastAsia="宋体" w:cs="宋体"/>
          <w:color w:val="000000" w:themeColor="text1"/>
          <w:sz w:val="21"/>
          <w:szCs w:val="21"/>
          <w:u w:val="single"/>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天，施工图设计</w:t>
      </w:r>
      <w:r>
        <w:rPr>
          <w:rFonts w:hint="eastAsia" w:ascii="宋体" w:hAnsi="宋体" w:eastAsia="宋体" w:cs="宋体"/>
          <w:color w:val="000000" w:themeColor="text1"/>
          <w:sz w:val="21"/>
          <w:szCs w:val="21"/>
          <w:u w:val="single"/>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天</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其他</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竞标</w:t>
      </w:r>
      <w:r>
        <w:rPr>
          <w:rFonts w:hint="eastAsia" w:ascii="宋体" w:hAnsi="宋体" w:eastAsia="宋体" w:cs="宋体"/>
          <w:color w:val="000000" w:themeColor="text1"/>
          <w:sz w:val="21"/>
          <w:szCs w:val="21"/>
          <w14:textFill>
            <w14:solidFill>
              <w14:schemeClr w14:val="tx1"/>
            </w14:solidFill>
          </w14:textFill>
        </w:rPr>
        <w:t>的报价超过该包采购最高限价的，该包</w:t>
      </w:r>
      <w:r>
        <w:rPr>
          <w:rFonts w:hint="eastAsia" w:ascii="宋体" w:hAnsi="宋体" w:eastAsia="宋体" w:cs="宋体"/>
          <w:color w:val="000000" w:themeColor="text1"/>
          <w:sz w:val="21"/>
          <w:szCs w:val="21"/>
          <w:lang w:eastAsia="zh-CN"/>
          <w14:textFill>
            <w14:solidFill>
              <w14:schemeClr w14:val="tx1"/>
            </w14:solidFill>
          </w14:textFill>
        </w:rPr>
        <w:t>竞标</w:t>
      </w:r>
      <w:r>
        <w:rPr>
          <w:rFonts w:hint="eastAsia" w:ascii="宋体" w:hAnsi="宋体" w:eastAsia="宋体" w:cs="宋体"/>
          <w:color w:val="000000" w:themeColor="text1"/>
          <w:sz w:val="21"/>
          <w:szCs w:val="21"/>
          <w14:textFill>
            <w14:solidFill>
              <w14:schemeClr w14:val="tx1"/>
            </w14:solidFill>
          </w14:textFill>
        </w:rPr>
        <w:t>无效；</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报价须包含该采购</w:t>
      </w:r>
      <w:r>
        <w:rPr>
          <w:rFonts w:hint="eastAsia" w:ascii="宋体" w:hAnsi="宋体" w:eastAsia="宋体" w:cs="宋体"/>
          <w:color w:val="000000" w:themeColor="text1"/>
          <w:sz w:val="21"/>
          <w:szCs w:val="21"/>
          <w:lang w:eastAsia="zh-CN"/>
          <w14:textFill>
            <w14:solidFill>
              <w14:schemeClr w14:val="tx1"/>
            </w14:solidFill>
          </w14:textFill>
        </w:rPr>
        <w:t>需求</w:t>
      </w:r>
      <w:r>
        <w:rPr>
          <w:rFonts w:hint="eastAsia" w:ascii="宋体" w:hAnsi="宋体" w:eastAsia="宋体" w:cs="宋体"/>
          <w:color w:val="000000" w:themeColor="text1"/>
          <w:sz w:val="21"/>
          <w:szCs w:val="21"/>
          <w14:textFill>
            <w14:solidFill>
              <w14:schemeClr w14:val="tx1"/>
            </w14:solidFill>
          </w14:textFill>
        </w:rPr>
        <w:t>的全部内容。</w:t>
      </w:r>
    </w:p>
    <w:p>
      <w:pPr>
        <w:numPr>
          <w:ilvl w:val="0"/>
          <w:numId w:val="7"/>
        </w:num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合同履行期限</w:t>
      </w:r>
      <w:r>
        <w:rPr>
          <w:rFonts w:hint="eastAsia" w:ascii="宋体" w:hAnsi="宋体" w:eastAsia="宋体" w:cs="宋体"/>
          <w:color w:val="000000" w:themeColor="text1"/>
          <w:sz w:val="21"/>
          <w:szCs w:val="21"/>
          <w:lang w:eastAsia="zh-CN"/>
          <w14:textFill>
            <w14:solidFill>
              <w14:schemeClr w14:val="tx1"/>
            </w14:solidFill>
          </w14:textFill>
        </w:rPr>
        <w:t>：可研编制</w:t>
      </w:r>
      <w:r>
        <w:rPr>
          <w:rFonts w:hint="eastAsia" w:ascii="宋体" w:hAnsi="宋体" w:eastAsia="宋体" w:cs="宋体"/>
          <w:color w:val="000000" w:themeColor="text1"/>
          <w:sz w:val="21"/>
          <w:szCs w:val="21"/>
          <w:u w:val="single"/>
          <w:lang w:eastAsia="zh-CN"/>
          <w14:textFill>
            <w14:solidFill>
              <w14:schemeClr w14:val="tx1"/>
            </w14:solidFill>
          </w14:textFill>
        </w:rPr>
        <w:t>7</w:t>
      </w:r>
      <w:r>
        <w:rPr>
          <w:rFonts w:hint="eastAsia" w:ascii="宋体" w:hAnsi="宋体" w:eastAsia="宋体" w:cs="宋体"/>
          <w:color w:val="000000" w:themeColor="text1"/>
          <w:sz w:val="21"/>
          <w:szCs w:val="21"/>
          <w:lang w:eastAsia="zh-CN"/>
          <w14:textFill>
            <w14:solidFill>
              <w14:schemeClr w14:val="tx1"/>
            </w14:solidFill>
          </w14:textFill>
        </w:rPr>
        <w:t>天，初步设计及概算</w:t>
      </w:r>
      <w:r>
        <w:rPr>
          <w:rFonts w:hint="eastAsia" w:ascii="宋体" w:hAnsi="宋体" w:eastAsia="宋体" w:cs="宋体"/>
          <w:color w:val="000000" w:themeColor="text1"/>
          <w:sz w:val="21"/>
          <w:szCs w:val="21"/>
          <w:u w:val="single"/>
          <w:lang w:eastAsia="zh-CN"/>
          <w14:textFill>
            <w14:solidFill>
              <w14:schemeClr w14:val="tx1"/>
            </w14:solidFill>
          </w14:textFill>
        </w:rPr>
        <w:t>10</w:t>
      </w:r>
      <w:r>
        <w:rPr>
          <w:rFonts w:hint="eastAsia" w:ascii="宋体" w:hAnsi="宋体" w:eastAsia="宋体" w:cs="宋体"/>
          <w:color w:val="000000" w:themeColor="text1"/>
          <w:sz w:val="21"/>
          <w:szCs w:val="21"/>
          <w:lang w:eastAsia="zh-CN"/>
          <w14:textFill>
            <w14:solidFill>
              <w14:schemeClr w14:val="tx1"/>
            </w14:solidFill>
          </w14:textFill>
        </w:rPr>
        <w:t>天，施工图设计</w:t>
      </w:r>
      <w:r>
        <w:rPr>
          <w:rFonts w:hint="eastAsia" w:ascii="宋体" w:hAnsi="宋体" w:eastAsia="宋体" w:cs="宋体"/>
          <w:color w:val="000000" w:themeColor="text1"/>
          <w:sz w:val="21"/>
          <w:szCs w:val="21"/>
          <w:u w:val="single"/>
          <w:lang w:eastAsia="zh-CN"/>
          <w14:textFill>
            <w14:solidFill>
              <w14:schemeClr w14:val="tx1"/>
            </w14:solidFill>
          </w14:textFill>
        </w:rPr>
        <w:t>7</w:t>
      </w:r>
      <w:r>
        <w:rPr>
          <w:rFonts w:hint="eastAsia" w:ascii="宋体" w:hAnsi="宋体" w:eastAsia="宋体" w:cs="宋体"/>
          <w:color w:val="000000" w:themeColor="text1"/>
          <w:sz w:val="21"/>
          <w:szCs w:val="21"/>
          <w:lang w:eastAsia="zh-CN"/>
          <w14:textFill>
            <w14:solidFill>
              <w14:schemeClr w14:val="tx1"/>
            </w14:solidFill>
          </w14:textFill>
        </w:rPr>
        <w:t>天</w:t>
      </w:r>
    </w:p>
    <w:p>
      <w:pPr>
        <w:numPr>
          <w:ilvl w:val="0"/>
          <w:numId w:val="0"/>
        </w:num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lang w:val="en-US" w:eastAsia="zh-CN"/>
          <w14:textFill>
            <w14:solidFill>
              <w14:schemeClr w14:val="tx1"/>
            </w14:solidFill>
          </w14:textFill>
        </w:rPr>
        <w:t>本项目</w:t>
      </w:r>
      <w:r>
        <w:rPr>
          <w:rFonts w:hint="eastAsia" w:ascii="宋体" w:hAnsi="宋体" w:eastAsia="宋体" w:cs="宋体"/>
          <w:color w:val="000000" w:themeColor="text1"/>
          <w:sz w:val="21"/>
          <w:szCs w:val="21"/>
          <w:u w:val="single"/>
          <w:lang w:val="en-US" w:eastAsia="zh-CN"/>
          <w14:textFill>
            <w14:solidFill>
              <w14:schemeClr w14:val="tx1"/>
            </w14:solidFill>
          </w14:textFill>
        </w:rPr>
        <w:t>不接受</w:t>
      </w:r>
      <w:r>
        <w:rPr>
          <w:rFonts w:hint="eastAsia" w:ascii="宋体" w:hAnsi="宋体" w:eastAsia="宋体" w:cs="宋体"/>
          <w:color w:val="000000" w:themeColor="text1"/>
          <w:sz w:val="21"/>
          <w:szCs w:val="21"/>
          <w:lang w:val="en-US" w:eastAsia="zh-CN"/>
          <w14:textFill>
            <w14:solidFill>
              <w14:schemeClr w14:val="tx1"/>
            </w14:solidFill>
          </w14:textFill>
        </w:rPr>
        <w:t>联合体竞标；</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2" w:name="_Toc9521"/>
      <w:r>
        <w:rPr>
          <w:rFonts w:hint="eastAsia" w:ascii="宋体" w:hAnsi="宋体" w:eastAsia="宋体" w:cs="宋体"/>
          <w:color w:val="000000" w:themeColor="text1"/>
          <w:sz w:val="21"/>
          <w:szCs w:val="21"/>
          <w14:textFill>
            <w14:solidFill>
              <w14:schemeClr w14:val="tx1"/>
            </w14:solidFill>
          </w14:textFill>
        </w:rPr>
        <w:t>申请人的资格要求</w:t>
      </w:r>
      <w:bookmarkEnd w:id="2"/>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1.1具有独立承担民事责任的能力（经营范围需满足采购需求）；</w:t>
      </w:r>
    </w:p>
    <w:p>
      <w:pPr>
        <w:keepNext w:val="0"/>
        <w:keepLines w:val="0"/>
        <w:pageBreakBefore w:val="0"/>
        <w:widowControl w:val="0"/>
        <w:kinsoku/>
        <w:wordWrap/>
        <w:overflowPunct/>
        <w:topLinePunct w:val="0"/>
        <w:autoSpaceDE/>
        <w:autoSpaceDN/>
        <w:bidi w:val="0"/>
        <w:adjustRightInd/>
        <w:snapToGrid/>
        <w:spacing w:line="360" w:lineRule="auto"/>
        <w:ind w:left="0" w:firstLine="315" w:firstLineChars="15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left="0" w:firstLine="315" w:firstLineChars="15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left="0" w:firstLine="315" w:firstLineChars="15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left="0" w:firstLine="315" w:firstLineChars="15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1.5参加政府采购活动前三年内，在经营活动中没有重大违法记录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left="0" w:firstLine="315" w:firstLineChars="15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1.6法律、行政法规规定的其他条件；</w:t>
      </w:r>
    </w:p>
    <w:p>
      <w:pPr>
        <w:numPr>
          <w:ilvl w:val="0"/>
          <w:numId w:val="8"/>
        </w:numPr>
        <w:spacing w:line="360" w:lineRule="auto"/>
        <w:ind w:firstLine="420" w:firstLineChars="200"/>
        <w:jc w:val="left"/>
        <w:rPr>
          <w:rFonts w:hint="eastAsia" w:ascii="宋体" w:hAnsi="宋体" w:eastAsia="宋体" w:cs="宋体"/>
          <w:strike w:val="0"/>
          <w:dstrike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r>
        <w:rPr>
          <w:rFonts w:hint="eastAsia" w:ascii="宋体" w:hAnsi="宋体" w:eastAsia="宋体" w:cs="宋体"/>
          <w:strike w:val="0"/>
          <w:dstrike w:val="0"/>
          <w:color w:val="000000" w:themeColor="text1"/>
          <w:sz w:val="21"/>
          <w:szCs w:val="21"/>
          <w14:textFill>
            <w14:solidFill>
              <w14:schemeClr w14:val="tx1"/>
            </w14:solidFill>
          </w14:textFill>
        </w:rPr>
        <w:t>本项目需落实政府采购强制、优先采购节能产品政策；政府采购优先采购环保产品政策；政府采购促进中小企业发展（监狱企业、残疾人福利性单位视同小微企业）等政策详见</w:t>
      </w:r>
      <w:r>
        <w:rPr>
          <w:rFonts w:hint="eastAsia" w:ascii="宋体" w:hAnsi="宋体" w:eastAsia="宋体" w:cs="宋体"/>
          <w:strike w:val="0"/>
          <w:dstrike w:val="0"/>
          <w:color w:val="000000" w:themeColor="text1"/>
          <w:sz w:val="21"/>
          <w:szCs w:val="21"/>
          <w:lang w:val="en-US" w:eastAsia="zh-CN"/>
          <w14:textFill>
            <w14:solidFill>
              <w14:schemeClr w14:val="tx1"/>
            </w14:solidFill>
          </w14:textFill>
        </w:rPr>
        <w:t>采购</w:t>
      </w:r>
      <w:r>
        <w:rPr>
          <w:rFonts w:hint="eastAsia" w:ascii="宋体" w:hAnsi="宋体" w:eastAsia="宋体" w:cs="宋体"/>
          <w:strike w:val="0"/>
          <w:dstrike w:val="0"/>
          <w:color w:val="000000" w:themeColor="text1"/>
          <w:sz w:val="21"/>
          <w:szCs w:val="21"/>
          <w14:textFill>
            <w14:solidFill>
              <w14:schemeClr w14:val="tx1"/>
            </w14:solidFill>
          </w14:textFill>
        </w:rPr>
        <w:t>文件；</w:t>
      </w:r>
    </w:p>
    <w:p>
      <w:pPr>
        <w:numPr>
          <w:ilvl w:val="0"/>
          <w:numId w:val="8"/>
        </w:numPr>
        <w:spacing w:line="360" w:lineRule="auto"/>
        <w:ind w:firstLine="422" w:firstLineChars="2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本项目的特定资格要求：</w:t>
      </w:r>
    </w:p>
    <w:p>
      <w:pPr>
        <w:numPr>
          <w:ilvl w:val="0"/>
          <w:numId w:val="0"/>
        </w:numPr>
        <w:spacing w:line="360" w:lineRule="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宋体" w:hAnsi="宋体" w:eastAsia="宋体" w:cs="宋体"/>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lang w:val="en-US" w:eastAsia="zh-CN"/>
          <w14:textFill>
            <w14:solidFill>
              <w14:schemeClr w14:val="tx1"/>
            </w14:solidFill>
          </w14:textFill>
        </w:rPr>
        <w:t>3.2供应商须具有建设行政主管部门颁发的建筑行业（建筑工程）乙级及以上资质或市政行业乙级资质</w:t>
      </w:r>
      <w:r>
        <w:rPr>
          <w:rFonts w:hint="eastAsia" w:asciiTheme="minorEastAsia" w:hAnsiTheme="minorEastAsia" w:eastAsiaTheme="minorEastAsia" w:cstheme="minorEastAsia"/>
          <w:color w:val="000000" w:themeColor="text1"/>
          <w:u w:val="none"/>
          <w:lang w:val="en-US" w:eastAsia="zh-CN"/>
          <w14:textFill>
            <w14:solidFill>
              <w14:schemeClr w14:val="tx1"/>
            </w14:solidFill>
          </w14:textFill>
        </w:rPr>
        <w:t>；</w:t>
      </w:r>
    </w:p>
    <w:p>
      <w:pPr>
        <w:numPr>
          <w:ilvl w:val="0"/>
          <w:numId w:val="0"/>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3.3供应商为在全国投资项目在线审批监管平台上备案的工程咨询单位,需具备建筑咨询专业（须提供备案截图）；</w:t>
      </w:r>
    </w:p>
    <w:p>
      <w:pPr>
        <w:numPr>
          <w:ilvl w:val="0"/>
          <w:numId w:val="0"/>
        </w:num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如国家法律法规对市场准入有要求的还应符合相关规定；</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3" w:name="_Toc6429"/>
      <w:bookmarkStart w:id="4" w:name="_Toc334539185"/>
      <w:r>
        <w:rPr>
          <w:rFonts w:hint="eastAsia" w:ascii="宋体" w:hAnsi="宋体" w:eastAsia="宋体" w:cs="宋体"/>
          <w:color w:val="000000" w:themeColor="text1"/>
          <w:sz w:val="21"/>
          <w:szCs w:val="21"/>
          <w14:textFill>
            <w14:solidFill>
              <w14:schemeClr w14:val="tx1"/>
            </w14:solidFill>
          </w14:textFill>
        </w:rPr>
        <w:t>获取</w:t>
      </w:r>
      <w:r>
        <w:rPr>
          <w:rFonts w:hint="eastAsia" w:ascii="宋体" w:hAnsi="宋体" w:eastAsia="宋体" w:cs="宋体"/>
          <w:color w:val="000000" w:themeColor="text1"/>
          <w:sz w:val="21"/>
          <w:szCs w:val="21"/>
          <w:lang w:eastAsia="zh-CN"/>
          <w14:textFill>
            <w14:solidFill>
              <w14:schemeClr w14:val="tx1"/>
            </w14:solidFill>
          </w14:textFill>
        </w:rPr>
        <w:t>采购</w:t>
      </w:r>
      <w:r>
        <w:rPr>
          <w:rFonts w:hint="eastAsia" w:ascii="宋体" w:hAnsi="宋体" w:eastAsia="宋体" w:cs="宋体"/>
          <w:color w:val="000000" w:themeColor="text1"/>
          <w:sz w:val="21"/>
          <w:szCs w:val="21"/>
          <w14:textFill>
            <w14:solidFill>
              <w14:schemeClr w14:val="tx1"/>
            </w14:solidFill>
          </w14:textFill>
        </w:rPr>
        <w:t>文件</w:t>
      </w:r>
      <w:bookmarkEnd w:id="3"/>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时间：</w:t>
      </w:r>
      <w:r>
        <w:rPr>
          <w:rFonts w:hint="eastAsia" w:ascii="宋体" w:hAnsi="宋体" w:eastAsia="宋体" w:cs="宋体"/>
          <w:color w:val="000000" w:themeColor="text1"/>
          <w:sz w:val="21"/>
          <w:szCs w:val="21"/>
          <w:u w:val="single"/>
          <w:lang w:val="en-US" w:eastAsia="zh-CN"/>
          <w14:textFill>
            <w14:solidFill>
              <w14:schemeClr w14:val="tx1"/>
            </w14:solidFill>
          </w14:textFill>
        </w:rPr>
        <w:t>2020</w:t>
      </w:r>
      <w:r>
        <w:rPr>
          <w:rFonts w:hint="eastAsia" w:ascii="宋体" w:hAnsi="宋体" w:eastAsia="宋体" w:cs="宋体"/>
          <w:color w:val="000000" w:themeColor="text1"/>
          <w:sz w:val="21"/>
          <w:szCs w:val="21"/>
          <w:u w:val="single"/>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7</w:t>
      </w:r>
      <w:r>
        <w:rPr>
          <w:rFonts w:hint="eastAsia" w:ascii="宋体" w:hAnsi="宋体" w:eastAsia="宋体" w:cs="宋体"/>
          <w:color w:val="000000" w:themeColor="text1"/>
          <w:sz w:val="21"/>
          <w:szCs w:val="21"/>
          <w:u w:val="single"/>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30</w:t>
      </w:r>
      <w:r>
        <w:rPr>
          <w:rFonts w:hint="eastAsia" w:ascii="宋体" w:hAnsi="宋体" w:eastAsia="宋体" w:cs="宋体"/>
          <w:color w:val="000000" w:themeColor="text1"/>
          <w:sz w:val="21"/>
          <w:szCs w:val="21"/>
          <w:u w:val="single"/>
          <w14:textFill>
            <w14:solidFill>
              <w14:schemeClr w14:val="tx1"/>
            </w14:solidFill>
          </w14:textFill>
        </w:rPr>
        <w:t>日至</w:t>
      </w:r>
      <w:r>
        <w:rPr>
          <w:rFonts w:hint="eastAsia" w:ascii="宋体" w:hAnsi="宋体" w:eastAsia="宋体" w:cs="宋体"/>
          <w:color w:val="000000" w:themeColor="text1"/>
          <w:sz w:val="21"/>
          <w:szCs w:val="21"/>
          <w:u w:val="single"/>
          <w:lang w:val="en-US" w:eastAsia="zh-CN"/>
          <w14:textFill>
            <w14:solidFill>
              <w14:schemeClr w14:val="tx1"/>
            </w14:solidFill>
          </w14:textFill>
        </w:rPr>
        <w:t>2020</w:t>
      </w:r>
      <w:r>
        <w:rPr>
          <w:rFonts w:hint="eastAsia" w:ascii="宋体" w:hAnsi="宋体" w:eastAsia="宋体" w:cs="宋体"/>
          <w:color w:val="000000" w:themeColor="text1"/>
          <w:sz w:val="21"/>
          <w:szCs w:val="21"/>
          <w:u w:val="single"/>
          <w14:textFill>
            <w14:solidFill>
              <w14:schemeClr w14:val="tx1"/>
            </w14:solidFill>
          </w14:textFill>
        </w:rPr>
        <w:t>年</w:t>
      </w:r>
      <w:bookmarkStart w:id="244" w:name="_GoBack"/>
      <w:bookmarkEnd w:id="244"/>
      <w:r>
        <w:rPr>
          <w:rFonts w:hint="eastAsia" w:ascii="宋体" w:hAnsi="宋体" w:cs="宋体"/>
          <w:color w:val="000000" w:themeColor="text1"/>
          <w:sz w:val="21"/>
          <w:szCs w:val="21"/>
          <w:u w:val="single"/>
          <w:lang w:val="en-US" w:eastAsia="zh-CN"/>
          <w14:textFill>
            <w14:solidFill>
              <w14:schemeClr w14:val="tx1"/>
            </w14:solidFill>
          </w14:textFill>
        </w:rPr>
        <w:t>8</w:t>
      </w:r>
      <w:r>
        <w:rPr>
          <w:rFonts w:hint="eastAsia" w:ascii="宋体" w:hAnsi="宋体" w:eastAsia="宋体" w:cs="宋体"/>
          <w:color w:val="000000" w:themeColor="text1"/>
          <w:sz w:val="21"/>
          <w:szCs w:val="21"/>
          <w:u w:val="single"/>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5</w:t>
      </w:r>
      <w:r>
        <w:rPr>
          <w:rFonts w:hint="eastAsia" w:ascii="宋体" w:hAnsi="宋体" w:eastAsia="宋体" w:cs="宋体"/>
          <w:color w:val="000000" w:themeColor="text1"/>
          <w:sz w:val="21"/>
          <w:szCs w:val="21"/>
          <w:u w:val="single"/>
          <w14:textFill>
            <w14:solidFill>
              <w14:schemeClr w14:val="tx1"/>
            </w14:solidFill>
          </w14:textFill>
        </w:rPr>
        <w:t>日</w:t>
      </w:r>
      <w:r>
        <w:rPr>
          <w:rFonts w:hint="eastAsia" w:ascii="宋体" w:hAnsi="宋体" w:eastAsia="宋体" w:cs="宋体"/>
          <w:color w:val="000000" w:themeColor="text1"/>
          <w:sz w:val="21"/>
          <w:szCs w:val="21"/>
          <w14:textFill>
            <w14:solidFill>
              <w14:schemeClr w14:val="tx1"/>
            </w14:solidFill>
          </w14:textFill>
        </w:rPr>
        <w:t>（提供期限自本公告发布</w:t>
      </w:r>
      <w:r>
        <w:rPr>
          <w:rFonts w:hint="eastAsia" w:ascii="宋体" w:hAnsi="宋体" w:eastAsia="宋体" w:cs="宋体"/>
          <w:color w:val="000000" w:themeColor="text1"/>
          <w:sz w:val="21"/>
          <w:szCs w:val="21"/>
          <w:lang w:eastAsia="zh-CN"/>
          <w14:textFill>
            <w14:solidFill>
              <w14:schemeClr w14:val="tx1"/>
            </w14:solidFill>
          </w14:textFill>
        </w:rPr>
        <w:t>之</w:t>
      </w:r>
      <w:r>
        <w:rPr>
          <w:rFonts w:hint="eastAsia" w:ascii="宋体" w:hAnsi="宋体" w:eastAsia="宋体" w:cs="宋体"/>
          <w:color w:val="000000" w:themeColor="text1"/>
          <w:sz w:val="21"/>
          <w:szCs w:val="21"/>
          <w14:textFill>
            <w14:solidFill>
              <w14:schemeClr w14:val="tx1"/>
            </w14:solidFill>
          </w14:textFill>
        </w:rPr>
        <w:t>日起</w:t>
      </w:r>
      <w:r>
        <w:rPr>
          <w:rFonts w:hint="eastAsia" w:ascii="宋体" w:hAnsi="宋体" w:eastAsia="宋体" w:cs="宋体"/>
          <w:color w:val="000000" w:themeColor="text1"/>
          <w:sz w:val="21"/>
          <w:szCs w:val="21"/>
          <w:lang w:eastAsia="zh-CN"/>
          <w14:textFill>
            <w14:solidFill>
              <w14:schemeClr w14:val="tx1"/>
            </w14:solidFill>
          </w14:textFill>
        </w:rPr>
        <w:t>至少</w:t>
      </w:r>
      <w:r>
        <w:rPr>
          <w:rFonts w:hint="eastAsia" w:ascii="宋体" w:hAnsi="宋体" w:eastAsia="宋体" w:cs="宋体"/>
          <w:color w:val="000000" w:themeColor="text1"/>
          <w:sz w:val="21"/>
          <w:szCs w:val="21"/>
          <w14:textFill>
            <w14:solidFill>
              <w14:schemeClr w14:val="tx1"/>
            </w14:solidFill>
          </w14:textFill>
        </w:rPr>
        <w:t>5个工作日），每天上午</w:t>
      </w:r>
      <w:r>
        <w:rPr>
          <w:rFonts w:hint="eastAsia" w:ascii="宋体" w:hAnsi="宋体" w:eastAsia="宋体" w:cs="宋体"/>
          <w:color w:val="000000" w:themeColor="text1"/>
          <w:sz w:val="21"/>
          <w:szCs w:val="21"/>
          <w:lang w:val="en-US" w:eastAsia="zh-CN"/>
          <w14:textFill>
            <w14:solidFill>
              <w14:schemeClr w14:val="tx1"/>
            </w14:solidFill>
          </w14:textFill>
        </w:rPr>
        <w:t>09:00</w:t>
      </w:r>
      <w:r>
        <w:rPr>
          <w:rFonts w:hint="eastAsia" w:ascii="宋体" w:hAnsi="宋体" w:eastAsia="宋体" w:cs="宋体"/>
          <w:color w:val="000000" w:themeColor="text1"/>
          <w:sz w:val="21"/>
          <w:szCs w:val="21"/>
          <w14:textFill>
            <w14:solidFill>
              <w14:schemeClr w14:val="tx1"/>
            </w14:solidFill>
          </w14:textFill>
        </w:rPr>
        <w:t>至</w:t>
      </w:r>
      <w:r>
        <w:rPr>
          <w:rFonts w:hint="eastAsia" w:ascii="宋体" w:hAnsi="宋体" w:eastAsia="宋体" w:cs="宋体"/>
          <w:color w:val="000000" w:themeColor="text1"/>
          <w:sz w:val="21"/>
          <w:szCs w:val="21"/>
          <w:lang w:val="en-US" w:eastAsia="zh-CN"/>
          <w14:textFill>
            <w14:solidFill>
              <w14:schemeClr w14:val="tx1"/>
            </w14:solidFill>
          </w14:textFill>
        </w:rPr>
        <w:t>12:00</w:t>
      </w:r>
      <w:r>
        <w:rPr>
          <w:rFonts w:hint="eastAsia" w:ascii="宋体" w:hAnsi="宋体" w:eastAsia="宋体" w:cs="宋体"/>
          <w:color w:val="000000" w:themeColor="text1"/>
          <w:sz w:val="21"/>
          <w:szCs w:val="21"/>
          <w14:textFill>
            <w14:solidFill>
              <w14:schemeClr w14:val="tx1"/>
            </w14:solidFill>
          </w14:textFill>
        </w:rPr>
        <w:t>，下午</w:t>
      </w:r>
      <w:r>
        <w:rPr>
          <w:rFonts w:hint="eastAsia" w:ascii="宋体" w:hAnsi="宋体" w:eastAsia="宋体" w:cs="宋体"/>
          <w:color w:val="000000" w:themeColor="text1"/>
          <w:sz w:val="21"/>
          <w:szCs w:val="21"/>
          <w:lang w:val="en-US" w:eastAsia="zh-CN"/>
          <w14:textFill>
            <w14:solidFill>
              <w14:schemeClr w14:val="tx1"/>
            </w14:solidFill>
          </w14:textFill>
        </w:rPr>
        <w:t>14:30</w:t>
      </w:r>
      <w:r>
        <w:rPr>
          <w:rFonts w:hint="eastAsia" w:ascii="宋体" w:hAnsi="宋体" w:eastAsia="宋体" w:cs="宋体"/>
          <w:color w:val="000000" w:themeColor="text1"/>
          <w:sz w:val="21"/>
          <w:szCs w:val="21"/>
          <w14:textFill>
            <w14:solidFill>
              <w14:schemeClr w14:val="tx1"/>
            </w14:solidFill>
          </w14:textFill>
        </w:rPr>
        <w:t>至</w:t>
      </w:r>
      <w:r>
        <w:rPr>
          <w:rFonts w:hint="eastAsia" w:ascii="宋体" w:hAnsi="宋体" w:eastAsia="宋体" w:cs="宋体"/>
          <w:color w:val="000000" w:themeColor="text1"/>
          <w:sz w:val="21"/>
          <w:szCs w:val="21"/>
          <w:lang w:val="en-US" w:eastAsia="zh-CN"/>
          <w14:textFill>
            <w14:solidFill>
              <w14:schemeClr w14:val="tx1"/>
            </w14:solidFill>
          </w14:textFill>
        </w:rPr>
        <w:t>17:00</w:t>
      </w:r>
      <w:r>
        <w:rPr>
          <w:rFonts w:hint="eastAsia" w:ascii="宋体" w:hAnsi="宋体" w:eastAsia="宋体" w:cs="宋体"/>
          <w:color w:val="000000" w:themeColor="text1"/>
          <w:sz w:val="21"/>
          <w:szCs w:val="21"/>
          <w14:textFill>
            <w14:solidFill>
              <w14:schemeClr w14:val="tx1"/>
            </w14:solidFill>
          </w14:textFill>
        </w:rPr>
        <w:t>（北京时间，法定节假日除外）</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地点：武昌区中北路岳家嘴立交山河企业大厦</w:t>
      </w:r>
      <w:r>
        <w:rPr>
          <w:rFonts w:hint="eastAsia" w:ascii="宋体" w:hAnsi="宋体" w:eastAsia="宋体" w:cs="宋体"/>
          <w:color w:val="000000" w:themeColor="text1"/>
          <w:sz w:val="21"/>
          <w:szCs w:val="21"/>
          <w:lang w:val="en-US" w:eastAsia="zh-CN"/>
          <w14:textFill>
            <w14:solidFill>
              <w14:schemeClr w14:val="tx1"/>
            </w14:solidFill>
          </w14:textFill>
        </w:rPr>
        <w:t>48楼</w:t>
      </w:r>
      <w:r>
        <w:rPr>
          <w:rFonts w:hint="eastAsia" w:ascii="宋体" w:hAnsi="宋体" w:eastAsia="宋体" w:cs="宋体"/>
          <w:color w:val="000000" w:themeColor="text1"/>
          <w:sz w:val="21"/>
          <w:szCs w:val="21"/>
          <w14:textFill>
            <w14:solidFill>
              <w14:schemeClr w14:val="tx1"/>
            </w14:solidFill>
          </w14:textFill>
        </w:rPr>
        <w:t>4805室；</w:t>
      </w:r>
    </w:p>
    <w:p>
      <w:p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现场获取</w:t>
      </w:r>
      <w:r>
        <w:rPr>
          <w:rFonts w:hint="eastAsia" w:ascii="宋体" w:hAnsi="宋体" w:eastAsia="宋体" w:cs="宋体"/>
          <w:b w:val="0"/>
          <w:bCs w:val="0"/>
          <w:color w:val="000000" w:themeColor="text1"/>
          <w:sz w:val="21"/>
          <w:szCs w:val="21"/>
          <w14:textFill>
            <w14:solidFill>
              <w14:schemeClr w14:val="tx1"/>
            </w14:solidFill>
          </w14:textFill>
        </w:rPr>
        <w:t>：</w:t>
      </w:r>
      <w:bookmarkEnd w:id="4"/>
      <w:r>
        <w:rPr>
          <w:rFonts w:hint="eastAsia" w:ascii="宋体" w:hAnsi="宋体" w:eastAsia="宋体" w:cs="宋体"/>
          <w:b w:val="0"/>
          <w:bCs w:val="0"/>
          <w:color w:val="000000" w:themeColor="text1"/>
          <w:sz w:val="21"/>
          <w:szCs w:val="21"/>
          <w14:textFill>
            <w14:solidFill>
              <w14:schemeClr w14:val="tx1"/>
            </w14:solidFill>
          </w14:textFill>
        </w:rPr>
        <w:t>1）法定代表人领取的，凭法定代表人身份证明书（格式</w:t>
      </w:r>
      <w:r>
        <w:rPr>
          <w:rFonts w:hint="eastAsia" w:ascii="宋体" w:hAnsi="宋体" w:eastAsia="宋体" w:cs="宋体"/>
          <w:b w:val="0"/>
          <w:bCs w:val="0"/>
          <w:color w:val="000000" w:themeColor="text1"/>
          <w:sz w:val="21"/>
          <w:szCs w:val="21"/>
          <w:lang w:eastAsia="zh-CN"/>
          <w14:textFill>
            <w14:solidFill>
              <w14:schemeClr w14:val="tx1"/>
            </w14:solidFill>
          </w14:textFill>
        </w:rPr>
        <w:t>见附件</w:t>
      </w:r>
      <w:r>
        <w:rPr>
          <w:rFonts w:hint="eastAsia" w:ascii="宋体" w:hAnsi="宋体" w:eastAsia="宋体" w:cs="宋体"/>
          <w:b w:val="0"/>
          <w:bCs w:val="0"/>
          <w:color w:val="000000" w:themeColor="text1"/>
          <w:sz w:val="21"/>
          <w:szCs w:val="21"/>
          <w14:textFill>
            <w14:solidFill>
              <w14:schemeClr w14:val="tx1"/>
            </w14:solidFill>
          </w14:textFill>
        </w:rPr>
        <w:t>）及法定代表人身份证原件领取；2）法定代表人委托他人领取的，凭法定代表人授权书（格式</w:t>
      </w:r>
      <w:r>
        <w:rPr>
          <w:rFonts w:hint="eastAsia" w:ascii="宋体" w:hAnsi="宋体" w:eastAsia="宋体" w:cs="宋体"/>
          <w:b w:val="0"/>
          <w:bCs w:val="0"/>
          <w:color w:val="000000" w:themeColor="text1"/>
          <w:sz w:val="21"/>
          <w:szCs w:val="21"/>
          <w:lang w:eastAsia="zh-CN"/>
          <w14:textFill>
            <w14:solidFill>
              <w14:schemeClr w14:val="tx1"/>
            </w14:solidFill>
          </w14:textFill>
        </w:rPr>
        <w:t>见附件</w:t>
      </w:r>
      <w:r>
        <w:rPr>
          <w:rFonts w:hint="eastAsia" w:ascii="宋体" w:hAnsi="宋体" w:eastAsia="宋体" w:cs="宋体"/>
          <w:b w:val="0"/>
          <w:bCs w:val="0"/>
          <w:color w:val="000000" w:themeColor="text1"/>
          <w:sz w:val="21"/>
          <w:szCs w:val="21"/>
          <w14:textFill>
            <w14:solidFill>
              <w14:schemeClr w14:val="tx1"/>
            </w14:solidFill>
          </w14:textFill>
        </w:rPr>
        <w:t>）及受托人身份证原件领取</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）加盖</w:t>
      </w:r>
      <w:r>
        <w:rPr>
          <w:rFonts w:hint="eastAsia" w:ascii="宋体" w:hAnsi="宋体" w:eastAsia="宋体" w:cs="宋体"/>
          <w:b w:val="0"/>
          <w:bCs w:val="0"/>
          <w:color w:val="000000" w:themeColor="text1"/>
          <w:sz w:val="21"/>
          <w:szCs w:val="21"/>
          <w:lang w:val="en-US" w:eastAsia="zh-CN"/>
          <w14:textFill>
            <w14:solidFill>
              <w14:schemeClr w14:val="tx1"/>
            </w14:solidFill>
          </w14:textFill>
        </w:rPr>
        <w:t>公章</w:t>
      </w:r>
      <w:r>
        <w:rPr>
          <w:rFonts w:hint="eastAsia" w:ascii="宋体" w:hAnsi="宋体" w:eastAsia="宋体" w:cs="宋体"/>
          <w:b w:val="0"/>
          <w:bCs w:val="0"/>
          <w:color w:val="000000" w:themeColor="text1"/>
          <w:sz w:val="21"/>
          <w:szCs w:val="21"/>
          <w14:textFill>
            <w14:solidFill>
              <w14:schemeClr w14:val="tx1"/>
            </w14:solidFill>
          </w14:textFill>
        </w:rPr>
        <w:t>的营业执照</w:t>
      </w:r>
      <w:r>
        <w:rPr>
          <w:rFonts w:hint="eastAsia" w:ascii="宋体" w:hAnsi="宋体" w:eastAsia="宋体" w:cs="宋体"/>
          <w:b w:val="0"/>
          <w:bCs w:val="0"/>
          <w:color w:val="000000" w:themeColor="text1"/>
          <w:sz w:val="21"/>
          <w:szCs w:val="21"/>
          <w:lang w:val="en-US" w:eastAsia="zh-CN"/>
          <w14:textFill>
            <w14:solidFill>
              <w14:schemeClr w14:val="tx1"/>
            </w14:solidFill>
          </w14:textFill>
        </w:rPr>
        <w:t>真彩扫描件、项目报名表</w:t>
      </w:r>
      <w:r>
        <w:rPr>
          <w:rFonts w:hint="eastAsia" w:ascii="宋体" w:hAnsi="宋体" w:eastAsia="宋体" w:cs="宋体"/>
          <w:b w:val="0"/>
          <w:bCs w:val="0"/>
          <w:color w:val="000000" w:themeColor="text1"/>
          <w:sz w:val="21"/>
          <w:szCs w:val="21"/>
          <w14:textFill>
            <w14:solidFill>
              <w14:schemeClr w14:val="tx1"/>
            </w14:solidFill>
          </w14:textFill>
        </w:rPr>
        <w:t>（格式见附件）</w:t>
      </w:r>
      <w:r>
        <w:rPr>
          <w:rFonts w:hint="eastAsia" w:ascii="宋体" w:hAnsi="宋体" w:eastAsia="宋体" w:cs="宋体"/>
          <w:b w:val="0"/>
          <w:bCs w:val="0"/>
          <w:color w:val="000000" w:themeColor="text1"/>
          <w:sz w:val="21"/>
          <w:szCs w:val="21"/>
          <w:lang w:val="en-US" w:eastAsia="zh-CN"/>
          <w14:textFill>
            <w14:solidFill>
              <w14:schemeClr w14:val="tx1"/>
            </w14:solidFill>
          </w14:textFill>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000000" w:themeColor="text1"/>
          <w:sz w:val="21"/>
          <w:szCs w:val="21"/>
          <w:lang w:val="en-US" w:eastAsia="zh-CN"/>
          <w14:textFill>
            <w14:solidFill>
              <w14:schemeClr w14:val="tx1"/>
            </w14:solidFill>
          </w14:textFill>
        </w:rPr>
        <w:br w:type="textWrapping"/>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lang w:val="en-US" w:eastAsia="zh-CN"/>
          <w14:textFill>
            <w14:solidFill>
              <w14:schemeClr w14:val="tx1"/>
            </w14:solidFill>
          </w14:textFill>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售价：采购文件人民币400元/本，售后不退，不办理邮寄；</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5" w:name="_Toc22350"/>
      <w:r>
        <w:rPr>
          <w:rFonts w:hint="eastAsia" w:ascii="宋体" w:hAnsi="宋体" w:eastAsia="宋体" w:cs="宋体"/>
          <w:color w:val="000000" w:themeColor="text1"/>
          <w:sz w:val="21"/>
          <w:szCs w:val="21"/>
          <w:lang w:eastAsia="zh-CN"/>
          <w14:textFill>
            <w14:solidFill>
              <w14:schemeClr w14:val="tx1"/>
            </w14:solidFill>
          </w14:textFill>
        </w:rPr>
        <w:t>响应文件提交</w:t>
      </w:r>
      <w:bookmarkEnd w:id="5"/>
    </w:p>
    <w:p>
      <w:pPr>
        <w:numPr>
          <w:ilvl w:val="0"/>
          <w:numId w:val="0"/>
        </w:numPr>
        <w:spacing w:line="360" w:lineRule="auto"/>
        <w:ind w:firstLine="420" w:firstLineChars="200"/>
        <w:jc w:val="left"/>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2020年</w:t>
      </w:r>
      <w:r>
        <w:rPr>
          <w:rFonts w:hint="eastAsia" w:ascii="宋体" w:hAnsi="宋体" w:cs="宋体"/>
          <w:b w:val="0"/>
          <w:bCs w:val="0"/>
          <w:color w:val="000000" w:themeColor="text1"/>
          <w:kern w:val="2"/>
          <w:sz w:val="21"/>
          <w:szCs w:val="21"/>
          <w:lang w:val="en-US" w:eastAsia="zh-CN" w:bidi="ar-SA"/>
          <w14:textFill>
            <w14:solidFill>
              <w14:schemeClr w14:val="tx1"/>
            </w14:solidFill>
          </w14:textFill>
        </w:rPr>
        <w:t>8</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月</w:t>
      </w:r>
      <w:r>
        <w:rPr>
          <w:rFonts w:hint="eastAsia" w:ascii="宋体" w:hAnsi="宋体" w:cs="宋体"/>
          <w:b w:val="0"/>
          <w:bCs w:val="0"/>
          <w:color w:val="000000" w:themeColor="text1"/>
          <w:kern w:val="2"/>
          <w:sz w:val="21"/>
          <w:szCs w:val="21"/>
          <w:lang w:val="en-US" w:eastAsia="zh-CN" w:bidi="ar-SA"/>
          <w14:textFill>
            <w14:solidFill>
              <w14:schemeClr w14:val="tx1"/>
            </w14:solidFill>
          </w14:textFill>
        </w:rPr>
        <w:t>10</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日</w:t>
      </w:r>
      <w:r>
        <w:rPr>
          <w:rFonts w:hint="eastAsia" w:ascii="宋体" w:hAnsi="宋体" w:cs="宋体"/>
          <w:b w:val="0"/>
          <w:bCs w:val="0"/>
          <w:color w:val="000000" w:themeColor="text1"/>
          <w:kern w:val="2"/>
          <w:sz w:val="21"/>
          <w:szCs w:val="21"/>
          <w:lang w:val="en-US" w:eastAsia="zh-CN" w:bidi="ar-SA"/>
          <w14:textFill>
            <w14:solidFill>
              <w14:schemeClr w14:val="tx1"/>
            </w14:solidFill>
          </w14:textFill>
        </w:rPr>
        <w:t>10</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点</w:t>
      </w:r>
      <w:r>
        <w:rPr>
          <w:rFonts w:hint="eastAsia" w:ascii="宋体" w:hAnsi="宋体" w:cs="宋体"/>
          <w:b w:val="0"/>
          <w:bCs w:val="0"/>
          <w:color w:val="000000" w:themeColor="text1"/>
          <w:kern w:val="2"/>
          <w:sz w:val="21"/>
          <w:szCs w:val="21"/>
          <w:lang w:val="en-US" w:eastAsia="zh-CN" w:bidi="ar-SA"/>
          <w14:textFill>
            <w14:solidFill>
              <w14:schemeClr w14:val="tx1"/>
            </w14:solidFill>
          </w14:textFill>
        </w:rPr>
        <w:t>00</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分（北京时间）（从磋商文件开始发出之日起至供应商提交首次响应文件截止之日止不得少于10日）</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br w:type="textWrapping"/>
      </w:r>
      <w:r>
        <w:rPr>
          <w:rFonts w:hint="eastAsia" w:ascii="宋体" w:hAnsi="宋体" w:cs="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送达地点：武昌区中北路岳家嘴立交山河企业大厦4806室</w:t>
      </w:r>
    </w:p>
    <w:p>
      <w:pPr>
        <w:pStyle w:val="2"/>
        <w:numPr>
          <w:ilvl w:val="0"/>
          <w:numId w:val="5"/>
        </w:numPr>
        <w:spacing w:line="360" w:lineRule="auto"/>
        <w:jc w:val="left"/>
        <w:rPr>
          <w:rFonts w:hint="eastAsia" w:eastAsia="宋体"/>
          <w:color w:val="000000" w:themeColor="text1"/>
          <w:sz w:val="21"/>
          <w:szCs w:val="21"/>
          <w:lang w:eastAsia="zh-CN"/>
          <w14:textFill>
            <w14:solidFill>
              <w14:schemeClr w14:val="tx1"/>
            </w14:solidFill>
          </w14:textFill>
        </w:rPr>
      </w:pPr>
      <w:bookmarkStart w:id="6" w:name="_Toc585"/>
      <w:r>
        <w:rPr>
          <w:rFonts w:hint="eastAsia" w:ascii="宋体" w:hAnsi="宋体" w:eastAsia="宋体" w:cs="宋体"/>
          <w:color w:val="000000" w:themeColor="text1"/>
          <w:sz w:val="21"/>
          <w:szCs w:val="21"/>
          <w:lang w:eastAsia="zh-CN"/>
          <w14:textFill>
            <w14:solidFill>
              <w14:schemeClr w14:val="tx1"/>
            </w14:solidFill>
          </w14:textFill>
        </w:rPr>
        <w:t>开启</w:t>
      </w:r>
      <w:bookmarkEnd w:id="6"/>
    </w:p>
    <w:p>
      <w:pPr>
        <w:numPr>
          <w:ilvl w:val="0"/>
          <w:numId w:val="0"/>
        </w:numPr>
        <w:spacing w:line="360" w:lineRule="auto"/>
        <w:ind w:leftChars="0" w:firstLine="420" w:firstLineChars="200"/>
        <w:jc w:val="left"/>
        <w:outlineLvl w:val="9"/>
        <w:rPr>
          <w:rFonts w:hint="eastAsia" w:eastAsia="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时间：</w:t>
      </w:r>
      <w:r>
        <w:rPr>
          <w:rFonts w:hint="eastAsia" w:ascii="宋体" w:hAnsi="宋体" w:eastAsia="宋体" w:cs="宋体"/>
          <w:color w:val="000000" w:themeColor="text1"/>
          <w:sz w:val="21"/>
          <w:szCs w:val="21"/>
          <w:lang w:eastAsia="zh-CN"/>
          <w14:textFill>
            <w14:solidFill>
              <w14:schemeClr w14:val="tx1"/>
            </w14:solidFill>
          </w14:textFill>
        </w:rPr>
        <w:t>2020年</w:t>
      </w: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lang w:eastAsia="zh-CN"/>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lang w:eastAsia="zh-CN"/>
          <w14:textFill>
            <w14:solidFill>
              <w14:schemeClr w14:val="tx1"/>
            </w14:solidFill>
          </w14:textFill>
        </w:rPr>
        <w:t>日</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lang w:eastAsia="zh-CN"/>
          <w14:textFill>
            <w14:solidFill>
              <w14:schemeClr w14:val="tx1"/>
            </w14:solidFill>
          </w14:textFill>
        </w:rPr>
        <w:t>点</w:t>
      </w:r>
      <w:r>
        <w:rPr>
          <w:rFonts w:hint="eastAsia" w:ascii="宋体" w:hAnsi="宋体" w:cs="宋体"/>
          <w:color w:val="000000" w:themeColor="text1"/>
          <w:sz w:val="21"/>
          <w:szCs w:val="21"/>
          <w:lang w:val="en-US" w:eastAsia="zh-CN"/>
          <w14:textFill>
            <w14:solidFill>
              <w14:schemeClr w14:val="tx1"/>
            </w14:solidFill>
          </w14:textFill>
        </w:rPr>
        <w:t>00</w:t>
      </w:r>
      <w:r>
        <w:rPr>
          <w:rFonts w:hint="eastAsia" w:ascii="宋体" w:hAnsi="宋体" w:eastAsia="宋体" w:cs="宋体"/>
          <w:color w:val="000000" w:themeColor="text1"/>
          <w:sz w:val="21"/>
          <w:szCs w:val="21"/>
          <w:lang w:eastAsia="zh-CN"/>
          <w14:textFill>
            <w14:solidFill>
              <w14:schemeClr w14:val="tx1"/>
            </w14:solidFill>
          </w14:textFill>
        </w:rPr>
        <w:t>分（北京时间）</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7" w:name="_Toc19527556"/>
      <w:bookmarkStart w:id="8" w:name="_Toc21911"/>
      <w:bookmarkStart w:id="9" w:name="_Toc10673370"/>
      <w:bookmarkStart w:id="10" w:name="_Toc1096"/>
      <w:bookmarkStart w:id="11" w:name="_Toc334539187"/>
      <w:bookmarkStart w:id="12" w:name="_Toc259028277"/>
      <w:bookmarkStart w:id="13" w:name="_Toc30303"/>
      <w:r>
        <w:rPr>
          <w:rFonts w:hint="eastAsia" w:ascii="宋体" w:hAnsi="宋体" w:eastAsia="宋体" w:cs="宋体"/>
          <w:color w:val="000000" w:themeColor="text1"/>
          <w:sz w:val="21"/>
          <w:szCs w:val="21"/>
          <w:lang w:eastAsia="zh-CN"/>
          <w14:textFill>
            <w14:solidFill>
              <w14:schemeClr w14:val="tx1"/>
            </w14:solidFill>
          </w14:textFill>
        </w:rPr>
        <w:t>采购人</w:t>
      </w:r>
      <w:r>
        <w:rPr>
          <w:rFonts w:hint="eastAsia" w:ascii="宋体" w:hAnsi="宋体" w:eastAsia="宋体" w:cs="宋体"/>
          <w:color w:val="000000" w:themeColor="text1"/>
          <w:sz w:val="21"/>
          <w:szCs w:val="21"/>
          <w14:textFill>
            <w14:solidFill>
              <w14:schemeClr w14:val="tx1"/>
            </w14:solidFill>
          </w14:textFill>
        </w:rPr>
        <w:t>联系方式</w:t>
      </w:r>
      <w:bookmarkEnd w:id="7"/>
      <w:bookmarkEnd w:id="8"/>
      <w:bookmarkEnd w:id="9"/>
      <w:bookmarkEnd w:id="10"/>
      <w:bookmarkEnd w:id="11"/>
      <w:bookmarkEnd w:id="12"/>
      <w:r>
        <w:rPr>
          <w:rFonts w:hint="eastAsia" w:ascii="宋体" w:hAnsi="宋体" w:eastAsia="宋体" w:cs="宋体"/>
          <w:color w:val="000000" w:themeColor="text1"/>
          <w:sz w:val="21"/>
          <w:szCs w:val="21"/>
          <w14:textFill>
            <w14:solidFill>
              <w14:schemeClr w14:val="tx1"/>
            </w14:solidFill>
          </w14:textFill>
        </w:rPr>
        <w:t>公告期限</w:t>
      </w:r>
      <w:bookmarkEnd w:id="13"/>
    </w:p>
    <w:p>
      <w:pPr>
        <w:spacing w:line="360" w:lineRule="auto"/>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bookmarkStart w:id="14" w:name="_Toc320898024"/>
      <w:bookmarkStart w:id="15" w:name="_Toc6021"/>
      <w:bookmarkStart w:id="16" w:name="_Toc317262251"/>
      <w:bookmarkStart w:id="17" w:name="_Toc334539188"/>
      <w:bookmarkStart w:id="18" w:name="_Toc276368888"/>
      <w:bookmarkStart w:id="19" w:name="_Toc259607751"/>
      <w:r>
        <w:rPr>
          <w:rFonts w:hint="eastAsia" w:ascii="宋体" w:hAnsi="宋体" w:eastAsia="宋体" w:cs="宋体"/>
          <w:color w:val="000000" w:themeColor="text1"/>
          <w:sz w:val="21"/>
          <w:szCs w:val="21"/>
          <w:lang w:val="en-US" w:eastAsia="zh-CN"/>
          <w14:textFill>
            <w14:solidFill>
              <w14:schemeClr w14:val="tx1"/>
            </w14:solidFill>
          </w14:textFill>
        </w:rPr>
        <w:t>自本公告发布之日起</w:t>
      </w:r>
      <w:r>
        <w:rPr>
          <w:rFonts w:hint="eastAsia" w:ascii="宋体" w:hAnsi="宋体" w:eastAsia="宋体" w:cs="宋体"/>
          <w:color w:val="000000" w:themeColor="text1"/>
          <w:sz w:val="21"/>
          <w:szCs w:val="21"/>
          <w:lang w:eastAsia="zh-CN"/>
          <w14:textFill>
            <w14:solidFill>
              <w14:schemeClr w14:val="tx1"/>
            </w14:solidFill>
          </w14:textFill>
        </w:rPr>
        <w:t>至少</w:t>
      </w:r>
      <w:r>
        <w:rPr>
          <w:rFonts w:hint="eastAsia" w:ascii="宋体" w:hAnsi="宋体" w:eastAsia="宋体" w:cs="宋体"/>
          <w:color w:val="000000" w:themeColor="text1"/>
          <w:sz w:val="21"/>
          <w:szCs w:val="21"/>
          <w:lang w:val="en-US" w:eastAsia="zh-CN"/>
          <w14:textFill>
            <w14:solidFill>
              <w14:schemeClr w14:val="tx1"/>
            </w14:solidFill>
          </w14:textFill>
        </w:rPr>
        <w:t>5个工作日</w:t>
      </w:r>
    </w:p>
    <w:bookmarkEnd w:id="14"/>
    <w:bookmarkEnd w:id="15"/>
    <w:bookmarkEnd w:id="16"/>
    <w:bookmarkEnd w:id="17"/>
    <w:bookmarkEnd w:id="18"/>
    <w:bookmarkEnd w:id="19"/>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20" w:name="_Toc2554"/>
      <w:r>
        <w:rPr>
          <w:rFonts w:hint="eastAsia" w:ascii="宋体" w:hAnsi="宋体" w:eastAsia="宋体" w:cs="宋体"/>
          <w:color w:val="000000" w:themeColor="text1"/>
          <w:sz w:val="21"/>
          <w:szCs w:val="21"/>
          <w14:textFill>
            <w14:solidFill>
              <w14:schemeClr w14:val="tx1"/>
            </w14:solidFill>
          </w14:textFill>
        </w:rPr>
        <w:t>其他补充事宜</w:t>
      </w:r>
      <w:bookmarkEnd w:id="20"/>
    </w:p>
    <w:p>
      <w:pPr>
        <w:numPr>
          <w:ilvl w:val="0"/>
          <w:numId w:val="0"/>
        </w:num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bookmarkStart w:id="21" w:name="_Toc259028279"/>
      <w:r>
        <w:rPr>
          <w:rFonts w:hint="eastAsia" w:ascii="宋体" w:hAnsi="宋体" w:eastAsia="宋体" w:cs="宋体"/>
          <w:color w:val="000000" w:themeColor="text1"/>
          <w:sz w:val="21"/>
          <w:szCs w:val="21"/>
          <w:lang w:val="en-US" w:eastAsia="zh-CN"/>
          <w14:textFill>
            <w14:solidFill>
              <w14:schemeClr w14:val="tx1"/>
            </w14:solidFill>
          </w14:textFill>
        </w:rPr>
        <w:t>1.本项目是否专门面向中小企业、监狱企业、残疾人福利性单位：否</w:t>
      </w:r>
    </w:p>
    <w:p>
      <w:pPr>
        <w:numPr>
          <w:ilvl w:val="0"/>
          <w:numId w:val="0"/>
        </w:num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numPr>
          <w:ilvl w:val="0"/>
          <w:numId w:val="0"/>
        </w:num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3.供应商如需查询技术要求可直接到我处查阅采购文件第三章相关内容。</w:t>
      </w:r>
    </w:p>
    <w:p>
      <w:pPr>
        <w:numPr>
          <w:ilvl w:val="0"/>
          <w:numId w:val="0"/>
        </w:numPr>
        <w:spacing w:line="360" w:lineRule="auto"/>
        <w:jc w:val="left"/>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4.本项目将在以下网站发布所有信息，请参加本项目竞标的供应商密切关注。</w:t>
      </w:r>
      <w:r>
        <w:rPr>
          <w:rFonts w:hint="eastAsia" w:ascii="宋体" w:hAnsi="宋体" w:eastAsia="宋体" w:cs="宋体"/>
          <w:color w:val="000000" w:themeColor="text1"/>
          <w:sz w:val="21"/>
          <w:szCs w:val="21"/>
          <w:lang w:val="en-US" w:eastAsia="zh-CN"/>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cs="宋体"/>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Cs w:val="21"/>
          <w14:textFill>
            <w14:solidFill>
              <w14:schemeClr w14:val="tx1"/>
            </w14:solidFill>
          </w14:textFill>
        </w:rPr>
        <w:t>《中经国际招标集团有限公司官网</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》（网址：</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instrText xml:space="preserve"> HYPERLINK "http://www.ccgp-hubei.gov.cn/）" </w:instrTex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http://www.ceitcl.com/）</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fldChar w:fldCharType="end"/>
      </w:r>
    </w:p>
    <w:p>
      <w:pPr>
        <w:numPr>
          <w:ilvl w:val="0"/>
          <w:numId w:val="0"/>
        </w:numPr>
        <w:spacing w:line="360" w:lineRule="auto"/>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（二）《武汉东湖生态旅游风景区官网</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》（网址：http://www.whdonghu.gov.cn/）</w:t>
      </w:r>
    </w:p>
    <w:p>
      <w:pPr>
        <w:spacing w:line="360" w:lineRule="auto"/>
        <w:jc w:val="left"/>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采购公告期限：自以上网站发布公告次日起</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个工作日，本项目将在以上网站发布所有信</w:t>
      </w:r>
      <w:r>
        <w:rPr>
          <w:rFonts w:hint="eastAsia" w:asciiTheme="minorEastAsia" w:hAnsiTheme="minorEastAsia" w:eastAsiaTheme="minorEastAsia" w:cstheme="minorEastAsia"/>
          <w:color w:val="000000" w:themeColor="text1"/>
          <w:szCs w:val="21"/>
          <w14:textFill>
            <w14:solidFill>
              <w14:schemeClr w14:val="tx1"/>
            </w14:solidFill>
          </w14:textFill>
        </w:rPr>
        <w:t>息，请参加本项目</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竞</w:t>
      </w:r>
      <w:r>
        <w:rPr>
          <w:rFonts w:hint="eastAsia" w:asciiTheme="minorEastAsia" w:hAnsiTheme="minorEastAsia" w:eastAsiaTheme="minorEastAsia" w:cstheme="minorEastAsia"/>
          <w:color w:val="000000" w:themeColor="text1"/>
          <w:szCs w:val="21"/>
          <w14:textFill>
            <w14:solidFill>
              <w14:schemeClr w14:val="tx1"/>
            </w14:solidFill>
          </w14:textFill>
        </w:rPr>
        <w:t>标的供应商密切关注。</w:t>
      </w:r>
    </w:p>
    <w:bookmarkEnd w:id="21"/>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22" w:name="_Toc21191"/>
      <w:r>
        <w:rPr>
          <w:rFonts w:hint="eastAsia" w:ascii="宋体" w:hAnsi="宋体" w:eastAsia="宋体" w:cs="宋体"/>
          <w:color w:val="000000" w:themeColor="text1"/>
          <w:sz w:val="21"/>
          <w:szCs w:val="21"/>
          <w14:textFill>
            <w14:solidFill>
              <w14:schemeClr w14:val="tx1"/>
            </w14:solidFill>
          </w14:textFill>
        </w:rPr>
        <w:t>凡对本次采购提出询问，请按以下方式联系</w:t>
      </w:r>
      <w:bookmarkEnd w:id="22"/>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1.采购人信息</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名 称：</w:t>
      </w:r>
      <w:r>
        <w:rPr>
          <w:rFonts w:hint="eastAsia" w:asciiTheme="minorEastAsia" w:hAnsiTheme="minorEastAsia" w:eastAsiaTheme="minorEastAsia" w:cstheme="minorEastAsia"/>
          <w:color w:val="000000" w:themeColor="text1"/>
          <w:szCs w:val="21"/>
          <w14:textFill>
            <w14:solidFill>
              <w14:schemeClr w14:val="tx1"/>
            </w14:solidFill>
          </w14:textFill>
        </w:rPr>
        <w:t>武汉市东湖生态旅游风景区听涛管理处 </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地</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址：</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东湖黄鹂路88号</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联系方式：</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汪工、</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027-86794361转8818</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2.采购代理机构信息</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名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称：中经国际招标集团有限公司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地　址：武昌区中北路岳家嘴立交山河企业大厦</w:t>
      </w:r>
      <w:r>
        <w:rPr>
          <w:rFonts w:hint="eastAsia" w:ascii="宋体" w:hAnsi="宋体" w:eastAsia="宋体" w:cs="宋体"/>
          <w:color w:val="000000" w:themeColor="text1"/>
          <w:sz w:val="21"/>
          <w:szCs w:val="21"/>
          <w:lang w:val="en-US" w:eastAsia="zh-CN"/>
          <w14:textFill>
            <w14:solidFill>
              <w14:schemeClr w14:val="tx1"/>
            </w14:solidFill>
          </w14:textFill>
        </w:rPr>
        <w:t>48楼4805、</w:t>
      </w:r>
      <w:r>
        <w:rPr>
          <w:rFonts w:hint="eastAsia" w:ascii="宋体" w:hAnsi="宋体" w:eastAsia="宋体" w:cs="宋体"/>
          <w:color w:val="000000" w:themeColor="text1"/>
          <w:sz w:val="21"/>
          <w:szCs w:val="21"/>
          <w:lang w:eastAsia="zh-CN"/>
          <w14:textFill>
            <w14:solidFill>
              <w14:schemeClr w14:val="tx1"/>
            </w14:solidFill>
          </w14:textFill>
        </w:rPr>
        <w:t>4806室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联系方式：</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3.项目联系方式</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项目联系人：</w:t>
      </w:r>
      <w:r>
        <w:rPr>
          <w:rFonts w:hint="eastAsia" w:asciiTheme="minorEastAsia" w:hAnsiTheme="minorEastAsia" w:eastAsiaTheme="minorEastAsia" w:cstheme="minorEastAsia"/>
          <w:color w:val="000000" w:themeColor="text1"/>
          <w:szCs w:val="21"/>
          <w14:textFill>
            <w14:solidFill>
              <w14:schemeClr w14:val="tx1"/>
            </w14:solidFill>
          </w14:textFill>
        </w:rPr>
        <w:t>张梦</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、方雪菲、杨琳丽</w:t>
      </w:r>
    </w:p>
    <w:p>
      <w:pPr>
        <w:spacing w:line="360" w:lineRule="auto"/>
        <w:ind w:firstLine="420" w:firstLineChars="20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电</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　话：</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p>
    <w:p>
      <w:pPr>
        <w:pStyle w:val="2"/>
        <w:numPr>
          <w:ilvl w:val="0"/>
          <w:numId w:val="5"/>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3" w:name="_Toc31239"/>
      <w:r>
        <w:rPr>
          <w:rFonts w:hint="eastAsia" w:asciiTheme="minorEastAsia" w:hAnsiTheme="minorEastAsia" w:eastAsiaTheme="minorEastAsia" w:cstheme="minorEastAsia"/>
          <w:sz w:val="21"/>
          <w:szCs w:val="21"/>
        </w:rPr>
        <w:t>注意事项</w:t>
      </w:r>
      <w:bookmarkEnd w:id="23"/>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jc w:val="left"/>
        <w:rPr>
          <w:rFonts w:hint="eastAsia" w:asciiTheme="minorEastAsia" w:hAnsiTheme="minorEastAsia" w:eastAsiaTheme="minorEastAsia" w:cstheme="minorEastAsia"/>
          <w:szCs w:val="21"/>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29</w:t>
      </w:r>
      <w:r>
        <w:rPr>
          <w:rFonts w:hint="eastAsia" w:asciiTheme="minorEastAsia" w:hAnsiTheme="minorEastAsia" w:eastAsiaTheme="minorEastAsia" w:cstheme="minorEastAsia"/>
          <w:szCs w:val="21"/>
        </w:rPr>
        <w:t>日</w:t>
      </w: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24" w:name="_Toc13765"/>
      <w:r>
        <w:rPr>
          <w:rFonts w:hint="eastAsia" w:asciiTheme="minorEastAsia" w:hAnsiTheme="minorEastAsia" w:eastAsiaTheme="minorEastAsia" w:cstheme="minorEastAsia"/>
          <w:sz w:val="36"/>
          <w:szCs w:val="36"/>
        </w:rPr>
        <w:t>供应商须知</w:t>
      </w:r>
      <w:bookmarkEnd w:id="24"/>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5" w:name="_Toc17132"/>
      <w:r>
        <w:rPr>
          <w:rFonts w:hint="eastAsia" w:asciiTheme="minorEastAsia" w:hAnsiTheme="minorEastAsia" w:eastAsiaTheme="minorEastAsia" w:cstheme="minorEastAsia"/>
          <w:b/>
          <w:szCs w:val="21"/>
        </w:rPr>
        <w:t>《供应商须知前附表》</w:t>
      </w:r>
      <w:bookmarkEnd w:id="25"/>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采购人</w:t>
            </w:r>
          </w:p>
        </w:tc>
        <w:tc>
          <w:tcPr>
            <w:tcW w:w="6130" w:type="dxa"/>
            <w:vAlign w:val="center"/>
          </w:tcPr>
          <w:p>
            <w:pPr>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武汉市东湖生态旅游风景区听涛管理处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监管部门</w:t>
            </w:r>
          </w:p>
        </w:tc>
        <w:tc>
          <w:tcPr>
            <w:tcW w:w="6130" w:type="dxa"/>
            <w:vAlign w:val="center"/>
          </w:tcPr>
          <w:p>
            <w:pPr>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武汉市东湖生态旅游风景区听涛管理处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采购代理机构</w:t>
            </w:r>
          </w:p>
        </w:tc>
        <w:tc>
          <w:tcPr>
            <w:tcW w:w="6130" w:type="dxa"/>
          </w:tcPr>
          <w:p>
            <w:pPr>
              <w:pStyle w:val="24"/>
              <w:widowControl w:val="0"/>
              <w:autoSpaceDE w:val="0"/>
              <w:autoSpaceDN w:val="0"/>
              <w:adjustRightInd w:val="0"/>
              <w:spacing w:before="31" w:beforeLines="10" w:beforeAutospacing="0" w:after="31" w:afterLines="10" w:afterAutospacing="0" w:line="240" w:lineRule="auto"/>
              <w:ind w:left="21" w:leftChars="10" w:right="21" w:rightChars="10"/>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详见</w:t>
            </w:r>
            <w:r>
              <w:rPr>
                <w:rFonts w:hint="eastAsia" w:asciiTheme="minorEastAsia" w:hAnsiTheme="minorEastAsia" w:eastAsiaTheme="minorEastAsia" w:cstheme="minorEastAsia"/>
                <w:color w:val="000000" w:themeColor="text1"/>
                <w:sz w:val="21"/>
                <w:szCs w:val="21"/>
                <w14:textFill>
                  <w14:solidFill>
                    <w14:schemeClr w14:val="tx1"/>
                  </w14:solidFill>
                </w14:textFill>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招标代理服务费</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招标代理服务费由采购人支付。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snapToGrid w:val="0"/>
                <w:color w:val="000000" w:themeColor="text1"/>
                <w:kern w:val="0"/>
                <w:sz w:val="21"/>
                <w:szCs w:val="21"/>
                <w:lang w:val="zh-CN"/>
                <w14:textFill>
                  <w14:solidFill>
                    <w14:schemeClr w14:val="tx1"/>
                  </w14:solidFill>
                </w14:textFill>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对</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文件有异议</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或疑问</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2020年</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6</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日</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17</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对多</w:t>
            </w:r>
            <w:r>
              <w:rPr>
                <w:rFonts w:hint="eastAsia" w:asciiTheme="minorEastAsia" w:hAnsiTheme="minorEastAsia" w:eastAsiaTheme="minorEastAsia" w:cstheme="minorEastAsia"/>
                <w:snapToGrid w:val="0"/>
                <w:color w:val="000000" w:themeColor="text1"/>
                <w:kern w:val="0"/>
                <w:sz w:val="21"/>
                <w:szCs w:val="21"/>
                <w:lang w:val="en-US" w:eastAsia="zh-CN"/>
                <w14:textFill>
                  <w14:solidFill>
                    <w14:schemeClr w14:val="tx1"/>
                  </w14:solidFill>
                </w14:textFill>
              </w:rPr>
              <w:t>包</w:t>
            </w: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采购的规定</w:t>
            </w:r>
          </w:p>
        </w:tc>
        <w:tc>
          <w:tcPr>
            <w:tcW w:w="6130" w:type="dxa"/>
          </w:tcPr>
          <w:p>
            <w:pPr>
              <w:autoSpaceDE w:val="0"/>
              <w:autoSpaceDN w:val="0"/>
              <w:adjustRightInd w:val="0"/>
              <w:spacing w:line="240" w:lineRule="auto"/>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备选方案</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 w:val="2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联合体磋商</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 w:val="2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应提交的资格证明文件（实质性要求）</w:t>
            </w:r>
          </w:p>
        </w:tc>
        <w:tc>
          <w:tcPr>
            <w:tcW w:w="6130"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详见第一章《竞争性磋商采购公告》第</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二款</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“资格要求”，须提供的证明文件包括但不限于：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、具有独立承担民事责任的能力；</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营业执照等证明文件或自然人的身份证明（如供应商是企业 （包括合伙企业），应提供在工商部门注册的有效“企业法人营业执照”或“营业执照”</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如供应商是事业单位，应提供有效的“事业单位法人证书”；供应商是非企业专业服务机构的，应提供执业许可证等证明文件；如供应商是个体工商户，应提供有效的“个体工商户营业执照”</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如供应商是自然人，应提供有效的自然人身份证明）。</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具有良好的商业信誉和健全的财务会计制度</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良好的商业信誉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证明材料（自拟），</w:t>
            </w:r>
            <w:r>
              <w:rPr>
                <w:rFonts w:hint="eastAsia" w:asciiTheme="minorEastAsia" w:hAnsiTheme="minorEastAsia" w:eastAsiaTheme="minorEastAsia" w:cstheme="minorEastAsia"/>
                <w:color w:val="000000" w:themeColor="text1"/>
                <w:sz w:val="21"/>
                <w:szCs w:val="21"/>
                <w14:textFill>
                  <w14:solidFill>
                    <w14:schemeClr w14:val="tx1"/>
                  </w14:solidFill>
                </w14:textFill>
              </w:rPr>
              <w:t>财务状况报告（供应商是法人的，应提供</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前一</w:t>
            </w:r>
            <w:r>
              <w:rPr>
                <w:rFonts w:hint="eastAsia" w:asciiTheme="minorEastAsia" w:hAnsiTheme="minorEastAsia" w:eastAsiaTheme="minorEastAsia" w:cstheme="minorEastAsia"/>
                <w:color w:val="000000" w:themeColor="text1"/>
                <w:sz w:val="21"/>
                <w:szCs w:val="21"/>
                <w14:textFill>
                  <w14:solidFill>
                    <w14:schemeClr w14:val="tx1"/>
                  </w14:solidFill>
                </w14:textFill>
              </w:rPr>
              <w:t>年度经审计的财务报告，或其基本开户银行出具的资信证明（银行资信证明应能说明该供应商与银行之间业务往来正常</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企业信誉良好等。银行出具的单纯的存款证明不能视作银行资信证明。下同）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具</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有</w:t>
            </w:r>
            <w:r>
              <w:rPr>
                <w:rFonts w:hint="eastAsia" w:asciiTheme="minorEastAsia" w:hAnsiTheme="minorEastAsia" w:eastAsiaTheme="minorEastAsia" w:cstheme="minorEastAsia"/>
                <w:color w:val="000000" w:themeColor="text1"/>
                <w:sz w:val="21"/>
                <w:szCs w:val="21"/>
                <w14:textFill>
                  <w14:solidFill>
                    <w14:schemeClr w14:val="tx1"/>
                  </w14:solidFill>
                </w14:textFill>
              </w:rPr>
              <w:t>履行合同所必需的设备和专业技术能力的证明材料</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（自拟）</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4</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具</w:t>
            </w:r>
            <w:r>
              <w:rPr>
                <w:rFonts w:hint="eastAsia" w:asciiTheme="minorEastAsia" w:hAnsiTheme="minorEastAsia" w:eastAsiaTheme="minorEastAsia" w:cstheme="minorEastAsia"/>
                <w:color w:val="000000" w:themeColor="text1"/>
                <w:sz w:val="21"/>
                <w:szCs w:val="21"/>
                <w14:textFill>
                  <w14:solidFill>
                    <w14:schemeClr w14:val="tx1"/>
                  </w14:solidFill>
                </w14:textFill>
              </w:rPr>
              <w:t>有依法缴纳税收和社会保障资金的良好记录</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（1）供应商依法缴纳税收的证明材料：竞标截止时间前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连续</w:t>
            </w:r>
            <w:r>
              <w:rPr>
                <w:rFonts w:hint="eastAsia" w:asciiTheme="minorEastAsia" w:hAnsiTheme="minorEastAsia" w:eastAsiaTheme="minorEastAsia" w:cstheme="minorEastAsia"/>
                <w:color w:val="000000" w:themeColor="text1"/>
                <w:sz w:val="21"/>
                <w:szCs w:val="21"/>
                <w14:textFill>
                  <w14:solidFill>
                    <w14:schemeClr w14:val="tx1"/>
                  </w14:solidFill>
                </w14:textFill>
              </w:rPr>
              <w:t>六个月（至少提供</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连续三</w:t>
            </w:r>
            <w:r>
              <w:rPr>
                <w:rFonts w:hint="eastAsia" w:asciiTheme="minorEastAsia" w:hAnsiTheme="minorEastAsia" w:eastAsiaTheme="minorEastAsia" w:cstheme="minorEastAsia"/>
                <w:color w:val="000000" w:themeColor="text1"/>
                <w:sz w:val="21"/>
                <w:szCs w:val="21"/>
                <w14:textFill>
                  <w14:solidFill>
                    <w14:schemeClr w14:val="tx1"/>
                  </w14:solidFill>
                </w14:textFill>
              </w:rPr>
              <w:t>个月）缴纳税收的凭据（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完税证明</w:t>
            </w:r>
            <w:r>
              <w:rPr>
                <w:rFonts w:hint="eastAsia" w:asciiTheme="minorEastAsia" w:hAnsiTheme="minorEastAsia" w:eastAsiaTheme="minorEastAsia" w:cstheme="minorEastAsia"/>
                <w:color w:val="000000" w:themeColor="text1"/>
                <w:sz w:val="21"/>
                <w:szCs w:val="21"/>
                <w14:textFill>
                  <w14:solidFill>
                    <w14:schemeClr w14:val="tx1"/>
                  </w14:solidFill>
                </w14:textFill>
              </w:rPr>
              <w:t>、缴款书、银行代扣（代缴）转账凭证等均可）；（2）供应商依法缴纳社会保障资金的证明材料：竞标截止时间前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连续</w:t>
            </w:r>
            <w:r>
              <w:rPr>
                <w:rFonts w:hint="eastAsia" w:asciiTheme="minorEastAsia" w:hAnsiTheme="minorEastAsia" w:eastAsiaTheme="minorEastAsia" w:cstheme="minorEastAsia"/>
                <w:color w:val="000000" w:themeColor="text1"/>
                <w:sz w:val="21"/>
                <w:szCs w:val="21"/>
                <w14:textFill>
                  <w14:solidFill>
                    <w14:schemeClr w14:val="tx1"/>
                  </w14:solidFill>
                </w14:textFill>
              </w:rPr>
              <w:t>六个月（至少提供</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连续三</w:t>
            </w:r>
            <w:r>
              <w:rPr>
                <w:rFonts w:hint="eastAsia" w:asciiTheme="minorEastAsia" w:hAnsiTheme="minorEastAsia" w:eastAsiaTheme="minorEastAsia" w:cstheme="minorEastAsia"/>
                <w:color w:val="000000" w:themeColor="text1"/>
                <w:sz w:val="21"/>
                <w:szCs w:val="21"/>
                <w14:textFill>
                  <w14:solidFill>
                    <w14:schemeClr w14:val="tx1"/>
                  </w14:solidFill>
                </w14:textFill>
              </w:rPr>
              <w:t>个月）缴纳社会保险的凭据（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专用发票</w:t>
            </w:r>
            <w:r>
              <w:rPr>
                <w:rFonts w:hint="eastAsia" w:asciiTheme="minorEastAsia" w:hAnsiTheme="minorEastAsia" w:eastAsiaTheme="minorEastAsia" w:cstheme="minorEastAsia"/>
                <w:color w:val="000000" w:themeColor="text1"/>
                <w:sz w:val="21"/>
                <w:szCs w:val="21"/>
                <w14:textFill>
                  <w14:solidFill>
                    <w14:schemeClr w14:val="tx1"/>
                  </w14:solidFill>
                </w14:textFill>
              </w:rPr>
              <w:t>或社会保险</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缴</w:t>
            </w:r>
            <w:r>
              <w:rPr>
                <w:rFonts w:hint="eastAsia" w:asciiTheme="minorEastAsia" w:hAnsiTheme="minorEastAsia" w:eastAsiaTheme="minorEastAsia" w:cstheme="minorEastAsia"/>
                <w:color w:val="000000" w:themeColor="text1"/>
                <w:sz w:val="21"/>
                <w:szCs w:val="21"/>
                <w14:textFill>
                  <w14:solidFill>
                    <w14:schemeClr w14:val="tx1"/>
                  </w14:solidFill>
                </w14:textFill>
              </w:rPr>
              <w:t>纳清单）；（3）供应商为其他组织或自然人的，也需要按此项规定提供缴纳税收的凭据和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缴纳</w:t>
            </w:r>
            <w:r>
              <w:rPr>
                <w:rFonts w:hint="eastAsia" w:asciiTheme="minorEastAsia" w:hAnsiTheme="minorEastAsia" w:eastAsiaTheme="minorEastAsia" w:cstheme="minorEastAsia"/>
                <w:color w:val="000000" w:themeColor="text1"/>
                <w:sz w:val="21"/>
                <w:szCs w:val="21"/>
                <w14:textFill>
                  <w14:solidFill>
                    <w14:schemeClr w14:val="tx1"/>
                  </w14:solidFill>
                </w14:textFill>
              </w:rPr>
              <w:t>社会保险的凭据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（4）递交响应文件截止时间的当月成立但因税务机关原因导致其尚未依法缴纳税收的供应商，提供依法缴纳税收承诺书原件（格式自拟），该承诺书视同税收缴纳凭据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缴纳</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社会保障资金。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参加政府采购活动前三年内（不足3年按公司成立时间起算），在经营活动中没有重大违法记录（提供书面声明，格式见磋商文件第六章）；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6、</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符合本文件第一章第二</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款</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资格要求的</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所有</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 xml:space="preserve">证明资料。 </w:t>
            </w:r>
          </w:p>
          <w:p>
            <w:pPr>
              <w:spacing w:line="240" w:lineRule="auto"/>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注：</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竞标</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单位本身，参股或控股单位及独立法人子公司的材料不能作为证明材料，但</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竞标</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9"/>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磋商保证金金额、递交方式、时间及接受磋商保证金的帐户信息</w:t>
            </w: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r>
              <w:rPr>
                <w:rFonts w:hint="eastAsia" w:asciiTheme="minorEastAsia" w:hAnsiTheme="minorEastAsia" w:eastAsiaTheme="minorEastAsia" w:cstheme="minorEastAsia"/>
                <w:b/>
                <w:bCs/>
                <w:snapToGrid w:val="0"/>
                <w:color w:val="000000" w:themeColor="text1"/>
                <w:kern w:val="0"/>
                <w:sz w:val="21"/>
                <w:szCs w:val="21"/>
                <w:lang w:val="en-US" w:eastAsia="zh-CN"/>
                <w14:textFill>
                  <w14:solidFill>
                    <w14:schemeClr w14:val="tx1"/>
                  </w14:solidFill>
                </w14:textFill>
              </w:rPr>
              <w:t>本项目不适用</w:t>
            </w: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金    额：</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    </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帐    号：17053001040009288</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缴纳</w:t>
            </w:r>
            <w:r>
              <w:rPr>
                <w:rFonts w:hint="eastAsia" w:asciiTheme="minorEastAsia" w:hAnsiTheme="minorEastAsia" w:eastAsiaTheme="minorEastAsia" w:cstheme="minorEastAsia"/>
                <w:color w:val="000000" w:themeColor="text1"/>
                <w:sz w:val="21"/>
                <w:szCs w:val="21"/>
                <w14:textFill>
                  <w14:solidFill>
                    <w14:schemeClr w14:val="tx1"/>
                  </w14:solidFill>
                </w14:textFill>
              </w:rPr>
              <w:t>投标保证金必须从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递交响应文件截止时间，以采购代理公司银行到账信息为准。</w:t>
            </w:r>
            <w:r>
              <w:rPr>
                <w:rFonts w:hint="eastAsia" w:asciiTheme="minorEastAsia" w:hAnsiTheme="minorEastAsia" w:eastAsiaTheme="minorEastAsia" w:cstheme="minorEastAsia"/>
                <w:color w:val="000000" w:themeColor="text1"/>
                <w:sz w:val="21"/>
                <w:szCs w:val="21"/>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签订合同后须将合同扫描件（PDF版）发送至2102252595@qq.com邮箱备案后方可退还保证金。</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件，否则做废标处理），副本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 xml:space="preserve">与正本保持一致 </w:t>
            </w:r>
          </w:p>
          <w:p>
            <w:pPr>
              <w:autoSpaceDE w:val="0"/>
              <w:autoSpaceDN w:val="0"/>
              <w:snapToGrid w:val="0"/>
              <w:spacing w:line="240" w:lineRule="auto"/>
              <w:ind w:firstLine="840" w:firstLineChars="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rPr>
              <w:t>WORD格式</w:t>
            </w:r>
            <w:r>
              <w:rPr>
                <w:rFonts w:hint="eastAsia" w:asciiTheme="minorEastAsia" w:hAnsiTheme="minorEastAsia" w:eastAsiaTheme="minorEastAsia" w:cstheme="minorEastAsia"/>
                <w:color w:val="auto"/>
                <w:sz w:val="21"/>
                <w:szCs w:val="21"/>
                <w:u w:val="single"/>
                <w:lang w:val="en-US" w:eastAsia="zh-CN"/>
              </w:rPr>
              <w:t>和加盖公章后的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lang w:val="en-US" w:eastAsia="zh-CN"/>
              </w:rPr>
              <w:t>不满足要求做废标处理；</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        投标文件电子版形式：</w:t>
            </w:r>
            <w:r>
              <w:rPr>
                <w:rFonts w:hint="eastAsia" w:asciiTheme="minorEastAsia" w:hAnsiTheme="minorEastAsia" w:eastAsiaTheme="minorEastAsia" w:cstheme="minorEastAsia"/>
                <w:color w:val="auto"/>
                <w:sz w:val="21"/>
                <w:szCs w:val="21"/>
                <w:u w:val="single"/>
              </w:rPr>
              <w:t xml:space="preserve"> U盘1份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u w:val="none"/>
                <w:lang w:val="en-US" w:eastAsia="zh-CN"/>
              </w:rPr>
              <w:t>3、手持</w:t>
            </w:r>
            <w:r>
              <w:rPr>
                <w:rFonts w:hint="eastAsia" w:asciiTheme="minorEastAsia" w:hAnsiTheme="minorEastAsia" w:eastAsiaTheme="minorEastAsia" w:cstheme="minorEastAsia"/>
                <w:b/>
                <w:bCs/>
                <w:color w:val="auto"/>
                <w:sz w:val="21"/>
                <w:szCs w:val="21"/>
                <w:u w:val="none"/>
              </w:rPr>
              <w:t>法定代表人授权委托书（或法定代表人身份证明书）、单独</w:t>
            </w:r>
            <w:r>
              <w:rPr>
                <w:rFonts w:hint="eastAsia" w:asciiTheme="minorEastAsia" w:hAnsiTheme="minorEastAsia" w:eastAsiaTheme="minorEastAsia" w:cstheme="minorEastAsia"/>
                <w:b/>
                <w:bCs/>
                <w:color w:val="auto"/>
                <w:sz w:val="21"/>
                <w:szCs w:val="21"/>
                <w:u w:val="none"/>
                <w:lang w:val="en-US" w:eastAsia="zh-CN"/>
              </w:rPr>
              <w:t>密封</w:t>
            </w:r>
            <w:r>
              <w:rPr>
                <w:rFonts w:hint="eastAsia" w:asciiTheme="minorEastAsia" w:hAnsiTheme="minorEastAsia" w:eastAsiaTheme="minorEastAsia" w:cstheme="minorEastAsia"/>
                <w:b/>
                <w:bCs/>
                <w:color w:val="auto"/>
                <w:sz w:val="21"/>
                <w:szCs w:val="21"/>
                <w:u w:val="none"/>
              </w:rPr>
              <w:t>提供的报价一览表、优惠声明（如有）</w:t>
            </w:r>
            <w:r>
              <w:rPr>
                <w:rFonts w:hint="eastAsia" w:asciiTheme="minorEastAsia" w:hAnsiTheme="minorEastAsia" w:eastAsiaTheme="minorEastAsia" w:cstheme="minorEastAsia"/>
                <w:b/>
                <w:bCs/>
                <w:color w:val="auto"/>
                <w:sz w:val="21"/>
                <w:szCs w:val="21"/>
                <w:u w:val="none"/>
                <w:lang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本条款细化为：</w:t>
            </w:r>
          </w:p>
          <w:p>
            <w:pPr>
              <w:autoSpaceDE w:val="0"/>
              <w:autoSpaceDN w:val="0"/>
              <w:adjustRightIn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 w:val="21"/>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为磋商小组详细介绍供应商公司实际情况的</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本项目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报价为“交钥匙”价。竞标报价应包括完成该</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项目采购范围内的</w:t>
            </w:r>
            <w:r>
              <w:rPr>
                <w:rFonts w:hint="eastAsia" w:asciiTheme="minorEastAsia" w:hAnsiTheme="minorEastAsia" w:eastAsiaTheme="minorEastAsia" w:cstheme="minorEastAsia"/>
                <w:color w:val="000000" w:themeColor="text1"/>
                <w:sz w:val="21"/>
                <w:szCs w:val="21"/>
                <w14:textFill>
                  <w14:solidFill>
                    <w14:schemeClr w14:val="tx1"/>
                  </w14:solidFill>
                </w14:textFill>
              </w:rPr>
              <w:t>所有费用</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及</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后期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质保期间等一切服务费用及其他售后服务等全部相关工作</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的全费用</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各供应商按此要求进行报价，同时在合同实施过程中还将发生的其它费用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对于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文件未列明，而</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供应商认为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必须</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的费用也需列入总报价。在合同实施时，采购人将不予支付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default"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采购人不组织统一踏勘，</w:t>
            </w:r>
            <w:r>
              <w:rPr>
                <w:rFonts w:hint="eastAsia" w:asciiTheme="minorEastAsia" w:hAnsiTheme="minorEastAsia" w:eastAsiaTheme="minorEastAsia" w:cstheme="minorEastAsia"/>
                <w:color w:val="000000" w:themeColor="text1"/>
                <w:sz w:val="21"/>
                <w:szCs w:val="21"/>
                <w14:textFill>
                  <w14:solidFill>
                    <w14:schemeClr w14:val="tx1"/>
                  </w14:solidFill>
                </w14:textFill>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□组织，踏勘时间：                            </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踏勘集中地点：</w:t>
            </w:r>
          </w:p>
          <w:p>
            <w:pPr>
              <w:autoSpaceDE w:val="0"/>
              <w:autoSpaceDN w:val="0"/>
              <w:adjustRightInd w:val="0"/>
              <w:snapToGrid w:val="0"/>
              <w:spacing w:before="31" w:beforeLines="10" w:after="31" w:afterLines="10" w:line="240" w:lineRule="auto"/>
              <w:ind w:right="21" w:rightChars="10" w:firstLine="840"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踏勘联系人：</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注：1、</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采购人在踏勘现场中介绍的项目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背景及项目现场</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和相关的周边环境情况，供应商在编制响应文件时参考，采购人和采购代理机构不对供应商据此作出的判断和决策负责。        </w:t>
            </w:r>
          </w:p>
        </w:tc>
      </w:tr>
    </w:tbl>
    <w:p>
      <w:pPr>
        <w:spacing w:line="360" w:lineRule="auto"/>
        <w:outlineLvl w:val="1"/>
        <w:rPr>
          <w:rFonts w:hint="eastAsia" w:asciiTheme="minorEastAsia" w:hAnsiTheme="minorEastAsia" w:eastAsiaTheme="minorEastAsia" w:cstheme="minorEastAsia"/>
          <w:b/>
          <w:szCs w:val="21"/>
        </w:rPr>
      </w:pPr>
      <w:bookmarkStart w:id="26" w:name="_Toc390"/>
      <w:r>
        <w:rPr>
          <w:rFonts w:hint="eastAsia" w:asciiTheme="minorEastAsia" w:hAnsiTheme="minorEastAsia" w:eastAsiaTheme="minorEastAsia" w:cstheme="minorEastAsia"/>
          <w:b/>
          <w:szCs w:val="21"/>
        </w:rPr>
        <w:t>供应商须知</w:t>
      </w:r>
      <w:bookmarkEnd w:id="26"/>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7" w:name="_Toc24056"/>
      <w:r>
        <w:rPr>
          <w:rFonts w:hint="eastAsia" w:asciiTheme="minorEastAsia" w:hAnsiTheme="minorEastAsia" w:eastAsiaTheme="minorEastAsia" w:cstheme="minorEastAsia"/>
          <w:b/>
          <w:szCs w:val="21"/>
        </w:rPr>
        <w:t>总则</w:t>
      </w:r>
      <w:bookmarkEnd w:id="27"/>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28" w:name="_Toc24722"/>
      <w:bookmarkStart w:id="29" w:name="_Toc27243"/>
      <w:r>
        <w:rPr>
          <w:rFonts w:hint="eastAsia" w:asciiTheme="minorEastAsia" w:hAnsiTheme="minorEastAsia" w:eastAsiaTheme="minorEastAsia" w:cstheme="minorEastAsia"/>
          <w:b/>
          <w:szCs w:val="21"/>
        </w:rPr>
        <w:t>适用法律及范围</w:t>
      </w:r>
      <w:bookmarkEnd w:id="28"/>
      <w:bookmarkEnd w:id="29"/>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0" w:name="_Toc30547"/>
      <w:bookmarkStart w:id="31" w:name="_Toc12006"/>
      <w:r>
        <w:rPr>
          <w:rFonts w:hint="eastAsia" w:asciiTheme="minorEastAsia" w:hAnsiTheme="minorEastAsia" w:eastAsiaTheme="minorEastAsia" w:cstheme="minorEastAsia"/>
          <w:b/>
          <w:szCs w:val="21"/>
        </w:rPr>
        <w:t>定义</w:t>
      </w:r>
      <w:bookmarkEnd w:id="30"/>
      <w:bookmarkEnd w:id="31"/>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w:t>
      </w:r>
      <w:r>
        <w:rPr>
          <w:rFonts w:hint="eastAsia" w:asciiTheme="minorEastAsia" w:hAnsiTheme="minorEastAsia" w:eastAsiaTheme="minorEastAsia" w:cstheme="minorEastAsia"/>
          <w:snapToGrid w:val="0"/>
          <w:color w:val="auto"/>
          <w:kern w:val="0"/>
          <w:szCs w:val="21"/>
          <w:lang w:val="zh-CN"/>
        </w:rPr>
        <w:t>磋商小组评</w:t>
      </w:r>
      <w:r>
        <w:rPr>
          <w:rFonts w:hint="eastAsia" w:asciiTheme="minorEastAsia" w:hAnsiTheme="minorEastAsia" w:eastAsiaTheme="minorEastAsia" w:cstheme="minorEastAsia"/>
          <w:snapToGrid w:val="0"/>
          <w:kern w:val="0"/>
          <w:szCs w:val="21"/>
          <w:lang w:val="zh-CN"/>
        </w:rPr>
        <w:t>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2" w:name="_Toc10160"/>
      <w:bookmarkStart w:id="33" w:name="_Toc30503"/>
      <w:r>
        <w:rPr>
          <w:rFonts w:hint="eastAsia" w:asciiTheme="minorEastAsia" w:hAnsiTheme="minorEastAsia" w:eastAsiaTheme="minorEastAsia" w:cstheme="minorEastAsia"/>
          <w:b/>
          <w:snapToGrid w:val="0"/>
          <w:kern w:val="0"/>
          <w:szCs w:val="21"/>
          <w:lang w:val="zh-CN"/>
        </w:rPr>
        <w:t>工程、货物及服务</w:t>
      </w:r>
      <w:bookmarkEnd w:id="32"/>
      <w:bookmarkEnd w:id="33"/>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4" w:name="_Toc8052"/>
      <w:bookmarkStart w:id="35" w:name="_Toc9974"/>
      <w:r>
        <w:rPr>
          <w:rFonts w:hint="eastAsia" w:asciiTheme="minorEastAsia" w:hAnsiTheme="minorEastAsia" w:eastAsiaTheme="minorEastAsia" w:cstheme="minorEastAsia"/>
          <w:b/>
          <w:szCs w:val="21"/>
        </w:rPr>
        <w:t>费用</w:t>
      </w:r>
      <w:bookmarkEnd w:id="34"/>
      <w:bookmarkEnd w:id="35"/>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合计收费=179500.000元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6" w:name="_Toc10608"/>
      <w:r>
        <w:rPr>
          <w:rFonts w:hint="eastAsia" w:asciiTheme="minorEastAsia" w:hAnsiTheme="minorEastAsia" w:eastAsiaTheme="minorEastAsia" w:cstheme="minorEastAsia"/>
          <w:b/>
          <w:szCs w:val="21"/>
        </w:rPr>
        <w:t>竞争性磋商采购文件</w:t>
      </w:r>
      <w:bookmarkEnd w:id="36"/>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7" w:name="_Toc12431"/>
      <w:bookmarkStart w:id="38" w:name="_Toc4547"/>
      <w:r>
        <w:rPr>
          <w:rFonts w:hint="eastAsia" w:asciiTheme="minorEastAsia" w:hAnsiTheme="minorEastAsia" w:eastAsiaTheme="minorEastAsia" w:cstheme="minorEastAsia"/>
          <w:b/>
          <w:szCs w:val="21"/>
        </w:rPr>
        <w:t>竞争性磋商采购文件的构成</w:t>
      </w:r>
      <w:bookmarkEnd w:id="37"/>
      <w:bookmarkEnd w:id="38"/>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磋商小组</w:t>
      </w:r>
      <w:r>
        <w:rPr>
          <w:rFonts w:hint="eastAsia" w:asciiTheme="minorEastAsia" w:hAnsiTheme="minorEastAsia" w:eastAsiaTheme="minorEastAsia" w:cstheme="minorEastAsia"/>
          <w:color w:val="000000" w:themeColor="text1"/>
          <w:szCs w:val="21"/>
          <w14:textFill>
            <w14:solidFill>
              <w14:schemeClr w14:val="tx1"/>
            </w14:solidFill>
          </w14:textFill>
        </w:rPr>
        <w:t>在磋商过程中发出的对本磋商文件的</w:t>
      </w:r>
      <w:r>
        <w:rPr>
          <w:rFonts w:hint="eastAsia" w:asciiTheme="minorEastAsia" w:hAnsiTheme="minorEastAsia" w:eastAsiaTheme="minorEastAsia" w:cstheme="minorEastAsia"/>
          <w:szCs w:val="21"/>
        </w:rPr>
        <w:t>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39" w:name="_Toc296"/>
      <w:bookmarkStart w:id="40" w:name="_Toc29700"/>
      <w:r>
        <w:rPr>
          <w:rFonts w:hint="eastAsia" w:asciiTheme="minorEastAsia" w:hAnsiTheme="minorEastAsia" w:eastAsiaTheme="minorEastAsia" w:cstheme="minorEastAsia"/>
          <w:b/>
          <w:snapToGrid w:val="0"/>
          <w:kern w:val="0"/>
          <w:szCs w:val="21"/>
          <w:lang w:val="zh-CN"/>
        </w:rPr>
        <w:t>竞争性磋商采购文件的澄清</w:t>
      </w:r>
      <w:bookmarkEnd w:id="39"/>
      <w:bookmarkEnd w:id="40"/>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1" w:name="_Toc7662"/>
      <w:bookmarkStart w:id="42" w:name="_Toc31761"/>
      <w:r>
        <w:rPr>
          <w:rFonts w:hint="eastAsia" w:asciiTheme="minorEastAsia" w:hAnsiTheme="minorEastAsia" w:eastAsiaTheme="minorEastAsia" w:cstheme="minorEastAsia"/>
          <w:b/>
          <w:snapToGrid w:val="0"/>
          <w:kern w:val="0"/>
          <w:szCs w:val="21"/>
          <w:lang w:val="zh-CN"/>
        </w:rPr>
        <w:t>竞争性磋商采购文件的修改</w:t>
      </w:r>
      <w:bookmarkEnd w:id="41"/>
      <w:bookmarkEnd w:id="42"/>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3" w:name="_Toc6812"/>
      <w:r>
        <w:rPr>
          <w:rFonts w:hint="eastAsia" w:asciiTheme="minorEastAsia" w:hAnsiTheme="minorEastAsia" w:eastAsiaTheme="minorEastAsia" w:cstheme="minorEastAsia"/>
          <w:b/>
          <w:szCs w:val="21"/>
        </w:rPr>
        <w:t>竞争性磋商响应文件</w:t>
      </w:r>
      <w:bookmarkEnd w:id="43"/>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4" w:name="_Toc28544"/>
      <w:bookmarkStart w:id="45" w:name="_Toc30987"/>
      <w:r>
        <w:rPr>
          <w:rFonts w:hint="eastAsia" w:asciiTheme="minorEastAsia" w:hAnsiTheme="minorEastAsia" w:eastAsiaTheme="minorEastAsia" w:cstheme="minorEastAsia"/>
          <w:b/>
          <w:snapToGrid w:val="0"/>
          <w:kern w:val="0"/>
          <w:szCs w:val="21"/>
          <w:lang w:val="zh-CN"/>
        </w:rPr>
        <w:t>语言和计量单位</w:t>
      </w:r>
      <w:bookmarkEnd w:id="44"/>
      <w:bookmarkEnd w:id="45"/>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6" w:name="_Toc32272"/>
      <w:bookmarkStart w:id="47" w:name="_Toc28509"/>
      <w:r>
        <w:rPr>
          <w:rFonts w:hint="eastAsia" w:asciiTheme="minorEastAsia" w:hAnsiTheme="minorEastAsia" w:eastAsiaTheme="minorEastAsia" w:cstheme="minorEastAsia"/>
          <w:b/>
          <w:snapToGrid w:val="0"/>
          <w:kern w:val="0"/>
          <w:szCs w:val="21"/>
          <w:lang w:val="zh-CN"/>
        </w:rPr>
        <w:t>竞争性磋商响应文件的构成</w:t>
      </w:r>
      <w:bookmarkEnd w:id="46"/>
      <w:bookmarkEnd w:id="47"/>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8" w:name="_Toc18366"/>
      <w:bookmarkStart w:id="49" w:name="_Toc25217"/>
      <w:r>
        <w:rPr>
          <w:rFonts w:hint="eastAsia" w:asciiTheme="minorEastAsia" w:hAnsiTheme="minorEastAsia" w:eastAsiaTheme="minorEastAsia" w:cstheme="minorEastAsia"/>
          <w:b/>
          <w:snapToGrid w:val="0"/>
          <w:kern w:val="0"/>
          <w:szCs w:val="21"/>
          <w:lang w:val="zh-CN"/>
        </w:rPr>
        <w:t>竞争性磋商响应文件的编制</w:t>
      </w:r>
      <w:bookmarkEnd w:id="48"/>
      <w:bookmarkEnd w:id="49"/>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0" w:name="_Toc24544"/>
      <w:bookmarkStart w:id="51" w:name="_Toc28690"/>
      <w:r>
        <w:rPr>
          <w:rFonts w:hint="eastAsia" w:asciiTheme="minorEastAsia" w:hAnsiTheme="minorEastAsia" w:eastAsiaTheme="minorEastAsia" w:cstheme="minorEastAsia"/>
          <w:b/>
          <w:snapToGrid w:val="0"/>
          <w:kern w:val="0"/>
          <w:szCs w:val="21"/>
          <w:lang w:val="zh-CN"/>
        </w:rPr>
        <w:t>磋商报价</w:t>
      </w:r>
      <w:bookmarkEnd w:id="50"/>
      <w:bookmarkEnd w:id="51"/>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2" w:name="_Toc9696"/>
      <w:bookmarkStart w:id="53" w:name="_Toc6176"/>
      <w:r>
        <w:rPr>
          <w:rFonts w:hint="eastAsia" w:asciiTheme="minorEastAsia" w:hAnsiTheme="minorEastAsia" w:eastAsiaTheme="minorEastAsia" w:cstheme="minorEastAsia"/>
          <w:b/>
          <w:snapToGrid w:val="0"/>
          <w:kern w:val="0"/>
          <w:szCs w:val="21"/>
          <w:lang w:val="zh-CN"/>
        </w:rPr>
        <w:t>备选方案</w:t>
      </w:r>
      <w:bookmarkEnd w:id="52"/>
      <w:bookmarkEnd w:id="53"/>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4" w:name="_Toc3324"/>
      <w:bookmarkStart w:id="55" w:name="_Toc28292"/>
      <w:r>
        <w:rPr>
          <w:rFonts w:hint="eastAsia" w:asciiTheme="minorEastAsia" w:hAnsiTheme="minorEastAsia" w:eastAsiaTheme="minorEastAsia" w:cstheme="minorEastAsia"/>
          <w:b/>
          <w:snapToGrid w:val="0"/>
          <w:kern w:val="0"/>
          <w:szCs w:val="21"/>
          <w:lang w:val="zh-CN"/>
        </w:rPr>
        <w:t>联合体</w:t>
      </w:r>
      <w:bookmarkEnd w:id="54"/>
      <w:bookmarkEnd w:id="55"/>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6" w:name="_Toc13082"/>
      <w:bookmarkStart w:id="57" w:name="_Toc2434"/>
      <w:r>
        <w:rPr>
          <w:rFonts w:hint="eastAsia" w:asciiTheme="minorEastAsia" w:hAnsiTheme="minorEastAsia" w:eastAsiaTheme="minorEastAsia" w:cstheme="minorEastAsia"/>
          <w:b/>
          <w:snapToGrid w:val="0"/>
          <w:kern w:val="0"/>
          <w:szCs w:val="21"/>
          <w:lang w:val="zh-CN"/>
        </w:rPr>
        <w:t>供应商资格证明文件</w:t>
      </w:r>
      <w:bookmarkEnd w:id="56"/>
      <w:bookmarkEnd w:id="57"/>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8" w:name="_Toc9935"/>
      <w:bookmarkStart w:id="59" w:name="_Toc13251"/>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8"/>
      <w:bookmarkEnd w:id="59"/>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0" w:name="_Toc2233"/>
      <w:bookmarkStart w:id="61" w:name="_Toc27068"/>
      <w:r>
        <w:rPr>
          <w:rFonts w:hint="eastAsia" w:asciiTheme="minorEastAsia" w:hAnsiTheme="minorEastAsia" w:eastAsiaTheme="minorEastAsia" w:cstheme="minorEastAsia"/>
          <w:b/>
          <w:snapToGrid w:val="0"/>
          <w:color w:val="auto"/>
          <w:kern w:val="0"/>
          <w:szCs w:val="21"/>
          <w:lang w:val="zh-CN"/>
        </w:rPr>
        <w:t>磋商保证金</w:t>
      </w:r>
      <w:bookmarkEnd w:id="60"/>
      <w:bookmarkEnd w:id="61"/>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5668"/>
      <w:bookmarkStart w:id="63" w:name="_Toc32375"/>
      <w:r>
        <w:rPr>
          <w:rFonts w:hint="eastAsia" w:asciiTheme="minorEastAsia" w:hAnsiTheme="minorEastAsia" w:eastAsiaTheme="minorEastAsia" w:cstheme="minorEastAsia"/>
          <w:b/>
          <w:snapToGrid w:val="0"/>
          <w:kern w:val="0"/>
          <w:szCs w:val="21"/>
          <w:lang w:val="zh-CN"/>
        </w:rPr>
        <w:t>磋商有效期</w:t>
      </w:r>
      <w:bookmarkEnd w:id="62"/>
      <w:bookmarkEnd w:id="63"/>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4874"/>
      <w:bookmarkStart w:id="65"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4"/>
      <w:bookmarkEnd w:id="65"/>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6" w:name="_Toc14555"/>
      <w:r>
        <w:rPr>
          <w:rFonts w:hint="eastAsia" w:asciiTheme="minorEastAsia" w:hAnsiTheme="minorEastAsia" w:eastAsiaTheme="minorEastAsia" w:cstheme="minorEastAsia"/>
          <w:b/>
          <w:szCs w:val="21"/>
        </w:rPr>
        <w:t>竞争性磋商响应文件的递交</w:t>
      </w:r>
      <w:bookmarkEnd w:id="6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7" w:name="_Toc3578"/>
      <w:bookmarkStart w:id="68"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7"/>
      <w:bookmarkEnd w:id="68"/>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9" w:name="_Toc10075"/>
      <w:bookmarkStart w:id="70"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69"/>
      <w:bookmarkEnd w:id="70"/>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1" w:name="_Toc31376"/>
      <w:bookmarkStart w:id="72" w:name="_Toc2988"/>
      <w:r>
        <w:rPr>
          <w:rFonts w:hint="eastAsia" w:asciiTheme="minorEastAsia" w:hAnsiTheme="minorEastAsia" w:eastAsiaTheme="minorEastAsia" w:cstheme="minorEastAsia"/>
          <w:b/>
          <w:snapToGrid w:val="0"/>
          <w:kern w:val="0"/>
          <w:szCs w:val="21"/>
          <w:lang w:val="zh-CN"/>
        </w:rPr>
        <w:t>迟交的竞争性磋商响应文件</w:t>
      </w:r>
      <w:bookmarkEnd w:id="71"/>
      <w:bookmarkEnd w:id="72"/>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3" w:name="_Toc7503"/>
      <w:bookmarkStart w:id="74"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3"/>
      <w:bookmarkEnd w:id="74"/>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5" w:name="_Toc31956"/>
      <w:r>
        <w:rPr>
          <w:rFonts w:hint="eastAsia" w:asciiTheme="minorEastAsia" w:hAnsiTheme="minorEastAsia" w:eastAsiaTheme="minorEastAsia" w:cstheme="minorEastAsia"/>
          <w:b/>
          <w:szCs w:val="21"/>
        </w:rPr>
        <w:t>磋商程序及步骤</w:t>
      </w:r>
      <w:bookmarkEnd w:id="75"/>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6" w:name="_Toc22624"/>
      <w:bookmarkStart w:id="77" w:name="_Toc28781"/>
      <w:r>
        <w:rPr>
          <w:rFonts w:hint="eastAsia" w:asciiTheme="minorEastAsia" w:hAnsiTheme="minorEastAsia" w:eastAsiaTheme="minorEastAsia" w:cstheme="minorEastAsia"/>
          <w:b/>
        </w:rPr>
        <w:t>竞争性磋商小组</w:t>
      </w:r>
      <w:bookmarkEnd w:id="76"/>
      <w:bookmarkEnd w:id="77"/>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12504"/>
      <w:bookmarkStart w:id="79" w:name="_Toc21483"/>
      <w:r>
        <w:rPr>
          <w:rFonts w:hint="eastAsia" w:asciiTheme="minorEastAsia" w:hAnsiTheme="minorEastAsia" w:eastAsiaTheme="minorEastAsia" w:cstheme="minorEastAsia"/>
          <w:b/>
        </w:rPr>
        <w:t>磋商代表</w:t>
      </w:r>
      <w:bookmarkEnd w:id="78"/>
      <w:bookmarkEnd w:id="79"/>
    </w:p>
    <w:p>
      <w:pPr>
        <w:tabs>
          <w:tab w:val="left" w:pos="864"/>
          <w:tab w:val="left" w:pos="1080"/>
        </w:tabs>
        <w:spacing w:line="360" w:lineRule="auto"/>
        <w:rPr>
          <w:rFonts w:hint="eastAsia" w:asciiTheme="minorEastAsia" w:hAnsiTheme="minorEastAsia" w:eastAsiaTheme="minorEastAsia" w:cstheme="minorEastAsia"/>
          <w:szCs w:val="21"/>
          <w:lang w:val="en-US" w:eastAsia="zh-CN"/>
        </w:rPr>
      </w:pPr>
      <w:bookmarkStart w:id="80" w:name="_Toc9967"/>
      <w:bookmarkStart w:id="81"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0"/>
      <w:bookmarkEnd w:id="81"/>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2" w:name="_Toc26853"/>
      <w:r>
        <w:rPr>
          <w:rFonts w:hint="eastAsia" w:asciiTheme="minorEastAsia" w:hAnsiTheme="minorEastAsia" w:eastAsiaTheme="minorEastAsia" w:cstheme="minorEastAsia"/>
          <w:b/>
        </w:rPr>
        <w:t>资格审查和符合性审查</w:t>
      </w:r>
      <w:bookmarkEnd w:id="82"/>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3" w:name="_Toc13316"/>
      <w:r>
        <w:rPr>
          <w:rFonts w:hint="eastAsia" w:asciiTheme="minorEastAsia" w:hAnsiTheme="minorEastAsia" w:eastAsiaTheme="minorEastAsia" w:cstheme="minorEastAsia"/>
          <w:b/>
        </w:rPr>
        <w:t>磋商</w:t>
      </w:r>
      <w:bookmarkEnd w:id="83"/>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4" w:name="_Toc6982"/>
      <w:r>
        <w:rPr>
          <w:rFonts w:hint="eastAsia" w:asciiTheme="minorEastAsia" w:hAnsiTheme="minorEastAsia" w:eastAsiaTheme="minorEastAsia" w:cstheme="minorEastAsia"/>
          <w:b/>
          <w:lang w:val="zh-CN"/>
        </w:rPr>
        <w:t>保密</w:t>
      </w:r>
      <w:bookmarkEnd w:id="84"/>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5" w:name="_Toc25685"/>
      <w:r>
        <w:rPr>
          <w:rFonts w:hint="eastAsia" w:asciiTheme="minorEastAsia" w:hAnsiTheme="minorEastAsia" w:eastAsiaTheme="minorEastAsia" w:cstheme="minorEastAsia"/>
          <w:b/>
          <w:szCs w:val="21"/>
        </w:rPr>
        <w:t>成交与签订合同</w:t>
      </w:r>
      <w:bookmarkEnd w:id="85"/>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6" w:name="_Toc17049"/>
      <w:r>
        <w:rPr>
          <w:rFonts w:hint="eastAsia" w:asciiTheme="minorEastAsia" w:hAnsiTheme="minorEastAsia" w:eastAsiaTheme="minorEastAsia" w:cstheme="minorEastAsia"/>
          <w:b/>
          <w:lang w:val="zh-CN"/>
        </w:rPr>
        <w:t>合同授予标准</w:t>
      </w:r>
      <w:bookmarkEnd w:id="86"/>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7" w:name="_Toc6567"/>
      <w:r>
        <w:rPr>
          <w:rFonts w:hint="eastAsia" w:asciiTheme="minorEastAsia" w:hAnsiTheme="minorEastAsia" w:eastAsiaTheme="minorEastAsia" w:cstheme="minorEastAsia"/>
          <w:b/>
          <w:lang w:val="zh-CN"/>
        </w:rPr>
        <w:t>签订合同</w:t>
      </w:r>
      <w:bookmarkEnd w:id="87"/>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88" w:name="_Toc9309"/>
      <w:bookmarkStart w:id="89" w:name="_Toc4883"/>
      <w:bookmarkStart w:id="90" w:name="_Toc13988"/>
      <w:bookmarkStart w:id="91" w:name="_Toc14510"/>
      <w:r>
        <w:rPr>
          <w:rFonts w:hint="eastAsia" w:asciiTheme="minorEastAsia" w:hAnsiTheme="minorEastAsia" w:eastAsiaTheme="minorEastAsia" w:cstheme="minorEastAsia"/>
          <w:b/>
          <w:szCs w:val="21"/>
          <w:lang w:val="zh-CN"/>
        </w:rPr>
        <w:t>质疑和投诉</w:t>
      </w:r>
      <w:bookmarkEnd w:id="88"/>
      <w:bookmarkEnd w:id="89"/>
      <w:bookmarkEnd w:id="90"/>
      <w:bookmarkEnd w:id="91"/>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2" w:name="_Toc25676"/>
      <w:r>
        <w:rPr>
          <w:rFonts w:hint="eastAsia" w:asciiTheme="minorEastAsia" w:hAnsiTheme="minorEastAsia" w:eastAsiaTheme="minorEastAsia" w:cstheme="minorEastAsia"/>
          <w:b/>
          <w:lang w:val="zh-CN"/>
        </w:rPr>
        <w:t>质疑</w:t>
      </w:r>
      <w:bookmarkEnd w:id="92"/>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3" w:name="_Toc5439"/>
      <w:r>
        <w:rPr>
          <w:rFonts w:hint="eastAsia" w:asciiTheme="minorEastAsia" w:hAnsiTheme="minorEastAsia" w:eastAsiaTheme="minorEastAsia" w:cstheme="minorEastAsia"/>
          <w:b/>
          <w:lang w:val="zh-CN"/>
        </w:rPr>
        <w:t>质疑回复</w:t>
      </w:r>
      <w:bookmarkEnd w:id="93"/>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4" w:name="_Toc15696"/>
      <w:r>
        <w:rPr>
          <w:rFonts w:hint="eastAsia" w:asciiTheme="minorEastAsia" w:hAnsiTheme="minorEastAsia" w:eastAsiaTheme="minorEastAsia" w:cstheme="minorEastAsia"/>
          <w:b/>
          <w:lang w:val="zh-CN"/>
        </w:rPr>
        <w:t>投诉</w:t>
      </w:r>
      <w:bookmarkEnd w:id="94"/>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5" w:name="_Toc28705"/>
      <w:bookmarkStart w:id="96" w:name="_Toc11469"/>
      <w:bookmarkStart w:id="97" w:name="_Toc5571"/>
      <w:bookmarkStart w:id="98" w:name="_Toc14767"/>
      <w:r>
        <w:rPr>
          <w:rFonts w:hint="eastAsia" w:asciiTheme="minorEastAsia" w:hAnsiTheme="minorEastAsia" w:eastAsiaTheme="minorEastAsia" w:cstheme="minorEastAsia"/>
          <w:b/>
          <w:szCs w:val="21"/>
          <w:lang w:val="zh-CN"/>
        </w:rPr>
        <w:t>政策</w:t>
      </w:r>
      <w:bookmarkEnd w:id="95"/>
      <w:bookmarkEnd w:id="96"/>
      <w:bookmarkEnd w:id="97"/>
      <w:bookmarkEnd w:id="9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99" w:name="_Toc7676"/>
      <w:r>
        <w:rPr>
          <w:rFonts w:hint="eastAsia" w:asciiTheme="minorEastAsia" w:hAnsiTheme="minorEastAsia" w:eastAsiaTheme="minorEastAsia" w:cstheme="minorEastAsia"/>
          <w:b/>
          <w:lang w:val="en-US" w:eastAsia="zh-CN"/>
        </w:rPr>
        <w:t>政府采购政策</w:t>
      </w:r>
      <w:bookmarkEnd w:id="99"/>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0" w:name="_Toc26475"/>
      <w:r>
        <w:rPr>
          <w:rFonts w:hint="eastAsia" w:asciiTheme="minorEastAsia" w:hAnsiTheme="minorEastAsia" w:eastAsiaTheme="minorEastAsia" w:cstheme="minorEastAsia"/>
          <w:b/>
          <w:szCs w:val="21"/>
          <w:lang w:val="zh-CN"/>
        </w:rPr>
        <w:t>其他要求</w:t>
      </w:r>
      <w:bookmarkEnd w:id="100"/>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1" w:name="_Toc24664"/>
      <w:r>
        <w:rPr>
          <w:rFonts w:hint="eastAsia" w:asciiTheme="minorEastAsia" w:hAnsiTheme="minorEastAsia" w:eastAsiaTheme="minorEastAsia" w:cstheme="minorEastAsia"/>
          <w:b/>
          <w:szCs w:val="21"/>
          <w:lang w:val="zh-CN"/>
        </w:rPr>
        <w:t>适用法律</w:t>
      </w:r>
      <w:bookmarkEnd w:id="101"/>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br w:type="page"/>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bookmarkStart w:id="102" w:name="_Toc12632"/>
      <w:r>
        <w:rPr>
          <w:rFonts w:hint="eastAsia" w:asciiTheme="minorEastAsia" w:hAnsiTheme="minorEastAsia" w:eastAsiaTheme="minorEastAsia" w:cstheme="minorEastAsia"/>
          <w:sz w:val="36"/>
          <w:szCs w:val="36"/>
        </w:rPr>
        <w:t>采购需求</w:t>
      </w:r>
      <w:bookmarkEnd w:id="102"/>
    </w:p>
    <w:p>
      <w:pPr>
        <w:keepNext w:val="0"/>
        <w:keepLines w:val="0"/>
        <w:pageBreakBefore w:val="0"/>
        <w:widowControl w:val="0"/>
        <w:kinsoku/>
        <w:overflowPunct/>
        <w:topLinePunct w:val="0"/>
        <w:autoSpaceDE w:val="0"/>
        <w:autoSpaceDN w:val="0"/>
        <w:bidi w:val="0"/>
        <w:adjustRightInd w:val="0"/>
        <w:spacing w:line="360" w:lineRule="auto"/>
        <w:textAlignment w:val="auto"/>
        <w:outlineLvl w:val="1"/>
        <w:rPr>
          <w:rFonts w:hint="eastAsia" w:asciiTheme="minorEastAsia" w:hAnsiTheme="minorEastAsia" w:eastAsiaTheme="minorEastAsia" w:cstheme="minorEastAsia"/>
          <w:b/>
          <w:bCs/>
          <w:color w:val="auto"/>
          <w:sz w:val="24"/>
          <w:szCs w:val="24"/>
          <w:lang w:val="en-US" w:eastAsia="zh-CN"/>
        </w:rPr>
      </w:pPr>
      <w:bookmarkStart w:id="103" w:name="_Toc6320"/>
      <w:r>
        <w:rPr>
          <w:rFonts w:hint="eastAsia" w:asciiTheme="minorEastAsia" w:hAnsiTheme="minorEastAsia" w:eastAsiaTheme="minorEastAsia" w:cstheme="minorEastAsia"/>
          <w:b/>
          <w:bCs/>
          <w:color w:val="auto"/>
          <w:sz w:val="24"/>
          <w:szCs w:val="24"/>
          <w:lang w:val="en-US" w:eastAsia="zh-CN"/>
        </w:rPr>
        <w:t>一、技术需求</w:t>
      </w:r>
      <w:bookmarkEnd w:id="103"/>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0" w:firstLineChars="0"/>
        <w:textAlignment w:val="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1、项目概况：对德祐剧场进行维修及配套设施更新，内部管网改造，剧场、停车场及园林绿化工程的提升改造。</w:t>
      </w:r>
    </w:p>
    <w:p>
      <w:pPr>
        <w:keepNext w:val="0"/>
        <w:keepLines w:val="0"/>
        <w:pageBreakBefore w:val="0"/>
        <w:widowControl w:val="0"/>
        <w:kinsoku/>
        <w:wordWrap w:val="0"/>
        <w:overflowPunct/>
        <w:topLinePunct w:val="0"/>
        <w:bidi w:val="0"/>
        <w:spacing w:line="360" w:lineRule="auto"/>
        <w:jc w:val="left"/>
        <w:textAlignment w:val="auto"/>
        <w:rPr>
          <w:rFonts w:hint="eastAsia" w:ascii="宋体" w:hAnsi="宋体" w:cs="宋体"/>
          <w:color w:val="000000" w:themeColor="text1"/>
          <w:sz w:val="21"/>
          <w:szCs w:val="21"/>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2、服务内容和要求：</w:t>
      </w:r>
      <w:r>
        <w:rPr>
          <w:rFonts w:hint="eastAsia" w:ascii="宋体" w:hAnsi="宋体" w:eastAsia="宋体" w:cs="宋体"/>
          <w:color w:val="000000" w:themeColor="text1"/>
          <w:sz w:val="21"/>
          <w:szCs w:val="21"/>
          <w:u w:val="none"/>
          <w:lang w:eastAsia="zh-CN"/>
          <w14:textFill>
            <w14:solidFill>
              <w14:schemeClr w14:val="tx1"/>
            </w14:solidFill>
          </w14:textFill>
        </w:rPr>
        <w:t>负责</w:t>
      </w:r>
      <w:r>
        <w:rPr>
          <w:rFonts w:hint="eastAsia" w:asciiTheme="minorEastAsia" w:hAnsiTheme="minorEastAsia" w:eastAsiaTheme="minorEastAsia" w:cstheme="minorEastAsia"/>
          <w:color w:val="000000" w:themeColor="text1"/>
          <w:szCs w:val="21"/>
          <w14:textFill>
            <w14:solidFill>
              <w14:schemeClr w14:val="tx1"/>
            </w14:solidFill>
          </w14:textFill>
        </w:rPr>
        <w:t>听涛德祐剧场可研及设计服务项目</w:t>
      </w:r>
      <w:r>
        <w:rPr>
          <w:rFonts w:hint="eastAsia" w:ascii="宋体" w:hAnsi="宋体" w:eastAsia="宋体" w:cs="宋体"/>
          <w:color w:val="000000" w:themeColor="text1"/>
          <w:sz w:val="21"/>
          <w:szCs w:val="21"/>
          <w:u w:val="none"/>
          <w:lang w:eastAsia="zh-CN"/>
          <w14:textFill>
            <w14:solidFill>
              <w14:schemeClr w14:val="tx1"/>
            </w14:solidFill>
          </w14:textFill>
        </w:rPr>
        <w:t>的可研报告编制</w:t>
      </w:r>
      <w:r>
        <w:rPr>
          <w:rFonts w:hint="eastAsia" w:ascii="宋体" w:hAnsi="宋体" w:cs="宋体"/>
          <w:color w:val="000000" w:themeColor="text1"/>
          <w:sz w:val="21"/>
          <w:szCs w:val="21"/>
          <w:u w:val="none"/>
          <w:lang w:val="en-US" w:eastAsia="zh-CN"/>
          <w14:textFill>
            <w14:solidFill>
              <w14:schemeClr w14:val="tx1"/>
            </w14:solidFill>
          </w14:textFill>
        </w:rPr>
        <w:t>及设计服务，设计服务工作内容应包括但不限于该工程的方案设计、初步设计(含概算批复)及施工图设计（含图审及施工过程中的设计咨询和服务）等，提交经采购人认可的项目招标所需的图纸、概算的编制、文件汇总及后续服务等工作。各阶段的设计成果应满足《建筑项目设计文件编制深度规定》，还需满足项目报建、项目概算和项目施工的需要。</w:t>
      </w:r>
    </w:p>
    <w:p>
      <w:pPr>
        <w:pStyle w:val="20"/>
        <w:keepNext w:val="0"/>
        <w:keepLines w:val="0"/>
        <w:pageBreakBefore w:val="0"/>
        <w:widowControl w:val="0"/>
        <w:kinsoku/>
        <w:overflowPunct/>
        <w:topLinePunct w:val="0"/>
        <w:bidi w:val="0"/>
        <w:spacing w:line="360" w:lineRule="auto"/>
        <w:textAlignment w:val="auto"/>
        <w:rPr>
          <w:rFonts w:hint="eastAsia"/>
          <w:b/>
          <w:bCs/>
          <w:lang w:val="en-US" w:eastAsia="zh-CN"/>
        </w:rPr>
      </w:pPr>
      <w:r>
        <w:rPr>
          <w:rFonts w:hint="eastAsia"/>
          <w:b/>
          <w:bCs/>
          <w:lang w:val="en-US" w:eastAsia="zh-CN"/>
        </w:rPr>
        <w:t>一、可行性研究报告编制</w:t>
      </w:r>
    </w:p>
    <w:p>
      <w:pPr>
        <w:pStyle w:val="20"/>
        <w:keepNext w:val="0"/>
        <w:keepLines w:val="0"/>
        <w:pageBreakBefore w:val="0"/>
        <w:widowControl w:val="0"/>
        <w:kinsoku/>
        <w:overflowPunct/>
        <w:topLinePunct w:val="0"/>
        <w:bidi w:val="0"/>
        <w:spacing w:line="360" w:lineRule="auto"/>
        <w:textAlignment w:val="auto"/>
        <w:rPr>
          <w:rFonts w:hint="eastAsia"/>
          <w:lang w:val="en-US" w:eastAsia="zh-CN"/>
        </w:rPr>
      </w:pPr>
      <w:r>
        <w:rPr>
          <w:rFonts w:hint="eastAsia"/>
          <w:lang w:val="en-US" w:eastAsia="zh-CN"/>
        </w:rPr>
        <w:t>必须严格按照国家规范、地区规定及行业要求，完成本工程可行性研究报告</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outlineLvl w:val="9"/>
        <w:rPr>
          <w:rFonts w:hint="eastAsia" w:asciiTheme="minorEastAsia" w:hAnsiTheme="minorEastAsia" w:eastAsiaTheme="minorEastAsia" w:cstheme="minorEastAsia"/>
          <w:b/>
          <w:bCs/>
          <w:sz w:val="21"/>
          <w:szCs w:val="21"/>
          <w:lang w:eastAsia="zh-CN"/>
        </w:rPr>
      </w:pPr>
      <w:bookmarkStart w:id="104" w:name="_Toc31947"/>
      <w:bookmarkStart w:id="105" w:name="_Toc6889"/>
      <w:bookmarkStart w:id="106" w:name="_Toc534962985"/>
      <w:bookmarkStart w:id="107" w:name="_Toc407783047"/>
      <w:r>
        <w:rPr>
          <w:rFonts w:hint="eastAsia" w:asciiTheme="minorEastAsia" w:hAnsiTheme="minorEastAsia" w:eastAsiaTheme="minorEastAsia" w:cstheme="minorEastAsia"/>
          <w:b/>
          <w:bCs/>
          <w:sz w:val="21"/>
          <w:szCs w:val="21"/>
          <w:lang w:eastAsia="zh-CN"/>
        </w:rPr>
        <w:t>二、设计标准</w:t>
      </w:r>
      <w:bookmarkEnd w:id="104"/>
      <w:bookmarkEnd w:id="105"/>
      <w:bookmarkEnd w:id="106"/>
    </w:p>
    <w:p>
      <w:pPr>
        <w:keepNext w:val="0"/>
        <w:keepLines w:val="0"/>
        <w:pageBreakBefore w:val="0"/>
        <w:widowControl w:val="0"/>
        <w:kinsoku/>
        <w:wordWrap/>
        <w:overflowPunct/>
        <w:topLinePunct w:val="0"/>
        <w:autoSpaceDE/>
        <w:autoSpaceDN/>
        <w:bidi w:val="0"/>
        <w:spacing w:line="360" w:lineRule="auto"/>
        <w:textAlignment w:val="auto"/>
        <w:rPr>
          <w:rFonts w:hint="eastAsia"/>
        </w:rPr>
      </w:pPr>
      <w:r>
        <w:rPr>
          <w:rFonts w:hint="eastAsia" w:asciiTheme="minorEastAsia" w:hAnsiTheme="minorEastAsia" w:eastAsiaTheme="minorEastAsia" w:cstheme="minorEastAsia"/>
          <w:sz w:val="21"/>
          <w:szCs w:val="21"/>
        </w:rPr>
        <w:t>满足国家及地方相关行业规范、标准要求。</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outlineLvl w:val="9"/>
        <w:rPr>
          <w:rFonts w:hint="eastAsia" w:asciiTheme="minorEastAsia" w:hAnsiTheme="minorEastAsia" w:eastAsiaTheme="minorEastAsia" w:cstheme="minorEastAsia"/>
          <w:b/>
          <w:bCs/>
          <w:sz w:val="21"/>
          <w:szCs w:val="21"/>
        </w:rPr>
      </w:pPr>
      <w:bookmarkStart w:id="108" w:name="_Toc10418"/>
      <w:bookmarkStart w:id="109" w:name="_Toc11263"/>
      <w:bookmarkStart w:id="110" w:name="_Toc534962986"/>
      <w:r>
        <w:rPr>
          <w:rFonts w:hint="eastAsia" w:asciiTheme="minorEastAsia" w:hAnsiTheme="minorEastAsia" w:eastAsiaTheme="minorEastAsia" w:cstheme="minorEastAsia"/>
          <w:b/>
          <w:bCs/>
          <w:sz w:val="21"/>
          <w:szCs w:val="21"/>
          <w:lang w:eastAsia="zh-CN"/>
        </w:rPr>
        <w:t>三</w:t>
      </w:r>
      <w:r>
        <w:rPr>
          <w:rFonts w:hint="eastAsia" w:asciiTheme="minorEastAsia" w:hAnsiTheme="minorEastAsia" w:eastAsiaTheme="minorEastAsia" w:cstheme="minorEastAsia"/>
          <w:b/>
          <w:bCs/>
          <w:sz w:val="21"/>
          <w:szCs w:val="21"/>
        </w:rPr>
        <w:t>、设计内容和要求</w:t>
      </w:r>
      <w:bookmarkEnd w:id="108"/>
      <w:bookmarkEnd w:id="109"/>
      <w:bookmarkEnd w:id="11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.1按相关要求完成初步设计，配合完成初步设计报审及审查后的修改工作。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.2按初步设计审查意见和批复，开展施工图设计，并协助完成施工图审查及审查后的修改工作。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.3配合完成其他与设计相关工作，负责提供汇报材料（包括电子版文件）。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.4工程建设后续服务。</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outlineLvl w:val="9"/>
        <w:rPr>
          <w:rFonts w:hint="eastAsia" w:asciiTheme="minorEastAsia" w:hAnsiTheme="minorEastAsia" w:eastAsiaTheme="minorEastAsia" w:cstheme="minorEastAsia"/>
          <w:b/>
          <w:bCs/>
          <w:sz w:val="21"/>
          <w:szCs w:val="21"/>
        </w:rPr>
      </w:pPr>
      <w:bookmarkStart w:id="111" w:name="_Toc6849"/>
      <w:bookmarkStart w:id="112" w:name="_Toc32484"/>
      <w:bookmarkStart w:id="113" w:name="_Toc534962988"/>
      <w:r>
        <w:rPr>
          <w:rFonts w:hint="eastAsia" w:asciiTheme="minorEastAsia" w:hAnsiTheme="minorEastAsia" w:eastAsiaTheme="minorEastAsia" w:cstheme="minorEastAsia"/>
          <w:b/>
          <w:bCs/>
          <w:sz w:val="21"/>
          <w:szCs w:val="21"/>
          <w:lang w:eastAsia="zh-CN"/>
        </w:rPr>
        <w:t>四</w:t>
      </w:r>
      <w:r>
        <w:rPr>
          <w:rFonts w:hint="eastAsia" w:asciiTheme="minorEastAsia" w:hAnsiTheme="minorEastAsia" w:eastAsiaTheme="minorEastAsia" w:cstheme="minorEastAsia"/>
          <w:b/>
          <w:bCs/>
          <w:sz w:val="21"/>
          <w:szCs w:val="21"/>
        </w:rPr>
        <w:t>、设计深度要求</w:t>
      </w:r>
      <w:bookmarkEnd w:id="111"/>
      <w:bookmarkEnd w:id="112"/>
      <w:bookmarkEnd w:id="113"/>
    </w:p>
    <w:bookmarkEnd w:id="107"/>
    <w:p>
      <w:pPr>
        <w:keepNext w:val="0"/>
        <w:keepLines w:val="0"/>
        <w:pageBreakBefore w:val="0"/>
        <w:widowControl w:val="0"/>
        <w:tabs>
          <w:tab w:val="left" w:pos="907"/>
        </w:tabs>
        <w:kinsoku/>
        <w:wordWrap/>
        <w:overflowPunct/>
        <w:topLinePunct w:val="0"/>
        <w:autoSpaceDE/>
        <w:autoSpaceDN/>
        <w:bidi w:val="0"/>
        <w:adjustRightInd w:val="0"/>
        <w:snapToGrid w:val="0"/>
        <w:spacing w:line="360" w:lineRule="auto"/>
        <w:ind w:left="105" w:leftChars="50"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.1初步设计的图纸设计及概算深度的要求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315" w:firstLineChars="15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.1.1工程概述部分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1、经批复的文件及有关评审报告等设计依据。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、工程概况：工程地点、范围、建设期限及工期计划。</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、项目研究过程。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、对上位规划的执行情况。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、对项目建议书批复意见的执行情况。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、其它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.1.2功能定位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1、与项目建设相关的规划背景：包括总体规划、修建规划。</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、项目的功能定位。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、工程建设意义。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.1.3建设条件部分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1、场地地形地貌、气象等自然条件。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2、工程地质条件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3、工程沿线的基本情况及分析。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.1.4总体设计部分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1、设计原则。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2、工程地点、范围及规模。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3、工程建成后的功能。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4、采用的规范标准。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5、设计主要技术指标。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环境指标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1、项目施工期对周围环境影响的系统分析。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2、环境污染交通噪声污染等防治措施设计等。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存在的问题及建议、合理化改进方案等。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其它要求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1、初步设计及概算必顺达到国家现行规范及标准，相关数据清晰、准确、细化。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2、概算书按规范编制清晰，相关费用项目名称按标准规定齐全，套用定额费率准确，配套相关文号准确。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.2施工图设计深度的要求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.2.1施工图总说明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1、设计依据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2、工程概况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3、设计标准和主要采用的规范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4、地质情况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5、工程设计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6、其他注意事项等</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outlineLvl w:val="9"/>
        <w:rPr>
          <w:rFonts w:hint="eastAsia" w:asciiTheme="minorEastAsia" w:hAnsiTheme="minorEastAsia" w:eastAsiaTheme="minorEastAsia" w:cstheme="minorEastAsia"/>
          <w:b/>
          <w:bCs/>
          <w:sz w:val="21"/>
          <w:szCs w:val="21"/>
        </w:rPr>
      </w:pPr>
      <w:bookmarkStart w:id="114" w:name="_Toc534962989"/>
      <w:bookmarkStart w:id="115" w:name="_Toc5877"/>
      <w:bookmarkStart w:id="116" w:name="_Toc4960"/>
      <w:r>
        <w:rPr>
          <w:rFonts w:hint="eastAsia" w:asciiTheme="minorEastAsia" w:hAnsiTheme="minorEastAsia" w:eastAsiaTheme="minorEastAsia" w:cstheme="minorEastAsia"/>
          <w:b/>
          <w:bCs/>
          <w:sz w:val="21"/>
          <w:szCs w:val="21"/>
          <w:lang w:eastAsia="zh-CN"/>
        </w:rPr>
        <w:t>五</w:t>
      </w:r>
      <w:r>
        <w:rPr>
          <w:rFonts w:hint="eastAsia" w:asciiTheme="minorEastAsia" w:hAnsiTheme="minorEastAsia" w:eastAsiaTheme="minorEastAsia" w:cstheme="minorEastAsia"/>
          <w:b/>
          <w:bCs/>
          <w:sz w:val="21"/>
          <w:szCs w:val="21"/>
        </w:rPr>
        <w:t>、设计成果要求</w:t>
      </w:r>
      <w:bookmarkEnd w:id="114"/>
      <w:bookmarkEnd w:id="115"/>
      <w:bookmarkEnd w:id="116"/>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.1初步设计图纸</w:t>
      </w:r>
      <w:r>
        <w:rPr>
          <w:rFonts w:hint="eastAsia" w:asciiTheme="minorEastAsia" w:hAnsiTheme="minorEastAsia" w:eastAsiaTheme="minorEastAsia" w:cstheme="minorEastAsia"/>
          <w:sz w:val="21"/>
          <w:szCs w:val="21"/>
          <w:u w:val="single"/>
          <w:lang w:val="en-US" w:eastAsia="zh-CN"/>
        </w:rPr>
        <w:t>10</w:t>
      </w:r>
      <w:r>
        <w:rPr>
          <w:rFonts w:hint="eastAsia" w:asciiTheme="minorEastAsia" w:hAnsiTheme="minorEastAsia" w:eastAsiaTheme="minorEastAsia" w:cstheme="minorEastAsia"/>
          <w:sz w:val="21"/>
          <w:szCs w:val="21"/>
        </w:rPr>
        <w:t>套、概算</w:t>
      </w:r>
      <w:r>
        <w:rPr>
          <w:rFonts w:hint="eastAsia" w:asciiTheme="minorEastAsia" w:hAnsiTheme="minorEastAsia" w:eastAsiaTheme="minorEastAsia" w:cstheme="minorEastAsia"/>
          <w:sz w:val="21"/>
          <w:szCs w:val="21"/>
          <w:u w:val="single"/>
        </w:rPr>
        <w:t>10</w:t>
      </w:r>
      <w:r>
        <w:rPr>
          <w:rFonts w:hint="eastAsia" w:asciiTheme="minorEastAsia" w:hAnsiTheme="minorEastAsia" w:eastAsiaTheme="minorEastAsia" w:cstheme="minorEastAsia"/>
          <w:sz w:val="21"/>
          <w:szCs w:val="21"/>
        </w:rPr>
        <w:t>套、施工图纸</w:t>
      </w:r>
      <w:r>
        <w:rPr>
          <w:rFonts w:hint="eastAsia" w:asciiTheme="minorEastAsia" w:hAnsiTheme="minorEastAsia" w:eastAsiaTheme="minorEastAsia" w:cstheme="minorEastAsia"/>
          <w:sz w:val="21"/>
          <w:szCs w:val="21"/>
          <w:u w:val="single"/>
        </w:rPr>
        <w:t>10</w:t>
      </w:r>
      <w:r>
        <w:rPr>
          <w:rFonts w:hint="eastAsia" w:asciiTheme="minorEastAsia" w:hAnsiTheme="minorEastAsia" w:eastAsiaTheme="minorEastAsia" w:cstheme="minorEastAsia"/>
          <w:sz w:val="21"/>
          <w:szCs w:val="21"/>
        </w:rPr>
        <w:t>套以上资料的电子版各1套。</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.2本工程设计包括</w:t>
      </w:r>
      <w:bookmarkStart w:id="117" w:name="OLE_LINK3"/>
      <w:bookmarkStart w:id="118" w:name="OLE_LINK2"/>
      <w:r>
        <w:rPr>
          <w:rFonts w:hint="eastAsia" w:asciiTheme="minorEastAsia" w:hAnsiTheme="minorEastAsia" w:eastAsiaTheme="minorEastAsia" w:cstheme="minorEastAsia"/>
          <w:sz w:val="21"/>
          <w:szCs w:val="21"/>
        </w:rPr>
        <w:t>初步设计（含概算）和施工图设计以及后续工程期间相关技术服务等</w:t>
      </w:r>
      <w:bookmarkEnd w:id="117"/>
      <w:bookmarkEnd w:id="118"/>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br w:type="page"/>
      </w:r>
    </w:p>
    <w:p>
      <w:pPr>
        <w:outlineLvl w:val="1"/>
        <w:rPr>
          <w:rFonts w:hint="eastAsia" w:asciiTheme="minorEastAsia" w:hAnsiTheme="minorEastAsia" w:eastAsiaTheme="minorEastAsia" w:cstheme="minorEastAsia"/>
          <w:b/>
          <w:bCs/>
          <w:color w:val="auto"/>
          <w:sz w:val="24"/>
          <w:szCs w:val="24"/>
          <w:lang w:val="en-US" w:eastAsia="zh-CN"/>
        </w:rPr>
      </w:pPr>
      <w:bookmarkStart w:id="119" w:name="_Toc27278"/>
      <w:r>
        <w:rPr>
          <w:rFonts w:hint="eastAsia" w:asciiTheme="minorEastAsia" w:hAnsiTheme="minorEastAsia" w:eastAsiaTheme="minorEastAsia" w:cstheme="minorEastAsia"/>
          <w:b/>
          <w:bCs/>
          <w:color w:val="auto"/>
          <w:sz w:val="24"/>
          <w:szCs w:val="24"/>
          <w:lang w:val="en-US" w:eastAsia="zh-CN"/>
        </w:rPr>
        <w:t>二、商务需求</w:t>
      </w:r>
      <w:bookmarkEnd w:id="119"/>
    </w:p>
    <w:p>
      <w:pPr>
        <w:autoSpaceDE w:val="0"/>
        <w:autoSpaceDN w:val="0"/>
        <w:adjustRightInd w:val="0"/>
        <w:spacing w:line="360" w:lineRule="auto"/>
        <w:jc w:val="left"/>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1、违约责任：</w:t>
      </w:r>
      <w:r>
        <w:rPr>
          <w:rFonts w:hint="eastAsia" w:ascii="宋体" w:hAnsi="宋体" w:eastAsia="宋体" w:cs="宋体"/>
          <w:b w:val="0"/>
          <w:bCs w:val="0"/>
          <w:color w:val="000000" w:themeColor="text1"/>
          <w:sz w:val="21"/>
          <w:szCs w:val="21"/>
          <w:lang w:val="en-US" w:eastAsia="zh-CN"/>
          <w14:textFill>
            <w14:solidFill>
              <w14:schemeClr w14:val="tx1"/>
            </w14:solidFill>
          </w14:textFill>
        </w:rPr>
        <w:br w:type="textWrapping"/>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1.1所有拟派服务人员及设备均需按照招标文件指标要求及投标响应情况进行检查核对后方可签订合同，不满足招标文件要求的，</w:t>
      </w:r>
      <w:r>
        <w:rPr>
          <w:rFonts w:hint="eastAsia" w:ascii="宋体" w:hAnsi="宋体" w:cs="宋体"/>
          <w:b w:val="0"/>
          <w:bCs w:val="0"/>
          <w:color w:val="000000" w:themeColor="text1"/>
          <w:sz w:val="21"/>
          <w:szCs w:val="21"/>
          <w:lang w:val="en-US" w:eastAsia="zh-CN"/>
          <w14:textFill>
            <w14:solidFill>
              <w14:schemeClr w14:val="tx1"/>
            </w14:solidFill>
          </w14:textFill>
        </w:rPr>
        <w:t>采购人</w:t>
      </w:r>
      <w:r>
        <w:rPr>
          <w:rFonts w:hint="eastAsia" w:ascii="宋体" w:hAnsi="宋体" w:eastAsia="宋体" w:cs="宋体"/>
          <w:b w:val="0"/>
          <w:bCs w:val="0"/>
          <w:color w:val="000000" w:themeColor="text1"/>
          <w:sz w:val="21"/>
          <w:szCs w:val="21"/>
          <w:lang w:val="en-US" w:eastAsia="zh-CN"/>
          <w14:textFill>
            <w14:solidFill>
              <w14:schemeClr w14:val="tx1"/>
            </w14:solidFill>
          </w14:textFill>
        </w:rPr>
        <w:t>有权不对其进行验收；同时</w:t>
      </w:r>
      <w:r>
        <w:rPr>
          <w:rFonts w:hint="eastAsia" w:ascii="宋体" w:hAnsi="宋体" w:cs="宋体"/>
          <w:b w:val="0"/>
          <w:bCs w:val="0"/>
          <w:color w:val="000000" w:themeColor="text1"/>
          <w:sz w:val="21"/>
          <w:szCs w:val="21"/>
          <w:lang w:val="en-US" w:eastAsia="zh-CN"/>
          <w14:textFill>
            <w14:solidFill>
              <w14:schemeClr w14:val="tx1"/>
            </w14:solidFill>
          </w14:textFill>
        </w:rPr>
        <w:t>采购人</w:t>
      </w:r>
      <w:r>
        <w:rPr>
          <w:rFonts w:hint="eastAsia" w:ascii="宋体" w:hAnsi="宋体" w:eastAsia="宋体" w:cs="宋体"/>
          <w:b w:val="0"/>
          <w:bCs w:val="0"/>
          <w:color w:val="000000" w:themeColor="text1"/>
          <w:sz w:val="21"/>
          <w:szCs w:val="21"/>
          <w:lang w:val="en-US" w:eastAsia="zh-CN"/>
          <w14:textFill>
            <w14:solidFill>
              <w14:schemeClr w14:val="tx1"/>
            </w14:solidFill>
          </w14:textFill>
        </w:rPr>
        <w:t>有权对中标人进行双倍罚款或取消合同。</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1.2若非</w:t>
      </w:r>
      <w:r>
        <w:rPr>
          <w:rFonts w:hint="eastAsia" w:ascii="宋体" w:hAnsi="宋体" w:cs="宋体"/>
          <w:b w:val="0"/>
          <w:bCs w:val="0"/>
          <w:color w:val="000000" w:themeColor="text1"/>
          <w:sz w:val="21"/>
          <w:szCs w:val="21"/>
          <w:lang w:val="en-US" w:eastAsia="zh-CN"/>
          <w14:textFill>
            <w14:solidFill>
              <w14:schemeClr w14:val="tx1"/>
            </w14:solidFill>
          </w14:textFill>
        </w:rPr>
        <w:t>采购人</w:t>
      </w:r>
      <w:r>
        <w:rPr>
          <w:rFonts w:hint="eastAsia" w:ascii="宋体" w:hAnsi="宋体" w:eastAsia="宋体" w:cs="宋体"/>
          <w:b w:val="0"/>
          <w:bCs w:val="0"/>
          <w:color w:val="000000" w:themeColor="text1"/>
          <w:sz w:val="21"/>
          <w:szCs w:val="21"/>
          <w:lang w:val="en-US" w:eastAsia="zh-CN"/>
          <w14:textFill>
            <w14:solidFill>
              <w14:schemeClr w14:val="tx1"/>
            </w14:solidFill>
          </w14:textFill>
        </w:rPr>
        <w:t>原因，</w:t>
      </w:r>
      <w:r>
        <w:rPr>
          <w:rFonts w:hint="eastAsia" w:ascii="宋体" w:hAnsi="宋体" w:cs="宋体"/>
          <w:b w:val="0"/>
          <w:bCs w:val="0"/>
          <w:color w:val="000000" w:themeColor="text1"/>
          <w:sz w:val="21"/>
          <w:szCs w:val="21"/>
          <w:lang w:val="en-US" w:eastAsia="zh-CN"/>
          <w14:textFill>
            <w14:solidFill>
              <w14:schemeClr w14:val="tx1"/>
            </w14:solidFill>
          </w14:textFill>
        </w:rPr>
        <w:t>供应商</w:t>
      </w:r>
      <w:r>
        <w:rPr>
          <w:rFonts w:hint="eastAsia" w:ascii="宋体" w:hAnsi="宋体" w:eastAsia="宋体" w:cs="宋体"/>
          <w:b w:val="0"/>
          <w:bCs w:val="0"/>
          <w:color w:val="000000" w:themeColor="text1"/>
          <w:sz w:val="21"/>
          <w:szCs w:val="21"/>
          <w:lang w:val="en-US" w:eastAsia="zh-CN"/>
          <w14:textFill>
            <w14:solidFill>
              <w14:schemeClr w14:val="tx1"/>
            </w14:solidFill>
          </w14:textFill>
        </w:rPr>
        <w:t>逾期签订合同的，</w:t>
      </w:r>
      <w:r>
        <w:rPr>
          <w:rFonts w:hint="eastAsia" w:ascii="宋体" w:hAnsi="宋体" w:cs="宋体"/>
          <w:b w:val="0"/>
          <w:bCs w:val="0"/>
          <w:color w:val="000000" w:themeColor="text1"/>
          <w:sz w:val="21"/>
          <w:szCs w:val="21"/>
          <w:lang w:val="en-US" w:eastAsia="zh-CN"/>
          <w14:textFill>
            <w14:solidFill>
              <w14:schemeClr w14:val="tx1"/>
            </w14:solidFill>
          </w14:textFill>
        </w:rPr>
        <w:t>供应商采购人</w:t>
      </w:r>
      <w:r>
        <w:rPr>
          <w:rFonts w:hint="eastAsia" w:ascii="宋体" w:hAnsi="宋体" w:eastAsia="宋体" w:cs="宋体"/>
          <w:b w:val="0"/>
          <w:bCs w:val="0"/>
          <w:color w:val="000000" w:themeColor="text1"/>
          <w:sz w:val="21"/>
          <w:szCs w:val="21"/>
          <w:lang w:val="en-US" w:eastAsia="zh-CN"/>
          <w14:textFill>
            <w14:solidFill>
              <w14:schemeClr w14:val="tx1"/>
            </w14:solidFill>
          </w14:textFill>
        </w:rPr>
        <w:t>支付逾期违约金，逾期违约金为每天1000.00元人民币，但其最终累计金额不超过合同价款的10%。</w:t>
      </w:r>
    </w:p>
    <w:p>
      <w:pPr>
        <w:autoSpaceDE w:val="0"/>
        <w:autoSpaceDN w:val="0"/>
        <w:adjustRightInd w:val="0"/>
        <w:spacing w:line="360" w:lineRule="auto"/>
        <w:ind w:firstLine="420" w:firstLineChars="200"/>
        <w:jc w:val="left"/>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1.3因</w:t>
      </w:r>
      <w:r>
        <w:rPr>
          <w:rFonts w:hint="eastAsia" w:ascii="宋体" w:hAnsi="宋体" w:cs="宋体"/>
          <w:b w:val="0"/>
          <w:bCs w:val="0"/>
          <w:color w:val="000000" w:themeColor="text1"/>
          <w:sz w:val="21"/>
          <w:szCs w:val="21"/>
          <w:lang w:val="en-US" w:eastAsia="zh-CN"/>
          <w14:textFill>
            <w14:solidFill>
              <w14:schemeClr w14:val="tx1"/>
            </w14:solidFill>
          </w14:textFill>
        </w:rPr>
        <w:t>供应商</w:t>
      </w:r>
      <w:r>
        <w:rPr>
          <w:rFonts w:hint="eastAsia" w:ascii="宋体" w:hAnsi="宋体" w:eastAsia="宋体" w:cs="宋体"/>
          <w:b w:val="0"/>
          <w:bCs w:val="0"/>
          <w:color w:val="000000" w:themeColor="text1"/>
          <w:sz w:val="21"/>
          <w:szCs w:val="21"/>
          <w:lang w:val="en-US" w:eastAsia="zh-CN"/>
          <w14:textFill>
            <w14:solidFill>
              <w14:schemeClr w14:val="tx1"/>
            </w14:solidFill>
          </w14:textFill>
        </w:rPr>
        <w:t>原因服务质量及诚信要求达不到约定的标准，由</w:t>
      </w:r>
      <w:r>
        <w:rPr>
          <w:rFonts w:hint="eastAsia" w:ascii="宋体" w:hAnsi="宋体" w:cs="宋体"/>
          <w:b w:val="0"/>
          <w:bCs w:val="0"/>
          <w:color w:val="000000" w:themeColor="text1"/>
          <w:sz w:val="21"/>
          <w:szCs w:val="21"/>
          <w:lang w:val="en-US" w:eastAsia="zh-CN"/>
          <w14:textFill>
            <w14:solidFill>
              <w14:schemeClr w14:val="tx1"/>
            </w14:solidFill>
          </w14:textFill>
        </w:rPr>
        <w:t>供应商</w:t>
      </w:r>
      <w:r>
        <w:rPr>
          <w:rFonts w:hint="eastAsia" w:ascii="宋体" w:hAnsi="宋体" w:eastAsia="宋体" w:cs="宋体"/>
          <w:b w:val="0"/>
          <w:bCs w:val="0"/>
          <w:color w:val="000000" w:themeColor="text1"/>
          <w:sz w:val="21"/>
          <w:szCs w:val="21"/>
          <w:lang w:val="en-US" w:eastAsia="zh-CN"/>
          <w14:textFill>
            <w14:solidFill>
              <w14:schemeClr w14:val="tx1"/>
            </w14:solidFill>
          </w14:textFill>
        </w:rPr>
        <w:t>向</w:t>
      </w:r>
      <w:r>
        <w:rPr>
          <w:rFonts w:hint="eastAsia" w:ascii="宋体" w:hAnsi="宋体" w:cs="宋体"/>
          <w:b w:val="0"/>
          <w:bCs w:val="0"/>
          <w:color w:val="000000" w:themeColor="text1"/>
          <w:sz w:val="21"/>
          <w:szCs w:val="21"/>
          <w:lang w:val="en-US" w:eastAsia="zh-CN"/>
          <w14:textFill>
            <w14:solidFill>
              <w14:schemeClr w14:val="tx1"/>
            </w14:solidFill>
          </w14:textFill>
        </w:rPr>
        <w:t>采购人</w:t>
      </w:r>
      <w:r>
        <w:rPr>
          <w:rFonts w:hint="eastAsia" w:ascii="宋体" w:hAnsi="宋体" w:eastAsia="宋体" w:cs="宋体"/>
          <w:b w:val="0"/>
          <w:bCs w:val="0"/>
          <w:color w:val="000000" w:themeColor="text1"/>
          <w:sz w:val="21"/>
          <w:szCs w:val="21"/>
          <w:lang w:val="en-US" w:eastAsia="zh-CN"/>
          <w14:textFill>
            <w14:solidFill>
              <w14:schemeClr w14:val="tx1"/>
            </w14:solidFill>
          </w14:textFill>
        </w:rPr>
        <w:t>支付合同价款10%的违约金。</w:t>
      </w:r>
      <w:r>
        <w:rPr>
          <w:rFonts w:hint="eastAsia" w:ascii="宋体" w:hAnsi="宋体" w:eastAsia="宋体" w:cs="宋体"/>
          <w:b/>
          <w:bCs/>
          <w:color w:val="000000" w:themeColor="text1"/>
          <w:sz w:val="21"/>
          <w:szCs w:val="21"/>
          <w:lang w:val="en-US" w:eastAsia="zh-CN"/>
          <w14:textFill>
            <w14:solidFill>
              <w14:schemeClr w14:val="tx1"/>
            </w14:solidFill>
          </w14:textFill>
        </w:rPr>
        <w:br w:type="textWrapping"/>
      </w:r>
      <w:r>
        <w:rPr>
          <w:rFonts w:hint="eastAsia" w:ascii="宋体" w:hAnsi="宋体" w:eastAsia="宋体" w:cs="宋体"/>
          <w:b w:val="0"/>
          <w:bCs w:val="0"/>
          <w:color w:val="000000" w:themeColor="text1"/>
          <w:sz w:val="21"/>
          <w:szCs w:val="21"/>
          <w:lang w:val="en-US" w:eastAsia="zh-CN"/>
          <w14:textFill>
            <w14:solidFill>
              <w14:schemeClr w14:val="tx1"/>
            </w14:solidFill>
          </w14:textFill>
        </w:rPr>
        <w:t>2、服务质量要求：满足现行有关规范标准、设计审查和施工要求。</w:t>
      </w:r>
    </w:p>
    <w:p>
      <w:pPr>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3、服务地点：武汉市东湖生态旅游风景区听涛管理处指定地点。</w:t>
      </w:r>
      <w:r>
        <w:rPr>
          <w:rFonts w:hint="eastAsia" w:ascii="宋体" w:hAnsi="宋体" w:eastAsia="宋体" w:cs="宋体"/>
          <w:b w:val="0"/>
          <w:bCs w:val="0"/>
          <w:color w:val="000000" w:themeColor="text1"/>
          <w:sz w:val="21"/>
          <w:szCs w:val="21"/>
          <w:lang w:val="en-US" w:eastAsia="zh-CN"/>
          <w14:textFill>
            <w14:solidFill>
              <w14:schemeClr w14:val="tx1"/>
            </w14:solidFill>
          </w14:textFill>
        </w:rPr>
        <w:br w:type="textWrapping"/>
      </w:r>
      <w:r>
        <w:rPr>
          <w:rFonts w:hint="eastAsia" w:ascii="宋体" w:hAnsi="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lang w:val="en-US" w:eastAsia="zh-CN"/>
          <w14:textFill>
            <w14:solidFill>
              <w14:schemeClr w14:val="tx1"/>
            </w14:solidFill>
          </w14:textFill>
        </w:rPr>
        <w:t>、服务期：可研编制</w:t>
      </w:r>
      <w:r>
        <w:rPr>
          <w:rFonts w:hint="eastAsia" w:ascii="宋体" w:hAnsi="宋体" w:eastAsia="宋体" w:cs="宋体"/>
          <w:b w:val="0"/>
          <w:bCs w:val="0"/>
          <w:color w:val="000000" w:themeColor="text1"/>
          <w:sz w:val="21"/>
          <w:szCs w:val="21"/>
          <w:u w:val="single"/>
          <w:lang w:val="en-US" w:eastAsia="zh-CN"/>
          <w14:textFill>
            <w14:solidFill>
              <w14:schemeClr w14:val="tx1"/>
            </w14:solidFill>
          </w14:textFill>
        </w:rPr>
        <w:t>7</w:t>
      </w:r>
      <w:r>
        <w:rPr>
          <w:rFonts w:hint="eastAsia" w:ascii="宋体" w:hAnsi="宋体" w:eastAsia="宋体" w:cs="宋体"/>
          <w:b w:val="0"/>
          <w:bCs w:val="0"/>
          <w:color w:val="000000" w:themeColor="text1"/>
          <w:sz w:val="21"/>
          <w:szCs w:val="21"/>
          <w:lang w:val="en-US" w:eastAsia="zh-CN"/>
          <w14:textFill>
            <w14:solidFill>
              <w14:schemeClr w14:val="tx1"/>
            </w14:solidFill>
          </w14:textFill>
        </w:rPr>
        <w:t>天，初步设计及概算</w:t>
      </w:r>
      <w:r>
        <w:rPr>
          <w:rFonts w:hint="eastAsia" w:ascii="宋体" w:hAnsi="宋体" w:eastAsia="宋体" w:cs="宋体"/>
          <w:b w:val="0"/>
          <w:bCs w:val="0"/>
          <w:color w:val="000000" w:themeColor="text1"/>
          <w:sz w:val="21"/>
          <w:szCs w:val="21"/>
          <w:u w:val="single"/>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lang w:val="en-US" w:eastAsia="zh-CN"/>
          <w14:textFill>
            <w14:solidFill>
              <w14:schemeClr w14:val="tx1"/>
            </w14:solidFill>
          </w14:textFill>
        </w:rPr>
        <w:t>天，施工图设计</w:t>
      </w:r>
      <w:r>
        <w:rPr>
          <w:rFonts w:hint="eastAsia" w:ascii="宋体" w:hAnsi="宋体" w:eastAsia="宋体" w:cs="宋体"/>
          <w:b w:val="0"/>
          <w:bCs w:val="0"/>
          <w:color w:val="000000" w:themeColor="text1"/>
          <w:sz w:val="21"/>
          <w:szCs w:val="21"/>
          <w:u w:val="single"/>
          <w:lang w:val="en-US" w:eastAsia="zh-CN"/>
          <w14:textFill>
            <w14:solidFill>
              <w14:schemeClr w14:val="tx1"/>
            </w14:solidFill>
          </w14:textFill>
        </w:rPr>
        <w:t>7</w:t>
      </w:r>
      <w:r>
        <w:rPr>
          <w:rFonts w:hint="eastAsia" w:ascii="宋体" w:hAnsi="宋体" w:eastAsia="宋体" w:cs="宋体"/>
          <w:b w:val="0"/>
          <w:bCs w:val="0"/>
          <w:color w:val="000000" w:themeColor="text1"/>
          <w:sz w:val="21"/>
          <w:szCs w:val="21"/>
          <w:lang w:val="en-US" w:eastAsia="zh-CN"/>
          <w14:textFill>
            <w14:solidFill>
              <w14:schemeClr w14:val="tx1"/>
            </w14:solidFill>
          </w14:textFill>
        </w:rPr>
        <w:t>天</w:t>
      </w:r>
      <w:r>
        <w:rPr>
          <w:rFonts w:hint="eastAsia" w:asciiTheme="minorEastAsia" w:hAnsiTheme="minorEastAsia" w:eastAsiaTheme="minorEastAsia" w:cstheme="minorEastAsia"/>
          <w:b w:val="0"/>
          <w:bCs w:val="0"/>
          <w:color w:val="000000" w:themeColor="text1"/>
          <w:kern w:val="2"/>
          <w:sz w:val="21"/>
          <w:szCs w:val="21"/>
          <w:highlight w:val="none"/>
          <w:lang w:val="en-US" w:eastAsia="zh-CN" w:bidi="ar-SA"/>
          <w14:textFill>
            <w14:solidFill>
              <w14:schemeClr w14:val="tx1"/>
            </w14:solidFill>
          </w14:textFill>
        </w:rPr>
        <w:t>。</w:t>
      </w:r>
    </w:p>
    <w:p>
      <w:pPr>
        <w:autoSpaceDE w:val="0"/>
        <w:autoSpaceDN w:val="0"/>
        <w:adjustRightInd w:val="0"/>
        <w:spacing w:line="360" w:lineRule="auto"/>
        <w:jc w:val="left"/>
        <w:outlineLvl w:val="9"/>
        <w:rPr>
          <w:rFonts w:hint="eastAsia" w:ascii="宋体" w:hAnsi="宋体"/>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lang w:val="en-US" w:eastAsia="zh-CN"/>
          <w14:textFill>
            <w14:solidFill>
              <w14:schemeClr w14:val="tx1"/>
            </w14:solidFill>
          </w14:textFill>
        </w:rPr>
        <w:t>、付款方式：工程完工后，由武汉市东湖生态旅游风景区听涛管理处统一请款后支付。</w:t>
      </w:r>
    </w:p>
    <w:p>
      <w:pPr>
        <w:autoSpaceDE w:val="0"/>
        <w:autoSpaceDN w:val="0"/>
        <w:adjustRightInd w:val="0"/>
        <w:spacing w:line="360" w:lineRule="auto"/>
        <w:jc w:val="left"/>
        <w:outlineLvl w:val="9"/>
        <w:rPr>
          <w:rFonts w:hint="eastAsia" w:ascii="宋体" w:hAnsi="宋体"/>
          <w:color w:val="auto"/>
          <w:sz w:val="21"/>
          <w:szCs w:val="21"/>
        </w:rPr>
      </w:pPr>
      <w:r>
        <w:rPr>
          <w:rFonts w:hint="eastAsia" w:ascii="宋体" w:hAnsi="宋体"/>
          <w:color w:val="000000" w:themeColor="text1"/>
          <w:sz w:val="21"/>
          <w:szCs w:val="21"/>
          <w:lang w:val="en-US" w:eastAsia="zh-CN"/>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供应商应提供本项目服务人员名单，并附身份证、专业职称证书、在单位缴纳社保证明</w:t>
      </w:r>
      <w:r>
        <w:rPr>
          <w:rFonts w:hint="eastAsia" w:ascii="宋体" w:hAnsi="宋体"/>
          <w:color w:val="auto"/>
          <w:sz w:val="21"/>
          <w:szCs w:val="21"/>
        </w:rPr>
        <w:t>等相关证明材料。确定成交后，服务人员原则上不得变更，确有特殊情况，需征得</w:t>
      </w:r>
      <w:r>
        <w:rPr>
          <w:rFonts w:hint="eastAsia" w:ascii="宋体" w:hAnsi="宋体"/>
          <w:color w:val="auto"/>
          <w:sz w:val="21"/>
          <w:szCs w:val="21"/>
          <w:lang w:eastAsia="zh-CN"/>
        </w:rPr>
        <w:t>采购人</w:t>
      </w:r>
      <w:r>
        <w:rPr>
          <w:rFonts w:hint="eastAsia" w:ascii="宋体" w:hAnsi="宋体"/>
          <w:color w:val="auto"/>
          <w:sz w:val="21"/>
          <w:szCs w:val="21"/>
        </w:rPr>
        <w:t>同意。</w:t>
      </w:r>
    </w:p>
    <w:p>
      <w:pPr>
        <w:widowControl/>
        <w:wordWrap w:val="0"/>
        <w:jc w:val="left"/>
        <w:rPr>
          <w:rFonts w:ascii="宋体" w:hAnsi="Times New Roman"/>
          <w:color w:val="000000"/>
          <w:szCs w:val="21"/>
        </w:rPr>
        <w:sectPr>
          <w:type w:val="continuous"/>
          <w:pgSz w:w="11906" w:h="16838"/>
          <w:pgMar w:top="1440" w:right="1800" w:bottom="1440" w:left="1800" w:header="851" w:footer="992" w:gutter="0"/>
          <w:cols w:space="720" w:num="1"/>
          <w:docGrid w:type="lines" w:linePitch="312" w:charSpace="0"/>
        </w:sect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p>
    <w:p>
      <w:pPr>
        <w:outlineLvl w:val="9"/>
        <w:rPr>
          <w:rFonts w:hint="eastAsia"/>
          <w:lang w:val="en-US" w:eastAsia="zh-CN"/>
        </w:rPr>
      </w:pPr>
    </w:p>
    <w:p>
      <w:pPr>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p>
    <w:p>
      <w:pPr>
        <w:pStyle w:val="3"/>
        <w:numPr>
          <w:ilvl w:val="0"/>
          <w:numId w:val="4"/>
        </w:numPr>
        <w:jc w:val="center"/>
        <w:rPr>
          <w:rFonts w:hint="eastAsia" w:asciiTheme="minorEastAsia" w:hAnsiTheme="minorEastAsia" w:eastAsiaTheme="minorEastAsia" w:cstheme="minorEastAsia"/>
          <w:szCs w:val="21"/>
        </w:rPr>
      </w:pPr>
      <w:bookmarkStart w:id="120" w:name="_Toc22645"/>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20"/>
    </w:p>
    <w:p>
      <w:pPr>
        <w:spacing w:line="360" w:lineRule="auto"/>
        <w:outlineLvl w:val="1"/>
        <w:rPr>
          <w:rFonts w:hint="eastAsia" w:asciiTheme="minorEastAsia" w:hAnsiTheme="minorEastAsia" w:eastAsiaTheme="minorEastAsia" w:cstheme="minorEastAsia"/>
          <w:b/>
          <w:szCs w:val="21"/>
        </w:rPr>
      </w:pPr>
      <w:bookmarkStart w:id="121" w:name="_Toc12972"/>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21"/>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w:t>
            </w:r>
          </w:p>
        </w:tc>
        <w:tc>
          <w:tcPr>
            <w:tcW w:w="3101" w:type="dxa"/>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相同品牌处理原则</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非单一产品采购项目，采购人应当根据采购项目技术构成、产品价格比重等合理确定一个核心产品，并以“核心产品”在磋商文件中标注。若核心产品不止</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个，各供应商所投任一核心产品的品牌相同，则按一家供应商计算。</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多家供应商提供的核心产品品牌相同的，按</w:t>
            </w:r>
            <w:r>
              <w:rPr>
                <w:rFonts w:hint="eastAsia" w:asciiTheme="minorEastAsia" w:hAnsiTheme="minorEastAsia" w:eastAsiaTheme="minorEastAsia" w:cstheme="minorEastAsia"/>
                <w:color w:val="auto"/>
                <w:szCs w:val="21"/>
                <w:lang w:val="en-US" w:eastAsia="zh-CN"/>
              </w:rPr>
              <w:t>上述</w:t>
            </w:r>
            <w:r>
              <w:rPr>
                <w:rFonts w:hint="eastAsia" w:asciiTheme="minorEastAsia" w:hAnsiTheme="minorEastAsia" w:eastAsiaTheme="minorEastAsia" w:cstheme="minorEastAsia"/>
                <w:color w:val="auto"/>
                <w:szCs w:val="21"/>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22" w:name="_Toc3310"/>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22"/>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0"/>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bookmarkStart w:id="123" w:name="_Toc1377"/>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23"/>
    </w:p>
    <w:tbl>
      <w:tblPr>
        <w:tblStyle w:val="26"/>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253"/>
        <w:gridCol w:w="6635"/>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jc w:val="center"/>
        </w:trPr>
        <w:tc>
          <w:tcPr>
            <w:tcW w:w="736"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53"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635"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jc w:val="center"/>
        </w:trPr>
        <w:tc>
          <w:tcPr>
            <w:tcW w:w="736"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竞标</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报价</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30</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分</w:t>
            </w:r>
          </w:p>
        </w:tc>
        <w:tc>
          <w:tcPr>
            <w:tcW w:w="1253"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最后</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报价</w:t>
            </w:r>
          </w:p>
        </w:tc>
        <w:tc>
          <w:tcPr>
            <w:tcW w:w="6635"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1、报价采用低价优先法计算，即满足</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采购文件要求且报价最低的报价为磋商基准价，其报价分为满分</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2、其他供应商的报价分按照下列公式计算：</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报价分=（磋商基准价/磋商报价）×</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30</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备注：</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符合本磋商文件第</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章“政策支持”</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条件</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的，在评审时予以价格扣除，用扣除后的价格参与评审。</w:t>
            </w:r>
          </w:p>
        </w:tc>
        <w:tc>
          <w:tcPr>
            <w:tcW w:w="664"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30</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restart"/>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商务</w:t>
            </w: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分</w:t>
            </w: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kern w:val="0"/>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t>类似业绩</w:t>
            </w:r>
          </w:p>
        </w:tc>
        <w:tc>
          <w:tcPr>
            <w:tcW w:w="6635" w:type="dxa"/>
            <w:vAlign w:val="center"/>
          </w:tcPr>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近三年（磋商截止前36个月）</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承担</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过</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类似可研及设计服务</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项目</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t>每提供一份得</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2分，最多得8分。（需提供项目合同，复印件加盖公章）</w:t>
            </w:r>
          </w:p>
        </w:tc>
        <w:tc>
          <w:tcPr>
            <w:tcW w:w="664"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宋体" w:hAnsi="宋体" w:eastAsia="宋体" w:cs="宋体"/>
                <w:color w:val="000000" w:themeColor="text1"/>
                <w:spacing w:val="-6"/>
                <w:kern w:val="0"/>
                <w:sz w:val="21"/>
                <w:szCs w:val="21"/>
                <w:highlight w:val="none"/>
                <w14:textFill>
                  <w14:solidFill>
                    <w14:schemeClr w14:val="tx1"/>
                  </w14:solidFill>
                </w14:textFill>
              </w:rPr>
              <w:t>用户评价</w:t>
            </w:r>
          </w:p>
        </w:tc>
        <w:tc>
          <w:tcPr>
            <w:tcW w:w="6635"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left"/>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宋体" w:hAnsi="宋体" w:eastAsia="宋体" w:cs="宋体"/>
                <w:color w:val="000000" w:themeColor="text1"/>
                <w:kern w:val="0"/>
                <w:sz w:val="21"/>
                <w:szCs w:val="21"/>
                <w:highlight w:val="none"/>
                <w:lang w:bidi="ar"/>
                <w14:textFill>
                  <w14:solidFill>
                    <w14:schemeClr w14:val="tx1"/>
                  </w14:solidFill>
                </w14:textFill>
              </w:rPr>
              <w:t>提供近</w:t>
            </w:r>
            <w:r>
              <w:rPr>
                <w:rFonts w:hint="eastAsia" w:ascii="宋体" w:hAnsi="宋体" w:cs="宋体"/>
                <w:color w:val="000000" w:themeColor="text1"/>
                <w:kern w:val="0"/>
                <w:sz w:val="21"/>
                <w:szCs w:val="21"/>
                <w:highlight w:val="none"/>
                <w:lang w:eastAsia="zh-CN" w:bidi="ar"/>
                <w14:textFill>
                  <w14:solidFill>
                    <w14:schemeClr w14:val="tx1"/>
                  </w14:solidFill>
                </w14:textFill>
              </w:rPr>
              <w:t>三</w:t>
            </w:r>
            <w:r>
              <w:rPr>
                <w:rFonts w:hint="eastAsia" w:ascii="宋体" w:hAnsi="宋体" w:eastAsia="宋体" w:cs="宋体"/>
                <w:color w:val="000000" w:themeColor="text1"/>
                <w:kern w:val="0"/>
                <w:sz w:val="21"/>
                <w:szCs w:val="21"/>
                <w:highlight w:val="none"/>
                <w:lang w:bidi="ar"/>
                <w14:textFill>
                  <w14:solidFill>
                    <w14:schemeClr w14:val="tx1"/>
                  </w14:solidFill>
                </w14:textFill>
              </w:rPr>
              <w:t>年（</w:t>
            </w:r>
            <w:r>
              <w:rPr>
                <w:rFonts w:hint="eastAsia" w:ascii="宋体" w:hAnsi="宋体" w:eastAsia="宋体" w:cs="宋体"/>
                <w:color w:val="000000" w:themeColor="text1"/>
                <w:sz w:val="21"/>
                <w:szCs w:val="21"/>
                <w:highlight w:val="none"/>
                <w14:textFill>
                  <w14:solidFill>
                    <w14:schemeClr w14:val="tx1"/>
                  </w14:solidFill>
                </w14:textFill>
              </w:rPr>
              <w:t>投标截止时间往前推算36个月</w:t>
            </w:r>
            <w:r>
              <w:rPr>
                <w:rFonts w:hint="eastAsia" w:ascii="宋体" w:hAnsi="宋体" w:eastAsia="宋体" w:cs="宋体"/>
                <w:color w:val="000000" w:themeColor="text1"/>
                <w:kern w:val="0"/>
                <w:sz w:val="21"/>
                <w:szCs w:val="21"/>
                <w:highlight w:val="none"/>
                <w:lang w:bidi="ar"/>
                <w14:textFill>
                  <w14:solidFill>
                    <w14:schemeClr w14:val="tx1"/>
                  </w14:solidFill>
                </w14:textFill>
              </w:rPr>
              <w:t>）用户出具的满意评价证明（盖用户单位公章），每提供一个得1分，最高得</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4</w:t>
            </w:r>
            <w:r>
              <w:rPr>
                <w:rFonts w:hint="eastAsia" w:ascii="宋体" w:hAnsi="宋体" w:eastAsia="宋体" w:cs="宋体"/>
                <w:color w:val="000000" w:themeColor="text1"/>
                <w:kern w:val="0"/>
                <w:sz w:val="21"/>
                <w:szCs w:val="21"/>
                <w:highlight w:val="none"/>
                <w:lang w:bidi="ar"/>
                <w14:textFill>
                  <w14:solidFill>
                    <w14:schemeClr w14:val="tx1"/>
                  </w14:solidFill>
                </w14:textFill>
              </w:rPr>
              <w:t>分。（需提供不同单位出具加盖公章的满意评价证明）</w:t>
            </w:r>
          </w:p>
        </w:tc>
        <w:tc>
          <w:tcPr>
            <w:tcW w:w="664"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宋体" w:hAnsi="宋体" w:eastAsia="宋体" w:cs="宋体"/>
                <w:color w:val="000000" w:themeColor="text1"/>
                <w:spacing w:val="-6"/>
                <w:kern w:val="0"/>
                <w:sz w:val="21"/>
                <w:szCs w:val="21"/>
                <w:highlight w:val="none"/>
                <w14:textFill>
                  <w14:solidFill>
                    <w14:schemeClr w14:val="tx1"/>
                  </w14:solidFill>
                </w14:textFill>
              </w:rPr>
              <w:t>设计项目获奖情况</w:t>
            </w:r>
          </w:p>
        </w:tc>
        <w:tc>
          <w:tcPr>
            <w:tcW w:w="6635"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left"/>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宋体" w:hAnsi="宋体" w:eastAsia="宋体" w:cs="宋体"/>
                <w:color w:val="000000" w:themeColor="text1"/>
                <w:kern w:val="0"/>
                <w:sz w:val="21"/>
                <w:szCs w:val="21"/>
                <w:highlight w:val="none"/>
                <w:lang w:bidi="ar"/>
                <w14:textFill>
                  <w14:solidFill>
                    <w14:schemeClr w14:val="tx1"/>
                  </w14:solidFill>
                </w14:textFill>
              </w:rPr>
              <w:t>近五年内，投标人承担的</w:t>
            </w:r>
            <w:r>
              <w:rPr>
                <w:rFonts w:hint="eastAsia" w:ascii="宋体" w:hAnsi="宋体" w:cs="宋体"/>
                <w:color w:val="000000" w:themeColor="text1"/>
                <w:kern w:val="0"/>
                <w:sz w:val="21"/>
                <w:szCs w:val="21"/>
                <w:highlight w:val="none"/>
                <w:lang w:val="en-US" w:eastAsia="zh-CN" w:bidi="ar"/>
                <w14:textFill>
                  <w14:solidFill>
                    <w14:schemeClr w14:val="tx1"/>
                  </w14:solidFill>
                </w14:textFill>
              </w:rPr>
              <w:t>市政</w:t>
            </w:r>
            <w:r>
              <w:rPr>
                <w:rFonts w:hint="eastAsia" w:ascii="宋体" w:hAnsi="宋体" w:eastAsia="宋体" w:cs="宋体"/>
                <w:color w:val="000000" w:themeColor="text1"/>
                <w:kern w:val="0"/>
                <w:sz w:val="21"/>
                <w:szCs w:val="21"/>
                <w:highlight w:val="none"/>
                <w:lang w:bidi="ar"/>
                <w14:textFill>
                  <w14:solidFill>
                    <w14:schemeClr w14:val="tx1"/>
                  </w14:solidFill>
                </w14:textFill>
              </w:rPr>
              <w:t>工程设计项目，获得省级及省级以上优秀</w:t>
            </w:r>
            <w:r>
              <w:rPr>
                <w:rFonts w:hint="eastAsia" w:ascii="宋体" w:hAnsi="宋体" w:cs="宋体"/>
                <w:color w:val="000000" w:themeColor="text1"/>
                <w:kern w:val="0"/>
                <w:sz w:val="21"/>
                <w:szCs w:val="21"/>
                <w:highlight w:val="none"/>
                <w:lang w:val="en-US" w:eastAsia="zh-CN" w:bidi="ar"/>
                <w14:textFill>
                  <w14:solidFill>
                    <w14:schemeClr w14:val="tx1"/>
                  </w14:solidFill>
                </w14:textFill>
              </w:rPr>
              <w:t>市政</w:t>
            </w:r>
            <w:r>
              <w:rPr>
                <w:rFonts w:hint="eastAsia" w:ascii="宋体" w:hAnsi="宋体" w:eastAsia="宋体" w:cs="宋体"/>
                <w:color w:val="000000" w:themeColor="text1"/>
                <w:kern w:val="0"/>
                <w:sz w:val="21"/>
                <w:szCs w:val="21"/>
                <w:highlight w:val="none"/>
                <w:lang w:bidi="ar"/>
                <w14:textFill>
                  <w14:solidFill>
                    <w14:schemeClr w14:val="tx1"/>
                  </w14:solidFill>
                </w14:textFill>
              </w:rPr>
              <w:t xml:space="preserve">设计类似奖项，每项得 1 分，最高得 </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3</w:t>
            </w:r>
            <w:r>
              <w:rPr>
                <w:rFonts w:hint="eastAsia" w:ascii="宋体" w:hAnsi="宋体" w:eastAsia="宋体" w:cs="宋体"/>
                <w:color w:val="000000" w:themeColor="text1"/>
                <w:kern w:val="0"/>
                <w:sz w:val="21"/>
                <w:szCs w:val="21"/>
                <w:highlight w:val="none"/>
                <w:lang w:bidi="ar"/>
                <w14:textFill>
                  <w14:solidFill>
                    <w14:schemeClr w14:val="tx1"/>
                  </w14:solidFill>
                </w14:textFill>
              </w:rPr>
              <w:t xml:space="preserve"> 分。</w:t>
            </w:r>
          </w:p>
        </w:tc>
        <w:tc>
          <w:tcPr>
            <w:tcW w:w="664" w:type="dxa"/>
            <w:vAlign w:val="center"/>
          </w:tcPr>
          <w:p>
            <w:pPr>
              <w:keepNext w:val="0"/>
              <w:keepLines w:val="0"/>
              <w:pageBreakBefore w:val="0"/>
              <w:kinsoku/>
              <w:wordWrap/>
              <w:overflowPunct/>
              <w:topLinePunct w:val="0"/>
              <w:bidi w:val="0"/>
              <w:snapToGrid/>
              <w:spacing w:line="360" w:lineRule="auto"/>
              <w:jc w:val="center"/>
              <w:rPr>
                <w:rFonts w:hint="default"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宋体" w:hAnsi="宋体" w:eastAsia="宋体" w:cs="宋体"/>
                <w:color w:val="000000" w:themeColor="text1"/>
                <w:kern w:val="0"/>
                <w:sz w:val="21"/>
                <w:szCs w:val="21"/>
                <w:highlight w:val="none"/>
                <w:lang w:eastAsia="zh-CN" w:bidi="ar"/>
                <w14:textFill>
                  <w14:solidFill>
                    <w14:schemeClr w14:val="tx1"/>
                  </w14:solidFill>
                </w14:textFill>
              </w:rPr>
              <w:t>项目人员管理机构</w:t>
            </w:r>
          </w:p>
        </w:tc>
        <w:tc>
          <w:tcPr>
            <w:tcW w:w="6635"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拟投入本项目的人员中有具有高级或以上职称的，每人得1分，最多得</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分；具有中级职称证书的，每人得0.5分，最多得</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分。</w:t>
            </w:r>
          </w:p>
          <w:p>
            <w:pPr>
              <w:keepNext w:val="0"/>
              <w:keepLines w:val="0"/>
              <w:pageBreakBefore w:val="0"/>
              <w:kinsoku/>
              <w:wordWrap/>
              <w:overflowPunct/>
              <w:topLinePunct w:val="0"/>
              <w:autoSpaceDE w:val="0"/>
              <w:autoSpaceDN w:val="0"/>
              <w:bidi w:val="0"/>
              <w:adjustRightInd w:val="0"/>
              <w:snapToGrid/>
              <w:spacing w:line="360" w:lineRule="auto"/>
              <w:ind w:right="71" w:rightChars="34"/>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本小项满分</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分。（须提供劳动合同及社保缴纳证明）</w:t>
            </w:r>
          </w:p>
        </w:tc>
        <w:tc>
          <w:tcPr>
            <w:tcW w:w="664"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restart"/>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技术服务</w:t>
            </w: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50</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分</w:t>
            </w: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总体方案</w:t>
            </w:r>
          </w:p>
        </w:tc>
        <w:tc>
          <w:tcPr>
            <w:tcW w:w="6635" w:type="dxa"/>
            <w:vAlign w:val="center"/>
          </w:tcPr>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根据供应商针对本设计项目制定的总体方案，内容包含项目重、难点分析和解决方案、项目设计思路、拟投入人员情况及工作时间安排等进行综合评定。</w:t>
            </w:r>
          </w:p>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总体方案全面、科学、合理能充分满足项目要求得 15 分；</w:t>
            </w:r>
          </w:p>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 xml:space="preserve">总体方案内容科学、合理但不全面 ，能基本满足项目要求得 </w:t>
            </w: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 xml:space="preserve"> 分；</w:t>
            </w:r>
          </w:p>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总体方案不完整、不科学、不全面，不能满足项目要求得5 分。</w:t>
            </w:r>
          </w:p>
        </w:tc>
        <w:tc>
          <w:tcPr>
            <w:tcW w:w="664" w:type="dxa"/>
            <w:vAlign w:val="center"/>
          </w:tcPr>
          <w:p>
            <w:pPr>
              <w:keepNext w:val="0"/>
              <w:keepLines w:val="0"/>
              <w:pageBreakBefore w:val="0"/>
              <w:kinsoku/>
              <w:wordWrap/>
              <w:overflowPunct/>
              <w:topLinePunct w:val="0"/>
              <w:bidi w:val="0"/>
              <w:snapToGrid/>
              <w:spacing w:line="360" w:lineRule="auto"/>
              <w:ind w:left="-4" w:leftChars="-2" w:firstLine="1" w:firstLineChars="1"/>
              <w:jc w:val="cente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continue"/>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53" w:type="dxa"/>
            <w:vMerge w:val="restart"/>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项目设计</w:t>
            </w:r>
          </w:p>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的特点、关</w:t>
            </w:r>
          </w:p>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键技术问</w:t>
            </w:r>
          </w:p>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题的认识</w:t>
            </w:r>
          </w:p>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及其对策</w:t>
            </w:r>
          </w:p>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措施</w:t>
            </w:r>
          </w:p>
        </w:tc>
        <w:tc>
          <w:tcPr>
            <w:tcW w:w="6635" w:type="dxa"/>
            <w:vAlign w:val="center"/>
          </w:tcPr>
          <w:p>
            <w:pPr>
              <w:keepNext w:val="0"/>
              <w:keepLines w:val="0"/>
              <w:pageBreakBefore w:val="0"/>
              <w:kinsoku/>
              <w:wordWrap/>
              <w:overflowPunct/>
              <w:topLinePunct w:val="0"/>
              <w:bidi w:val="0"/>
              <w:snapToGrid/>
              <w:spacing w:line="360" w:lineRule="auto"/>
              <w:ind w:left="-4" w:leftChars="-2" w:firstLine="2" w:firstLineChars="1"/>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根据供应商对本设计项目工程技术结论及技术方案提出的不同看法及建议进行评定。</w:t>
            </w:r>
          </w:p>
          <w:p>
            <w:pPr>
              <w:keepNext w:val="0"/>
              <w:keepLines w:val="0"/>
              <w:pageBreakBefore w:val="0"/>
              <w:kinsoku/>
              <w:wordWrap/>
              <w:overflowPunct/>
              <w:topLinePunct w:val="0"/>
              <w:bidi w:val="0"/>
              <w:snapToGrid/>
              <w:spacing w:line="360" w:lineRule="auto"/>
              <w:ind w:left="-4" w:leftChars="-2" w:firstLine="2" w:firstLineChars="1"/>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对工程技术结论及技术方案提出的建议科学、合理、可行的得 6 分；</w:t>
            </w:r>
          </w:p>
          <w:p>
            <w:pPr>
              <w:keepNext w:val="0"/>
              <w:keepLines w:val="0"/>
              <w:pageBreakBefore w:val="0"/>
              <w:kinsoku/>
              <w:wordWrap/>
              <w:overflowPunct/>
              <w:topLinePunct w:val="0"/>
              <w:bidi w:val="0"/>
              <w:snapToGrid/>
              <w:spacing w:line="360" w:lineRule="auto"/>
              <w:ind w:left="-4" w:leftChars="-2" w:firstLine="2" w:firstLineChars="1"/>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对工程技术结论及技术方案提出的建议科学、合理、基本可行的得 3 分；</w:t>
            </w:r>
          </w:p>
          <w:p>
            <w:pPr>
              <w:keepNext w:val="0"/>
              <w:keepLines w:val="0"/>
              <w:pageBreakBefore w:val="0"/>
              <w:kinsoku/>
              <w:wordWrap/>
              <w:overflowPunct/>
              <w:topLinePunct w:val="0"/>
              <w:bidi w:val="0"/>
              <w:snapToGrid/>
              <w:spacing w:line="360" w:lineRule="auto"/>
              <w:ind w:left="-4" w:leftChars="-2" w:firstLine="2" w:firstLineChars="1"/>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对工程技术结论及技术方案提出的建议不科学、不合理或不可行的得 1 分。</w:t>
            </w:r>
          </w:p>
        </w:tc>
        <w:tc>
          <w:tcPr>
            <w:tcW w:w="664" w:type="dxa"/>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53"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p>
        </w:tc>
        <w:tc>
          <w:tcPr>
            <w:tcW w:w="6635" w:type="dxa"/>
            <w:vAlign w:val="center"/>
          </w:tcPr>
          <w:p>
            <w:pPr>
              <w:keepNext w:val="0"/>
              <w:keepLines w:val="0"/>
              <w:pageBreakBefore w:val="0"/>
              <w:kinsoku/>
              <w:wordWrap/>
              <w:overflowPunct/>
              <w:topLinePunct w:val="0"/>
              <w:autoSpaceDE w:val="0"/>
              <w:autoSpaceDN w:val="0"/>
              <w:bidi w:val="0"/>
              <w:adjustRightInd w:val="0"/>
              <w:snapToGrid/>
              <w:spacing w:line="360" w:lineRule="auto"/>
              <w:jc w:val="left"/>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t>根据供应商对本设计项目设计的特点、关键技术问题的认识进行评定。</w:t>
            </w:r>
          </w:p>
          <w:p>
            <w:pPr>
              <w:keepNext w:val="0"/>
              <w:keepLines w:val="0"/>
              <w:pageBreakBefore w:val="0"/>
              <w:kinsoku/>
              <w:wordWrap/>
              <w:overflowPunct/>
              <w:topLinePunct w:val="0"/>
              <w:autoSpaceDE w:val="0"/>
              <w:autoSpaceDN w:val="0"/>
              <w:bidi w:val="0"/>
              <w:adjustRightInd w:val="0"/>
              <w:snapToGrid/>
              <w:spacing w:line="360" w:lineRule="auto"/>
              <w:jc w:val="left"/>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t>对本项目设计的特点、关键技术问题认识透彻、措施科学合理、可行的得 9 分；</w:t>
            </w:r>
          </w:p>
          <w:p>
            <w:pPr>
              <w:keepNext w:val="0"/>
              <w:keepLines w:val="0"/>
              <w:pageBreakBefore w:val="0"/>
              <w:kinsoku/>
              <w:wordWrap/>
              <w:overflowPunct/>
              <w:topLinePunct w:val="0"/>
              <w:autoSpaceDE w:val="0"/>
              <w:autoSpaceDN w:val="0"/>
              <w:bidi w:val="0"/>
              <w:adjustRightInd w:val="0"/>
              <w:snapToGrid/>
              <w:spacing w:line="360" w:lineRule="auto"/>
              <w:jc w:val="left"/>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t>对本项目设计的特点、关键技术问题认识基本得当、措施基本可行的得6 分；</w:t>
            </w:r>
          </w:p>
          <w:p>
            <w:pPr>
              <w:keepNext w:val="0"/>
              <w:keepLines w:val="0"/>
              <w:pageBreakBefore w:val="0"/>
              <w:kinsoku/>
              <w:wordWrap/>
              <w:overflowPunct/>
              <w:topLinePunct w:val="0"/>
              <w:autoSpaceDE w:val="0"/>
              <w:autoSpaceDN w:val="0"/>
              <w:bidi w:val="0"/>
              <w:adjustRightInd w:val="0"/>
              <w:snapToGrid/>
              <w:spacing w:line="360" w:lineRule="auto"/>
              <w:jc w:val="left"/>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t>对本项目设计的特点、关键技术问题认识不得当、措施不可行的得</w:t>
            </w:r>
            <w:r>
              <w:rPr>
                <w:rFonts w:hint="eastAsia" w:asciiTheme="minorEastAsia" w:hAnsiTheme="minorEastAsia" w:eastAsiaTheme="minorEastAsia" w:cstheme="minorEastAsia"/>
                <w:color w:val="000000" w:themeColor="text1"/>
                <w:spacing w:val="-6"/>
                <w:kern w:val="0"/>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t>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Theme="minorEastAsia" w:hAnsiTheme="minorEastAsia" w:eastAsiaTheme="minorEastAsia" w:cstheme="minorEastAsia"/>
                <w:color w:val="000000" w:themeColor="text1"/>
                <w:spacing w:val="-6"/>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21"/>
                <w:szCs w:val="21"/>
                <w:lang w:val="en-US" w:eastAsia="zh-CN"/>
                <w14:textFill>
                  <w14:solidFill>
                    <w14:schemeClr w14:val="tx1"/>
                  </w14:solidFill>
                </w14:textFill>
              </w:rPr>
              <w:t>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设计工作</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量及计划</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安排</w:t>
            </w:r>
          </w:p>
        </w:tc>
        <w:tc>
          <w:tcPr>
            <w:tcW w:w="6635" w:type="dxa"/>
            <w:vAlign w:val="center"/>
          </w:tcPr>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根据供应商针对本设计项目工作量及计划安排进行评定。</w:t>
            </w:r>
          </w:p>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工作量及计划安排科学、合理、可行，能充分满足项目要求的得 7 分；</w:t>
            </w:r>
          </w:p>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工作量及计划安排科学、合理、可行但不全面得 4 分；</w:t>
            </w:r>
          </w:p>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工作量及计划安排不科学、不合理、不可行或者与项目不相适应的得 1 分。</w:t>
            </w:r>
          </w:p>
        </w:tc>
        <w:tc>
          <w:tcPr>
            <w:tcW w:w="664" w:type="dxa"/>
            <w:vAlign w:val="center"/>
          </w:tcPr>
          <w:p>
            <w:pPr>
              <w:keepNext w:val="0"/>
              <w:keepLines w:val="0"/>
              <w:pageBreakBefore w:val="0"/>
              <w:kinsoku/>
              <w:wordWrap/>
              <w:overflowPunct/>
              <w:topLinePunct w:val="0"/>
              <w:bidi w:val="0"/>
              <w:snapToGrid/>
              <w:spacing w:line="360" w:lineRule="auto"/>
              <w:ind w:left="-4" w:leftChars="-2" w:firstLine="1" w:firstLineChars="1"/>
              <w:jc w:val="cente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z w:val="21"/>
                <w:szCs w:val="21"/>
              </w:rPr>
            </w:pP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设计的质</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量保证措</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施</w:t>
            </w:r>
          </w:p>
        </w:tc>
        <w:tc>
          <w:tcPr>
            <w:tcW w:w="6635" w:type="dxa"/>
            <w:vAlign w:val="center"/>
          </w:tcPr>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根据供应商针对本设计项目的设计质量保证措施进行评定。</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措施科学、合理、可行且有合理的经济处罚措施得 4 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措施科学、合理、可行但无合理的经济保证措施或经济措施不合理的得 2 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措施不科学或不合理得 0 分。</w:t>
            </w:r>
          </w:p>
        </w:tc>
        <w:tc>
          <w:tcPr>
            <w:tcW w:w="664"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z w:val="21"/>
                <w:szCs w:val="21"/>
              </w:rPr>
            </w:pP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进度保</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证措施</w:t>
            </w:r>
          </w:p>
        </w:tc>
        <w:tc>
          <w:tcPr>
            <w:tcW w:w="6635" w:type="dxa"/>
            <w:vAlign w:val="center"/>
          </w:tcPr>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根据供应商针对本设计项目的进度保证措施进行评定。</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措施科学、合理、可行且有合理的经济处罚措施得 3 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措施科学、合理、可行但无合理的经济保证措施或经济措施不合理的得 2 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rPr>
              <w:t>措施不科学或不合理得 0 分。</w:t>
            </w:r>
          </w:p>
        </w:tc>
        <w:tc>
          <w:tcPr>
            <w:tcW w:w="664"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pacing w:val="-6"/>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z w:val="21"/>
                <w:szCs w:val="21"/>
              </w:rPr>
            </w:pPr>
          </w:p>
        </w:tc>
        <w:tc>
          <w:tcPr>
            <w:tcW w:w="1253"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后续服务</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的安排及</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保证措施</w:t>
            </w:r>
          </w:p>
        </w:tc>
        <w:tc>
          <w:tcPr>
            <w:tcW w:w="6635" w:type="dxa"/>
            <w:vAlign w:val="center"/>
          </w:tcPr>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根据供应商针对本设计项目的后续服务工作安排及保证措施进行评定。</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后续服务工作安排科学合理、保证措施可行且有合理的经济处罚措施的得 6 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后续服务工作安排较合理、保证措施基本可行、经济处罚措施不合理的得 4 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后续服务工作安排不合理、保证措施不可行且无经济处罚措施的得 0分。</w:t>
            </w:r>
          </w:p>
        </w:tc>
        <w:tc>
          <w:tcPr>
            <w:tcW w:w="664"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736"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552" w:type="dxa"/>
            <w:gridSpan w:val="3"/>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rPr>
      </w:pPr>
      <w:bookmarkStart w:id="124" w:name="_Toc142"/>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24"/>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25" w:name="_Toc13030"/>
      <w:r>
        <w:rPr>
          <w:rFonts w:hint="eastAsia" w:asciiTheme="minorEastAsia" w:hAnsiTheme="minorEastAsia" w:eastAsiaTheme="minorEastAsia" w:cstheme="minorEastAsia"/>
          <w:b/>
          <w:szCs w:val="21"/>
          <w:lang w:val="en-US" w:eastAsia="zh-CN"/>
        </w:rPr>
        <w:t>五、磋商及评审步骤</w:t>
      </w:r>
      <w:bookmarkEnd w:id="125"/>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hint="eastAsia"/>
        </w:rPr>
      </w:pPr>
      <w:r>
        <w:rPr>
          <w:rFonts w:hint="eastAsia" w:asciiTheme="minorEastAsia" w:hAnsiTheme="minorEastAsia" w:eastAsiaTheme="minorEastAsia" w:cstheme="minorEastAsia"/>
          <w:szCs w:val="21"/>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26" w:name="_Toc211783328"/>
      <w:bookmarkStart w:id="127" w:name="_Toc318643471"/>
      <w:bookmarkStart w:id="128" w:name="_Toc31730"/>
      <w:r>
        <w:rPr>
          <w:rFonts w:hint="eastAsia" w:asciiTheme="minorEastAsia" w:hAnsiTheme="minorEastAsia" w:eastAsiaTheme="minorEastAsia" w:cstheme="minorEastAsia"/>
          <w:sz w:val="36"/>
          <w:szCs w:val="36"/>
        </w:rPr>
        <w:t>合同书</w:t>
      </w:r>
      <w:bookmarkEnd w:id="126"/>
      <w:bookmarkEnd w:id="127"/>
      <w:r>
        <w:rPr>
          <w:rFonts w:hint="eastAsia" w:asciiTheme="minorEastAsia" w:hAnsiTheme="minorEastAsia" w:eastAsiaTheme="minorEastAsia" w:cstheme="minorEastAsia"/>
          <w:sz w:val="36"/>
          <w:szCs w:val="36"/>
          <w:lang w:val="en-US" w:eastAsia="zh-CN"/>
        </w:rPr>
        <w:t>格式</w:t>
      </w:r>
      <w:bookmarkEnd w:id="128"/>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29" w:name="_Toc23943"/>
      <w:r>
        <w:rPr>
          <w:rFonts w:hint="eastAsia" w:asciiTheme="minorEastAsia" w:hAnsiTheme="minorEastAsia" w:eastAsiaTheme="minorEastAsia" w:cstheme="minorEastAsia"/>
          <w:sz w:val="36"/>
          <w:szCs w:val="36"/>
        </w:rPr>
        <w:t>竞争性磋商响应文件格式</w:t>
      </w:r>
      <w:bookmarkEnd w:id="129"/>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30" w:name="_Toc23858"/>
      <w:bookmarkStart w:id="131"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30"/>
    <w:bookmarkEnd w:id="131"/>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32" w:name="_Toc264644272"/>
      <w:bookmarkStart w:id="133" w:name="_Toc360174584"/>
      <w:bookmarkStart w:id="134" w:name="_Toc11320441"/>
      <w:bookmarkStart w:id="135" w:name="_Toc211783342"/>
      <w:bookmarkStart w:id="136" w:name="_Toc533330957"/>
      <w:bookmarkStart w:id="137"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2"/>
      <w:bookmarkEnd w:id="133"/>
    </w:p>
    <w:p>
      <w:pPr>
        <w:autoSpaceDE w:val="0"/>
        <w:autoSpaceDN w:val="0"/>
        <w:adjustRightInd w:val="0"/>
        <w:rPr>
          <w:rFonts w:hint="eastAsia" w:asciiTheme="minorEastAsia" w:hAnsiTheme="minorEastAsia" w:eastAsiaTheme="minorEastAsia" w:cstheme="minorEastAsia"/>
          <w:b/>
          <w:bCs/>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rPr>
        <w:t>一</w:t>
      </w:r>
      <w:r>
        <w:rPr>
          <w:rFonts w:hint="eastAsia" w:asciiTheme="minorEastAsia" w:hAnsiTheme="minorEastAsia" w:eastAsiaTheme="minorEastAsia" w:cstheme="minorEastAsia"/>
          <w:b w:val="0"/>
          <w:bCs/>
          <w:lang w:eastAsia="zh-CN"/>
        </w:rPr>
        <w:t>、</w:t>
      </w:r>
      <w:r>
        <w:rPr>
          <w:rFonts w:hint="eastAsia" w:asciiTheme="minorEastAsia" w:hAnsiTheme="minorEastAsia" w:eastAsiaTheme="minorEastAsia" w:cstheme="minorEastAsia"/>
          <w:b w:val="0"/>
          <w:bCs/>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lang w:val="en-US" w:eastAsia="zh-CN"/>
        </w:rPr>
        <w:t>二</w:t>
      </w:r>
      <w:r>
        <w:rPr>
          <w:rFonts w:hint="eastAsia" w:asciiTheme="minorEastAsia" w:hAnsiTheme="minorEastAsia" w:eastAsiaTheme="minorEastAsia" w:cstheme="minorEastAsia"/>
          <w:b w:val="0"/>
          <w:bCs/>
        </w:rPr>
        <w:t>、磋商书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lang w:val="en-US" w:eastAsia="zh-CN"/>
        </w:rPr>
        <w:t>三</w:t>
      </w:r>
      <w:r>
        <w:rPr>
          <w:rFonts w:hint="eastAsia" w:asciiTheme="minorEastAsia" w:hAnsiTheme="minorEastAsia" w:eastAsiaTheme="minorEastAsia" w:cstheme="minorEastAsia"/>
          <w:b w:val="0"/>
          <w:bCs/>
        </w:rPr>
        <w:t>、法定代表人授权书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法定代表人身份证明书</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、报价一览表</w:t>
      </w:r>
      <w:r>
        <w:rPr>
          <w:rFonts w:hint="eastAsia" w:asciiTheme="minorEastAsia" w:hAnsiTheme="minorEastAsia" w:eastAsiaTheme="minorEastAsia" w:cstheme="minorEastAsia"/>
          <w:b w:val="0"/>
          <w:bCs/>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szCs w:val="21"/>
          <w:lang w:val="en-US" w:eastAsia="zh-CN"/>
        </w:rPr>
        <w:t>五</w:t>
      </w:r>
      <w:r>
        <w:rPr>
          <w:rFonts w:hint="eastAsia" w:asciiTheme="minorEastAsia" w:hAnsiTheme="minorEastAsia" w:eastAsiaTheme="minorEastAsia" w:cstheme="minorEastAsia"/>
          <w:b w:val="0"/>
          <w:bCs/>
          <w:szCs w:val="21"/>
        </w:rPr>
        <w:t>、报价费用构成表</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color w:val="auto"/>
          <w:szCs w:val="21"/>
          <w:lang w:val="en-US" w:eastAsia="zh-CN"/>
        </w:rPr>
        <w:t>六</w:t>
      </w:r>
      <w:r>
        <w:rPr>
          <w:rFonts w:hint="eastAsia" w:asciiTheme="minorEastAsia" w:hAnsiTheme="minorEastAsia" w:eastAsiaTheme="minorEastAsia" w:cstheme="minorEastAsia"/>
          <w:b w:val="0"/>
          <w:bCs/>
          <w:color w:val="auto"/>
          <w:szCs w:val="21"/>
        </w:rPr>
        <w:t>、耗材清单（如有）</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七、拟投入设备/备件、工具情况</w:t>
      </w:r>
      <w:r>
        <w:rPr>
          <w:rFonts w:hint="eastAsia" w:asciiTheme="minorEastAsia" w:hAnsiTheme="minorEastAsia" w:eastAsiaTheme="minorEastAsia" w:cstheme="minorEastAsia"/>
          <w:b w:val="0"/>
          <w:bCs/>
          <w:color w:val="auto"/>
          <w:szCs w:val="21"/>
        </w:rPr>
        <w:t>（如有）</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color w:val="auto"/>
          <w:szCs w:val="21"/>
          <w:lang w:val="en-US" w:eastAsia="zh-CN"/>
        </w:rPr>
        <w:t>八</w:t>
      </w:r>
      <w:r>
        <w:rPr>
          <w:rFonts w:hint="eastAsia" w:asciiTheme="minorEastAsia" w:hAnsiTheme="minorEastAsia" w:eastAsiaTheme="minorEastAsia" w:cstheme="minorEastAsia"/>
          <w:b w:val="0"/>
          <w:bCs/>
          <w:color w:val="auto"/>
          <w:szCs w:val="21"/>
        </w:rPr>
        <w:t>、</w:t>
      </w:r>
      <w:r>
        <w:rPr>
          <w:rFonts w:hint="eastAsia" w:asciiTheme="minorEastAsia" w:hAnsiTheme="minorEastAsia" w:eastAsiaTheme="minorEastAsia" w:cstheme="minorEastAsia"/>
          <w:b w:val="0"/>
          <w:bCs/>
          <w:color w:val="auto"/>
          <w:szCs w:val="21"/>
          <w:lang w:eastAsia="zh-CN"/>
        </w:rPr>
        <w:t>缴纳</w:t>
      </w:r>
      <w:r>
        <w:rPr>
          <w:rFonts w:hint="eastAsia" w:asciiTheme="minorEastAsia" w:hAnsiTheme="minorEastAsia" w:eastAsiaTheme="minorEastAsia" w:cstheme="minorEastAsia"/>
          <w:b w:val="0"/>
          <w:bCs/>
          <w:color w:val="auto"/>
          <w:szCs w:val="21"/>
        </w:rPr>
        <w:t>保证金的银行凭证（如有）</w:t>
      </w:r>
      <w:r>
        <w:rPr>
          <w:rFonts w:hint="eastAsia" w:asciiTheme="minorEastAsia" w:hAnsiTheme="minorEastAsia" w:eastAsiaTheme="minorEastAsia" w:cstheme="minorEastAsia"/>
          <w:b w:val="0"/>
          <w:bCs/>
          <w:color w:val="auto"/>
          <w:szCs w:val="21"/>
          <w:lang w:eastAsia="zh-CN"/>
        </w:rPr>
        <w:br w:type="textWrapping"/>
      </w:r>
      <w:r>
        <w:rPr>
          <w:rFonts w:hint="eastAsia" w:asciiTheme="minorEastAsia" w:hAnsiTheme="minorEastAsia" w:eastAsiaTheme="minorEastAsia" w:cstheme="minorEastAsia"/>
          <w:b w:val="0"/>
          <w:bCs/>
          <w:szCs w:val="21"/>
          <w:lang w:val="en-US" w:eastAsia="zh-CN"/>
        </w:rPr>
        <w:t>九</w:t>
      </w:r>
      <w:r>
        <w:rPr>
          <w:rFonts w:hint="eastAsia" w:asciiTheme="minorEastAsia" w:hAnsiTheme="minorEastAsia" w:eastAsiaTheme="minorEastAsia" w:cstheme="minorEastAsia"/>
          <w:b w:val="0"/>
          <w:bCs/>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一</w:t>
      </w:r>
      <w:r>
        <w:rPr>
          <w:rFonts w:hint="eastAsia" w:asciiTheme="minorEastAsia" w:hAnsiTheme="minorEastAsia" w:eastAsiaTheme="minorEastAsia" w:cstheme="minorEastAsia"/>
          <w:b w:val="0"/>
          <w:bCs/>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二</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资格证明文件</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十</w:t>
      </w:r>
      <w:r>
        <w:rPr>
          <w:rFonts w:hint="eastAsia" w:asciiTheme="minorEastAsia" w:hAnsiTheme="minorEastAsia" w:eastAsiaTheme="minorEastAsia" w:cstheme="minorEastAsia"/>
          <w:b w:val="0"/>
          <w:bCs/>
          <w:lang w:val="en-US" w:eastAsia="zh-CN"/>
        </w:rPr>
        <w:t>五</w:t>
      </w:r>
      <w:r>
        <w:rPr>
          <w:rFonts w:hint="eastAsia" w:asciiTheme="minorEastAsia" w:hAnsiTheme="minorEastAsia" w:eastAsiaTheme="minorEastAsia" w:cstheme="minorEastAsia"/>
          <w:b w:val="0"/>
          <w:bCs/>
        </w:rPr>
        <w:t>、中小企业声明函</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十六、监狱企业证明文件</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p>
    <w:p>
      <w:pPr>
        <w:spacing w:line="360" w:lineRule="auto"/>
        <w:jc w:val="left"/>
        <w:outlineLvl w:val="9"/>
        <w:rPr>
          <w:rFonts w:hint="eastAsia" w:asciiTheme="minorEastAsia" w:hAnsiTheme="minorEastAsia" w:eastAsiaTheme="minorEastAsia" w:cstheme="minorEastAsia"/>
          <w:b w:val="0"/>
          <w:bCs/>
          <w:spacing w:val="6"/>
          <w:szCs w:val="21"/>
        </w:rPr>
      </w:pPr>
      <w:r>
        <w:rPr>
          <w:rFonts w:hint="eastAsia" w:asciiTheme="minorEastAsia" w:hAnsiTheme="minorEastAsia" w:eastAsiaTheme="minorEastAsia" w:cstheme="minorEastAsia"/>
          <w:b w:val="0"/>
          <w:bCs/>
          <w:lang w:val="en-US" w:eastAsia="zh-CN"/>
        </w:rPr>
        <w:t>十七</w:t>
      </w: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zh-CN"/>
        </w:rPr>
        <w:t>残疾人福利性单位声明函（若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十八、节能环保产品证明材料</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spacing w:val="6"/>
          <w:szCs w:val="21"/>
          <w:lang w:val="en-US" w:eastAsia="zh-CN"/>
        </w:rPr>
        <w:t>十九</w:t>
      </w:r>
      <w:r>
        <w:rPr>
          <w:rFonts w:hint="eastAsia" w:asciiTheme="minorEastAsia" w:hAnsiTheme="minorEastAsia" w:eastAsiaTheme="minorEastAsia" w:cstheme="minorEastAsia"/>
          <w:b w:val="0"/>
          <w:bCs/>
          <w:spacing w:val="6"/>
          <w:szCs w:val="21"/>
        </w:rPr>
        <w:t>、</w:t>
      </w:r>
      <w:r>
        <w:rPr>
          <w:rFonts w:hint="eastAsia" w:asciiTheme="minorEastAsia" w:hAnsiTheme="minorEastAsia" w:eastAsiaTheme="minorEastAsia" w:cstheme="minorEastAsia"/>
          <w:b w:val="0"/>
          <w:bCs/>
        </w:rPr>
        <w:t>无重大违法记录声明</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spacing w:val="6"/>
          <w:szCs w:val="21"/>
        </w:rPr>
        <w:br w:type="textWrapping"/>
      </w:r>
      <w:r>
        <w:rPr>
          <w:rFonts w:hint="eastAsia" w:asciiTheme="minorEastAsia" w:hAnsiTheme="minorEastAsia" w:eastAsiaTheme="minorEastAsia" w:cstheme="minorEastAsia"/>
          <w:b w:val="0"/>
          <w:bCs/>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spacing w:val="6"/>
          <w:szCs w:val="21"/>
          <w:lang w:val="en-US" w:eastAsia="zh-CN"/>
        </w:rPr>
        <w:br w:type="textWrapping"/>
      </w:r>
      <w:r>
        <w:rPr>
          <w:rFonts w:hint="eastAsia" w:asciiTheme="minorEastAsia" w:hAnsiTheme="minorEastAsia" w:eastAsiaTheme="minorEastAsia" w:cstheme="minorEastAsia"/>
          <w:b w:val="0"/>
          <w:bCs/>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hint="eastAsia" w:asciiTheme="minorEastAsia" w:hAnsiTheme="minorEastAsia" w:eastAsiaTheme="minorEastAsia" w:cstheme="minorEastAsia"/>
          <w:b/>
        </w:rPr>
      </w:pPr>
    </w:p>
    <w:p>
      <w:pPr>
        <w:autoSpaceDE w:val="0"/>
        <w:autoSpaceDN w:val="0"/>
        <w:adjustRightInd w:val="0"/>
        <w:spacing w:line="480" w:lineRule="auto"/>
        <w:rPr>
          <w:rFonts w:hint="eastAsia" w:asciiTheme="minorEastAsia" w:hAnsiTheme="minorEastAsia" w:eastAsiaTheme="minorEastAsia" w:cstheme="minorEastAsia"/>
          <w:b/>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8" w:name="_Toc11214"/>
      <w:r>
        <w:rPr>
          <w:rFonts w:hint="eastAsia" w:asciiTheme="minorEastAsia" w:hAnsiTheme="minorEastAsia" w:eastAsiaTheme="minorEastAsia" w:cstheme="minorEastAsia"/>
          <w:b/>
        </w:rPr>
        <w:t>一</w:t>
      </w:r>
      <w:r>
        <w:rPr>
          <w:rFonts w:hint="eastAsia" w:asciiTheme="minorEastAsia" w:hAnsiTheme="minorEastAsia" w:eastAsiaTheme="minorEastAsia" w:cstheme="minorEastAsia"/>
          <w:b/>
          <w:lang w:eastAsia="zh-CN"/>
        </w:rPr>
        <w:t>、</w:t>
      </w:r>
      <w:r>
        <w:rPr>
          <w:rFonts w:hint="eastAsia" w:asciiTheme="minorEastAsia" w:hAnsiTheme="minorEastAsia" w:eastAsiaTheme="minorEastAsia" w:cstheme="minorEastAsia"/>
          <w:b/>
        </w:rPr>
        <w:t>评分标准索引表</w:t>
      </w:r>
      <w:bookmarkEnd w:id="138"/>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5197" w:type="dxa"/>
            <w:vAlign w:val="center"/>
          </w:tcPr>
          <w:p>
            <w:pPr>
              <w:widowControl/>
              <w:spacing w:line="260" w:lineRule="exact"/>
              <w:jc w:val="left"/>
              <w:textAlignment w:val="center"/>
              <w:rPr>
                <w:rFonts w:hint="eastAsia"/>
              </w:rPr>
            </w:pPr>
          </w:p>
        </w:tc>
        <w:tc>
          <w:tcPr>
            <w:tcW w:w="1005" w:type="dxa"/>
            <w:vAlign w:val="center"/>
          </w:tcPr>
          <w:p>
            <w:pPr>
              <w:widowControl/>
              <w:spacing w:line="260" w:lineRule="exact"/>
              <w:jc w:val="center"/>
              <w:textAlignment w:val="center"/>
              <w:rPr>
                <w:rFonts w:hint="eastAsia"/>
              </w:rPr>
            </w:pPr>
          </w:p>
        </w:tc>
        <w:tc>
          <w:tcPr>
            <w:tcW w:w="1114" w:type="dxa"/>
            <w:vAlign w:val="center"/>
          </w:tcPr>
          <w:p>
            <w:pPr>
              <w:widowControl/>
              <w:spacing w:line="260" w:lineRule="exact"/>
              <w:jc w:val="center"/>
              <w:textAlignment w:val="center"/>
              <w:rPr>
                <w:rFonts w:hint="eastAsia" w:ascii="宋体" w:hAnsi="宋体" w:cs="宋体"/>
                <w:color w:val="FF0000"/>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color w:val="000000"/>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spacing w:val="-6"/>
                <w:sz w:val="21"/>
                <w:szCs w:val="21"/>
              </w:rPr>
            </w:pPr>
          </w:p>
        </w:tc>
        <w:tc>
          <w:tcPr>
            <w:tcW w:w="1114" w:type="dxa"/>
            <w:vAlign w:val="center"/>
          </w:tcPr>
          <w:p>
            <w:pPr>
              <w:jc w:val="center"/>
              <w:rPr>
                <w:rFonts w:hint="eastAsia" w:asciiTheme="minorEastAsia" w:hAnsiTheme="minorEastAsia" w:eastAsiaTheme="minorEastAsia" w:cstheme="minorEastAsia"/>
                <w:spacing w:val="-6"/>
                <w:sz w:val="21"/>
                <w:szCs w:val="21"/>
                <w:lang w:val="en-US" w:eastAsia="zh-CN"/>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9" w:name="_Toc15789"/>
      <w:bookmarkStart w:id="140" w:name="_Toc479184125"/>
      <w:bookmarkStart w:id="141" w:name="_Toc11349"/>
      <w:bookmarkStart w:id="142" w:name="_Toc30144"/>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39"/>
      <w:bookmarkEnd w:id="140"/>
      <w:bookmarkEnd w:id="141"/>
      <w:bookmarkEnd w:id="142"/>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服务</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43" w:name="_Toc13969"/>
      <w:bookmarkStart w:id="144" w:name="_Toc24205"/>
      <w:bookmarkStart w:id="145" w:name="_Toc23387"/>
      <w:bookmarkStart w:id="146"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43"/>
      <w:bookmarkEnd w:id="144"/>
      <w:bookmarkEnd w:id="145"/>
      <w:bookmarkEnd w:id="146"/>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7" w:name="_Toc29904"/>
      <w:bookmarkStart w:id="148" w:name="_Toc432149008"/>
      <w:bookmarkStart w:id="149" w:name="_Toc424832832"/>
      <w:bookmarkStart w:id="150" w:name="_Toc479184127"/>
      <w:bookmarkStart w:id="151" w:name="_Toc9326"/>
      <w:bookmarkStart w:id="152" w:name="_Toc30245"/>
      <w:bookmarkStart w:id="153" w:name="_Toc360120184"/>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47"/>
      <w:bookmarkEnd w:id="148"/>
      <w:bookmarkEnd w:id="149"/>
      <w:bookmarkEnd w:id="150"/>
      <w:bookmarkEnd w:id="151"/>
      <w:bookmarkEnd w:id="152"/>
      <w:bookmarkEnd w:id="153"/>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4" w:name="_Toc432149006"/>
      <w:bookmarkStart w:id="155" w:name="_Toc422466732"/>
      <w:r>
        <w:rPr>
          <w:rFonts w:hint="eastAsia" w:asciiTheme="minorEastAsia" w:hAnsiTheme="minorEastAsia" w:eastAsiaTheme="minorEastAsia" w:cstheme="minorEastAsia"/>
          <w:b/>
          <w:bCs/>
          <w:sz w:val="24"/>
        </w:rPr>
        <w:br w:type="page"/>
      </w:r>
      <w:bookmarkStart w:id="156" w:name="_Toc4301"/>
      <w:bookmarkStart w:id="157" w:name="_Toc4741"/>
      <w:bookmarkStart w:id="158" w:name="_Toc479184128"/>
      <w:bookmarkStart w:id="159" w:name="_Toc20216"/>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、报价一览表</w:t>
      </w:r>
      <w:bookmarkEnd w:id="154"/>
      <w:bookmarkEnd w:id="155"/>
      <w:bookmarkEnd w:id="156"/>
      <w:bookmarkEnd w:id="157"/>
      <w:bookmarkEnd w:id="158"/>
      <w:bookmarkEnd w:id="159"/>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color w:val="FF0000"/>
                <w:sz w:val="21"/>
                <w:szCs w:val="21"/>
                <w:u w:val="single"/>
                <w:lang w:val="en-US" w:eastAsia="zh-CN"/>
              </w:rPr>
              <w:t>大写：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t>万元</w:t>
            </w:r>
            <w:r>
              <w:rPr>
                <w:rFonts w:hint="eastAsia" w:asciiTheme="minorEastAsia" w:hAnsiTheme="minorEastAsia" w:eastAsiaTheme="minorEastAsia" w:cstheme="minorEastAsia"/>
                <w:color w:val="FF0000"/>
                <w:sz w:val="21"/>
                <w:szCs w:val="21"/>
                <w:lang w:val="en-US" w:eastAsia="zh-CN"/>
              </w:rPr>
              <w:br w:type="textWrapping"/>
            </w:r>
            <w:r>
              <w:rPr>
                <w:rFonts w:hint="eastAsia" w:asciiTheme="minorEastAsia" w:hAnsiTheme="minorEastAsia" w:eastAsiaTheme="minorEastAsia" w:cstheme="minorEastAsia"/>
                <w:color w:val="FF0000"/>
                <w:sz w:val="21"/>
                <w:szCs w:val="21"/>
                <w:u w:val="single"/>
                <w:lang w:val="en-US" w:eastAsia="zh-CN"/>
              </w:rPr>
              <w:t>小写：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60" w:name="_Toc460258117"/>
      <w:bookmarkStart w:id="161" w:name="_Toc259028723"/>
      <w:bookmarkStart w:id="162" w:name="_Toc432149007"/>
      <w:bookmarkStart w:id="163" w:name="_Toc424832831"/>
      <w:r>
        <w:rPr>
          <w:rFonts w:hint="eastAsia" w:asciiTheme="minorEastAsia" w:hAnsiTheme="minorEastAsia" w:eastAsiaTheme="minorEastAsia" w:cstheme="minorEastAsia"/>
          <w:b/>
          <w:bCs/>
          <w:sz w:val="24"/>
        </w:rPr>
        <w:br w:type="page"/>
      </w:r>
      <w:bookmarkStart w:id="164" w:name="_Toc18559"/>
      <w:bookmarkStart w:id="165" w:name="_Toc1079"/>
      <w:bookmarkStart w:id="166" w:name="_Toc479184129"/>
      <w:bookmarkStart w:id="167" w:name="_Toc25984"/>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w:t>
      </w:r>
      <w:bookmarkEnd w:id="160"/>
      <w:bookmarkEnd w:id="161"/>
      <w:bookmarkEnd w:id="164"/>
      <w:bookmarkEnd w:id="165"/>
      <w:bookmarkEnd w:id="166"/>
      <w:r>
        <w:rPr>
          <w:rFonts w:hint="eastAsia" w:asciiTheme="minorEastAsia" w:hAnsiTheme="minorEastAsia" w:eastAsiaTheme="minorEastAsia" w:cstheme="minorEastAsia"/>
          <w:b/>
          <w:bCs/>
          <w:szCs w:val="21"/>
          <w:lang w:eastAsia="zh-CN"/>
        </w:rPr>
        <w:t>报价费用构成表</w:t>
      </w:r>
      <w:bookmarkEnd w:id="167"/>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hint="eastAsia" w:asciiTheme="minorEastAsia" w:hAnsiTheme="minorEastAsia" w:eastAsiaTheme="minorEastAsia" w:cstheme="minorEastAsia"/>
                <w:szCs w:val="21"/>
              </w:rPr>
            </w:pPr>
          </w:p>
        </w:tc>
        <w:tc>
          <w:tcPr>
            <w:tcW w:w="1118" w:type="dxa"/>
            <w:vAlign w:val="center"/>
          </w:tcPr>
          <w:p>
            <w:pPr>
              <w:adjustRightInd w:val="0"/>
              <w:snapToGrid w:val="0"/>
              <w:jc w:val="center"/>
              <w:rPr>
                <w:rFonts w:hint="eastAsia" w:asciiTheme="minorEastAsia" w:hAnsiTheme="minorEastAsia" w:eastAsiaTheme="minorEastAsia" w:cstheme="minorEastAsia"/>
                <w:szCs w:val="21"/>
              </w:rPr>
            </w:pP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hint="eastAsia" w:asciiTheme="minorEastAsia" w:hAnsiTheme="minorEastAsia" w:eastAsiaTheme="minorEastAsia" w:cstheme="minorEastAsia"/>
                <w:szCs w:val="21"/>
              </w:rPr>
            </w:pPr>
          </w:p>
        </w:tc>
        <w:tc>
          <w:tcPr>
            <w:tcW w:w="110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8" w:name="_Toc26825"/>
      <w:bookmarkStart w:id="169" w:name="_Toc28656"/>
      <w:bookmarkStart w:id="170" w:name="_Toc479184130"/>
      <w:bookmarkStart w:id="171" w:name="_Toc10531"/>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、耗材清单</w:t>
      </w:r>
      <w:bookmarkEnd w:id="168"/>
      <w:bookmarkEnd w:id="169"/>
      <w:bookmarkEnd w:id="170"/>
      <w:r>
        <w:rPr>
          <w:rFonts w:hint="eastAsia" w:asciiTheme="minorEastAsia" w:hAnsiTheme="minorEastAsia" w:eastAsiaTheme="minorEastAsia" w:cstheme="minorEastAsia"/>
          <w:b/>
          <w:bCs/>
          <w:szCs w:val="21"/>
        </w:rPr>
        <w:t>（如有）</w:t>
      </w:r>
      <w:bookmarkEnd w:id="171"/>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2" w:name="_Toc479184131"/>
      <w:bookmarkStart w:id="173" w:name="_Toc32726"/>
      <w:bookmarkStart w:id="174" w:name="_Toc7535"/>
      <w:bookmarkStart w:id="175" w:name="_Toc11126"/>
      <w:r>
        <w:rPr>
          <w:rFonts w:hint="eastAsia" w:asciiTheme="minorEastAsia" w:hAnsiTheme="minorEastAsia" w:eastAsiaTheme="minorEastAsia" w:cstheme="minorEastAsia"/>
          <w:b/>
          <w:bCs/>
          <w:szCs w:val="21"/>
          <w:lang w:val="en-US" w:eastAsia="zh-CN"/>
        </w:rPr>
        <w:t>七、拟投入设备/备件、工具情况</w:t>
      </w:r>
      <w:bookmarkEnd w:id="172"/>
      <w:bookmarkEnd w:id="173"/>
      <w:bookmarkEnd w:id="174"/>
      <w:r>
        <w:rPr>
          <w:rFonts w:hint="eastAsia" w:asciiTheme="minorEastAsia" w:hAnsiTheme="minorEastAsia" w:eastAsiaTheme="minorEastAsia" w:cstheme="minorEastAsia"/>
          <w:b/>
          <w:bCs/>
          <w:szCs w:val="21"/>
          <w:lang w:val="en-US" w:eastAsia="zh-CN"/>
        </w:rPr>
        <w:t>（如有）</w:t>
      </w:r>
      <w:bookmarkEnd w:id="175"/>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76" w:name="_Toc479184132"/>
      <w:bookmarkStart w:id="177" w:name="_Toc450827818"/>
      <w:bookmarkStart w:id="178" w:name="_Toc10449"/>
      <w:bookmarkStart w:id="179" w:name="_Toc27053"/>
      <w:bookmarkStart w:id="180" w:name="_Toc21498"/>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76"/>
      <w:bookmarkEnd w:id="177"/>
      <w:bookmarkEnd w:id="178"/>
      <w:bookmarkEnd w:id="179"/>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80"/>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2"/>
    <w:bookmarkEnd w:id="163"/>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1" w:name="_Toc479184133"/>
      <w:bookmarkStart w:id="182" w:name="_Toc422466736"/>
      <w:bookmarkStart w:id="183" w:name="_Toc1591"/>
      <w:bookmarkStart w:id="184" w:name="_Toc432149012"/>
      <w:bookmarkStart w:id="185" w:name="_Toc28200"/>
      <w:bookmarkStart w:id="186" w:name="_Toc18026"/>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81"/>
      <w:bookmarkEnd w:id="182"/>
      <w:bookmarkEnd w:id="183"/>
      <w:bookmarkEnd w:id="184"/>
      <w:bookmarkEnd w:id="185"/>
      <w:bookmarkEnd w:id="186"/>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rPr>
              <w:t>响应审核（</w:t>
            </w: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7" w:name="_Toc432149013"/>
      <w:bookmarkStart w:id="188" w:name="_Toc32060"/>
      <w:bookmarkStart w:id="189" w:name="_Toc28283"/>
      <w:bookmarkStart w:id="190" w:name="_Toc362935521"/>
      <w:bookmarkStart w:id="191" w:name="_Toc479184134"/>
      <w:bookmarkStart w:id="192" w:name="_Toc31700"/>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87"/>
      <w:bookmarkEnd w:id="188"/>
      <w:bookmarkEnd w:id="189"/>
      <w:bookmarkEnd w:id="190"/>
      <w:bookmarkEnd w:id="191"/>
      <w:r>
        <w:rPr>
          <w:rFonts w:hint="eastAsia" w:asciiTheme="minorEastAsia" w:hAnsiTheme="minorEastAsia" w:eastAsiaTheme="minorEastAsia" w:cstheme="minorEastAsia"/>
          <w:b/>
          <w:bCs/>
          <w:szCs w:val="21"/>
        </w:rPr>
        <w:br w:type="textWrapping"/>
      </w:r>
      <w:bookmarkEnd w:id="192"/>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93" w:name="_Toc460258118"/>
      <w:bookmarkStart w:id="194"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5" w:name="_Toc30455"/>
      <w:bookmarkStart w:id="196" w:name="_Toc4834"/>
      <w:bookmarkStart w:id="197" w:name="_Toc479184135"/>
      <w:bookmarkStart w:id="198" w:name="_Toc853"/>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、拟投入项目组人员一览表</w:t>
      </w:r>
      <w:bookmarkEnd w:id="193"/>
      <w:bookmarkEnd w:id="194"/>
      <w:bookmarkEnd w:id="195"/>
      <w:bookmarkEnd w:id="196"/>
      <w:bookmarkEnd w:id="197"/>
      <w:bookmarkEnd w:id="198"/>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9" w:name="_Toc10429"/>
      <w:bookmarkStart w:id="200" w:name="_Toc422466737"/>
      <w:bookmarkStart w:id="201" w:name="_Toc479184136"/>
      <w:bookmarkStart w:id="202" w:name="_Toc432149014"/>
      <w:bookmarkStart w:id="203" w:name="_Toc26838"/>
      <w:bookmarkStart w:id="204" w:name="_Toc19396"/>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99"/>
      <w:bookmarkEnd w:id="200"/>
      <w:bookmarkEnd w:id="201"/>
      <w:bookmarkEnd w:id="202"/>
      <w:bookmarkEnd w:id="203"/>
      <w:bookmarkEnd w:id="204"/>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5" w:name="_Toc450827823"/>
      <w:bookmarkStart w:id="206" w:name="_Toc259028731"/>
      <w:bookmarkStart w:id="207" w:name="_Toc17331"/>
      <w:bookmarkStart w:id="208" w:name="_Toc479184137"/>
      <w:bookmarkStart w:id="209" w:name="_Toc17527"/>
      <w:bookmarkStart w:id="210" w:name="_Toc488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05"/>
      <w:bookmarkEnd w:id="206"/>
      <w:bookmarkEnd w:id="207"/>
      <w:bookmarkEnd w:id="208"/>
      <w:bookmarkEnd w:id="209"/>
      <w:bookmarkEnd w:id="210"/>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1" w:name="_Toc32187"/>
      <w:bookmarkStart w:id="212" w:name="_Toc18555"/>
      <w:bookmarkStart w:id="213" w:name="_Toc364868916"/>
      <w:bookmarkStart w:id="214" w:name="_Toc427239751"/>
      <w:bookmarkStart w:id="215" w:name="_Toc290207179"/>
      <w:bookmarkStart w:id="216" w:name="_Toc5793"/>
      <w:bookmarkStart w:id="217" w:name="_Toc358447587"/>
      <w:r>
        <w:rPr>
          <w:rFonts w:hint="eastAsia" w:asciiTheme="minorEastAsia" w:hAnsiTheme="minorEastAsia" w:eastAsiaTheme="minorEastAsia" w:cstheme="minorEastAsia"/>
          <w:b/>
          <w:bCs/>
          <w:kern w:val="0"/>
          <w:szCs w:val="21"/>
          <w:lang w:val="en-US" w:eastAsia="zh-CN"/>
        </w:rPr>
        <w:t>十四、</w:t>
      </w:r>
      <w:bookmarkEnd w:id="211"/>
      <w:bookmarkEnd w:id="212"/>
      <w:bookmarkEnd w:id="213"/>
      <w:bookmarkEnd w:id="214"/>
      <w:bookmarkEnd w:id="215"/>
      <w:bookmarkEnd w:id="216"/>
      <w:bookmarkEnd w:id="217"/>
      <w:bookmarkStart w:id="218" w:name="_Toc29785"/>
      <w:bookmarkStart w:id="219" w:name="_Toc479184138"/>
      <w:bookmarkStart w:id="220" w:name="_Toc460258123"/>
      <w:bookmarkStart w:id="221" w:name="_Toc27229"/>
      <w:r>
        <w:rPr>
          <w:rFonts w:hint="eastAsia" w:asciiTheme="minorEastAsia" w:hAnsiTheme="minorEastAsia" w:eastAsiaTheme="minorEastAsia" w:cstheme="minorEastAsia"/>
          <w:b/>
        </w:rPr>
        <w:t>报价技术文件</w:t>
      </w:r>
      <w:bookmarkEnd w:id="218"/>
      <w:bookmarkEnd w:id="219"/>
      <w:bookmarkEnd w:id="220"/>
      <w:bookmarkEnd w:id="221"/>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2" w:name="_Toc22465"/>
      <w:bookmarkStart w:id="223" w:name="_Toc355802499"/>
      <w:bookmarkStart w:id="224" w:name="_Toc356836516"/>
      <w:bookmarkStart w:id="225" w:name="_Toc422466739"/>
      <w:bookmarkStart w:id="226" w:name="_Toc479184140"/>
      <w:bookmarkStart w:id="227" w:name="_Toc432149016"/>
      <w:bookmarkStart w:id="228" w:name="_Toc8098"/>
      <w:bookmarkStart w:id="229" w:name="_Toc2101"/>
      <w:bookmarkStart w:id="230" w:name="_Toc12119"/>
      <w:bookmarkStart w:id="231" w:name="_Toc25337"/>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五</w:t>
      </w:r>
      <w:r>
        <w:rPr>
          <w:rFonts w:hint="eastAsia" w:asciiTheme="minorEastAsia" w:hAnsiTheme="minorEastAsia" w:eastAsiaTheme="minorEastAsia" w:cstheme="minorEastAsia"/>
          <w:b/>
        </w:rPr>
        <w:t>、中小企业声明函</w:t>
      </w:r>
      <w:bookmarkEnd w:id="222"/>
      <w:bookmarkEnd w:id="223"/>
      <w:bookmarkEnd w:id="224"/>
      <w:bookmarkEnd w:id="225"/>
      <w:bookmarkEnd w:id="226"/>
      <w:bookmarkEnd w:id="227"/>
      <w:bookmarkEnd w:id="228"/>
      <w:bookmarkEnd w:id="229"/>
      <w:bookmarkEnd w:id="230"/>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1"/>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2" w:name="OLE_LINK5"/>
      <w:r>
        <w:rPr>
          <w:rFonts w:hint="eastAsia" w:asciiTheme="minorEastAsia" w:hAnsiTheme="minorEastAsia" w:eastAsiaTheme="minorEastAsia" w:cstheme="minorEastAsia"/>
          <w:spacing w:val="6"/>
          <w:szCs w:val="21"/>
        </w:rPr>
        <w:t>______（请填写：中型、小型、微型）企业</w:t>
      </w:r>
      <w:bookmarkEnd w:id="232"/>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4"/>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4"/>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4"/>
    <w:bookmarkEnd w:id="135"/>
    <w:bookmarkEnd w:id="136"/>
    <w:bookmarkEnd w:id="137"/>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33" w:name="_Toc10938"/>
      <w:bookmarkStart w:id="234" w:name="_Toc4320"/>
      <w:bookmarkStart w:id="235" w:name="_Toc479184141"/>
      <w:bookmarkStart w:id="236" w:name="_Toc30406"/>
      <w:bookmarkStart w:id="237" w:name="_Toc7229"/>
      <w:bookmarkStart w:id="238" w:name="_Toc476839034"/>
      <w:r>
        <w:rPr>
          <w:rFonts w:hint="eastAsia" w:asciiTheme="minorEastAsia" w:hAnsiTheme="minorEastAsia" w:eastAsiaTheme="minorEastAsia" w:cstheme="minorEastAsia"/>
          <w:b/>
          <w:bCs/>
          <w:spacing w:val="6"/>
          <w:szCs w:val="21"/>
          <w:lang w:val="en-US" w:eastAsia="zh-CN"/>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3"/>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39" w:name="_Toc29274"/>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十七</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9"/>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40" w:name="_Toc12100"/>
      <w:r>
        <w:rPr>
          <w:rFonts w:hint="eastAsia" w:asciiTheme="minorEastAsia" w:hAnsiTheme="minorEastAsia" w:eastAsiaTheme="minorEastAsia" w:cstheme="minorEastAsia"/>
          <w:b/>
          <w:lang w:val="en-US" w:eastAsia="zh-CN"/>
        </w:rPr>
        <w:t>十八、节能环保产品证明材料（若符合）</w:t>
      </w:r>
      <w:bookmarkEnd w:id="240"/>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41" w:name="_Toc11219"/>
      <w:r>
        <w:rPr>
          <w:rFonts w:hint="eastAsia" w:asciiTheme="minorEastAsia" w:hAnsiTheme="minorEastAsia" w:eastAsiaTheme="minorEastAsia" w:cstheme="minorEastAsia"/>
          <w:b/>
          <w:bCs/>
          <w:spacing w:val="6"/>
          <w:szCs w:val="21"/>
          <w:lang w:val="en-US" w:eastAsia="zh-CN"/>
        </w:rPr>
        <w:t>十九</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34"/>
      <w:bookmarkEnd w:id="235"/>
      <w:bookmarkEnd w:id="236"/>
      <w:bookmarkEnd w:id="237"/>
      <w:bookmarkEnd w:id="238"/>
      <w:bookmarkEnd w:id="241"/>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hint="eastAsia"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jc w:val="center"/>
        <w:outlineLvl w:val="1"/>
        <w:rPr>
          <w:rFonts w:hint="eastAsia"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pacing w:val="6"/>
          <w:szCs w:val="21"/>
        </w:rPr>
        <w:br w:type="page"/>
      </w:r>
      <w:bookmarkStart w:id="242" w:name="_Toc4144"/>
      <w:r>
        <w:rPr>
          <w:rFonts w:hint="eastAsia" w:asciiTheme="minorEastAsia" w:hAnsiTheme="minorEastAsia" w:eastAsiaTheme="minorEastAsia" w:cstheme="minorEastAsia"/>
          <w:b/>
          <w:bCs/>
          <w:spacing w:val="6"/>
          <w:szCs w:val="21"/>
          <w:lang w:val="en-US" w:eastAsia="zh-CN"/>
        </w:rPr>
        <w:t>二十、参加本次政府采购活动前3年内发生诉讼及仲裁情况表</w:t>
      </w:r>
      <w:bookmarkEnd w:id="242"/>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43" w:name="_Toc14632"/>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43"/>
    </w:p>
    <w:sectPr>
      <w:footerReference r:id="rId8"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jc w:val="center"/>
                          </w:pPr>
                          <w:r>
                            <w:fldChar w:fldCharType="begin"/>
                          </w:r>
                          <w:r>
                            <w:instrText xml:space="preserve"> PAGE   \* MERGEFORMAT </w:instrText>
                          </w:r>
                          <w:r>
                            <w:fldChar w:fldCharType="separate"/>
                          </w:r>
                          <w:r>
                            <w:rPr>
                              <w:lang w:val="zh-CN"/>
                            </w:rPr>
                            <w:t>5</w:t>
                          </w:r>
                          <w: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ls+wAQAA&#10;TgMAAA4AAAAAAAAAAQAgAAAAHgEAAGRycy9lMm9Eb2MueG1sUEsFBgAAAAAGAAYAWQEAAEAFAAAA&#10;AA==&#10;">
              <v:fill on="f" focussize="0,0"/>
              <v:stroke on="f"/>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rPr>
                        <w:lang w:val="zh-CN"/>
                      </w:rP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EF06531E"/>
    <w:multiLevelType w:val="singleLevel"/>
    <w:tmpl w:val="EF06531E"/>
    <w:lvl w:ilvl="0" w:tentative="0">
      <w:start w:val="7"/>
      <w:numFmt w:val="decimal"/>
      <w:suff w:val="nothing"/>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1"/>
  </w:num>
  <w:num w:numId="3">
    <w:abstractNumId w:val="18"/>
  </w:num>
  <w:num w:numId="4">
    <w:abstractNumId w:val="27"/>
  </w:num>
  <w:num w:numId="5">
    <w:abstractNumId w:val="13"/>
  </w:num>
  <w:num w:numId="6">
    <w:abstractNumId w:val="2"/>
  </w:num>
  <w:num w:numId="7">
    <w:abstractNumId w:val="1"/>
  </w:num>
  <w:num w:numId="8">
    <w:abstractNumId w:val="31"/>
  </w:num>
  <w:num w:numId="9">
    <w:abstractNumId w:val="15"/>
  </w:num>
  <w:num w:numId="10">
    <w:abstractNumId w:val="9"/>
  </w:num>
  <w:num w:numId="11">
    <w:abstractNumId w:val="14"/>
  </w:num>
  <w:num w:numId="12">
    <w:abstractNumId w:val="33"/>
  </w:num>
  <w:num w:numId="13">
    <w:abstractNumId w:val="43"/>
  </w:num>
  <w:num w:numId="14">
    <w:abstractNumId w:val="44"/>
  </w:num>
  <w:num w:numId="15">
    <w:abstractNumId w:val="26"/>
  </w:num>
  <w:num w:numId="16">
    <w:abstractNumId w:val="29"/>
  </w:num>
  <w:num w:numId="17">
    <w:abstractNumId w:val="32"/>
  </w:num>
  <w:num w:numId="18">
    <w:abstractNumId w:val="34"/>
  </w:num>
  <w:num w:numId="19">
    <w:abstractNumId w:val="4"/>
  </w:num>
  <w:num w:numId="20">
    <w:abstractNumId w:val="36"/>
  </w:num>
  <w:num w:numId="21">
    <w:abstractNumId w:val="6"/>
  </w:num>
  <w:num w:numId="22">
    <w:abstractNumId w:val="24"/>
  </w:num>
  <w:num w:numId="23">
    <w:abstractNumId w:val="20"/>
  </w:num>
  <w:num w:numId="24">
    <w:abstractNumId w:val="39"/>
  </w:num>
  <w:num w:numId="25">
    <w:abstractNumId w:val="12"/>
  </w:num>
  <w:num w:numId="26">
    <w:abstractNumId w:val="25"/>
  </w:num>
  <w:num w:numId="27">
    <w:abstractNumId w:val="8"/>
  </w:num>
  <w:num w:numId="28">
    <w:abstractNumId w:val="38"/>
  </w:num>
  <w:num w:numId="29">
    <w:abstractNumId w:val="42"/>
  </w:num>
  <w:num w:numId="30">
    <w:abstractNumId w:val="28"/>
  </w:num>
  <w:num w:numId="31">
    <w:abstractNumId w:val="22"/>
  </w:num>
  <w:num w:numId="32">
    <w:abstractNumId w:val="10"/>
  </w:num>
  <w:num w:numId="33">
    <w:abstractNumId w:val="19"/>
  </w:num>
  <w:num w:numId="34">
    <w:abstractNumId w:val="41"/>
  </w:num>
  <w:num w:numId="35">
    <w:abstractNumId w:val="23"/>
  </w:num>
  <w:num w:numId="36">
    <w:abstractNumId w:val="40"/>
  </w:num>
  <w:num w:numId="37">
    <w:abstractNumId w:val="35"/>
  </w:num>
  <w:num w:numId="38">
    <w:abstractNumId w:val="16"/>
  </w:num>
  <w:num w:numId="39">
    <w:abstractNumId w:val="30"/>
  </w:num>
  <w:num w:numId="40">
    <w:abstractNumId w:val="3"/>
  </w:num>
  <w:num w:numId="41">
    <w:abstractNumId w:val="17"/>
  </w:num>
  <w:num w:numId="42">
    <w:abstractNumId w:val="21"/>
  </w:num>
  <w:num w:numId="43">
    <w:abstractNumId w:val="7"/>
  </w:num>
  <w:num w:numId="44">
    <w:abstractNumId w:val="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9D4FA6"/>
    <w:rsid w:val="02A9706C"/>
    <w:rsid w:val="02DE374B"/>
    <w:rsid w:val="031C10FC"/>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6E7D96"/>
    <w:rsid w:val="048B6224"/>
    <w:rsid w:val="049C3EF3"/>
    <w:rsid w:val="04BC1BA0"/>
    <w:rsid w:val="04CC4566"/>
    <w:rsid w:val="04FD23FC"/>
    <w:rsid w:val="05005426"/>
    <w:rsid w:val="053F6ED6"/>
    <w:rsid w:val="055A38B5"/>
    <w:rsid w:val="059C5F8E"/>
    <w:rsid w:val="05AD5736"/>
    <w:rsid w:val="05CA2818"/>
    <w:rsid w:val="05FA06DD"/>
    <w:rsid w:val="06023A8F"/>
    <w:rsid w:val="06083439"/>
    <w:rsid w:val="0611621E"/>
    <w:rsid w:val="063F258E"/>
    <w:rsid w:val="065044F8"/>
    <w:rsid w:val="0653482B"/>
    <w:rsid w:val="06B603CA"/>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2B3782"/>
    <w:rsid w:val="096A4BCE"/>
    <w:rsid w:val="098226D8"/>
    <w:rsid w:val="09894939"/>
    <w:rsid w:val="09A02CD8"/>
    <w:rsid w:val="0A165448"/>
    <w:rsid w:val="0A502EA2"/>
    <w:rsid w:val="0A5758F7"/>
    <w:rsid w:val="0A67144A"/>
    <w:rsid w:val="0A71618F"/>
    <w:rsid w:val="0A7E1671"/>
    <w:rsid w:val="0AA37590"/>
    <w:rsid w:val="0ABF3565"/>
    <w:rsid w:val="0AC16F66"/>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A32A0E"/>
    <w:rsid w:val="0FC5121F"/>
    <w:rsid w:val="0FC52200"/>
    <w:rsid w:val="0FC57219"/>
    <w:rsid w:val="0FE229AD"/>
    <w:rsid w:val="0FF11896"/>
    <w:rsid w:val="0FF743B8"/>
    <w:rsid w:val="104114BC"/>
    <w:rsid w:val="104F21E7"/>
    <w:rsid w:val="10681B45"/>
    <w:rsid w:val="10D545EB"/>
    <w:rsid w:val="10E51E7E"/>
    <w:rsid w:val="1109548A"/>
    <w:rsid w:val="11156035"/>
    <w:rsid w:val="111F2499"/>
    <w:rsid w:val="11296D36"/>
    <w:rsid w:val="1146103D"/>
    <w:rsid w:val="116C7384"/>
    <w:rsid w:val="12305D0B"/>
    <w:rsid w:val="12595354"/>
    <w:rsid w:val="12676ACE"/>
    <w:rsid w:val="128C79F5"/>
    <w:rsid w:val="12987FD1"/>
    <w:rsid w:val="12D57C7C"/>
    <w:rsid w:val="12DE2F04"/>
    <w:rsid w:val="12F453F7"/>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D691C"/>
    <w:rsid w:val="16333435"/>
    <w:rsid w:val="16391530"/>
    <w:rsid w:val="166C136C"/>
    <w:rsid w:val="168C0198"/>
    <w:rsid w:val="16C6539F"/>
    <w:rsid w:val="16C83962"/>
    <w:rsid w:val="16ED23AA"/>
    <w:rsid w:val="1730286B"/>
    <w:rsid w:val="173E2364"/>
    <w:rsid w:val="1761710C"/>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E02FC"/>
    <w:rsid w:val="19BA1CE3"/>
    <w:rsid w:val="19DF55C2"/>
    <w:rsid w:val="1A0C61A8"/>
    <w:rsid w:val="1A132F57"/>
    <w:rsid w:val="1A300E03"/>
    <w:rsid w:val="1A5F760F"/>
    <w:rsid w:val="1A6F3E95"/>
    <w:rsid w:val="1A6F6E85"/>
    <w:rsid w:val="1AB70FFB"/>
    <w:rsid w:val="1AD51B88"/>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B23C30"/>
    <w:rsid w:val="21D5663A"/>
    <w:rsid w:val="21DE0782"/>
    <w:rsid w:val="220D5F91"/>
    <w:rsid w:val="220F017A"/>
    <w:rsid w:val="223D6488"/>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55011A3"/>
    <w:rsid w:val="255D2F2A"/>
    <w:rsid w:val="256C5A3D"/>
    <w:rsid w:val="257963F1"/>
    <w:rsid w:val="25A7402B"/>
    <w:rsid w:val="25E026D0"/>
    <w:rsid w:val="25FE15DC"/>
    <w:rsid w:val="26806C09"/>
    <w:rsid w:val="26863962"/>
    <w:rsid w:val="26FA6E39"/>
    <w:rsid w:val="271E4603"/>
    <w:rsid w:val="272A0710"/>
    <w:rsid w:val="27555997"/>
    <w:rsid w:val="276E4B45"/>
    <w:rsid w:val="277E0E1B"/>
    <w:rsid w:val="27BC1BE9"/>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E6F83"/>
    <w:rsid w:val="2C620007"/>
    <w:rsid w:val="2CD367CC"/>
    <w:rsid w:val="2CDD2B9E"/>
    <w:rsid w:val="2CE233A0"/>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304B4"/>
    <w:rsid w:val="2F1B0798"/>
    <w:rsid w:val="2F235807"/>
    <w:rsid w:val="2F4F0438"/>
    <w:rsid w:val="2F506BFB"/>
    <w:rsid w:val="2F7E2CC0"/>
    <w:rsid w:val="2F921764"/>
    <w:rsid w:val="2F98405A"/>
    <w:rsid w:val="2FD11EB8"/>
    <w:rsid w:val="303D5772"/>
    <w:rsid w:val="306E40F7"/>
    <w:rsid w:val="30B15581"/>
    <w:rsid w:val="30B93848"/>
    <w:rsid w:val="30BE1DE8"/>
    <w:rsid w:val="31253510"/>
    <w:rsid w:val="31267F68"/>
    <w:rsid w:val="313177AD"/>
    <w:rsid w:val="31341EAD"/>
    <w:rsid w:val="31423CC5"/>
    <w:rsid w:val="3157256E"/>
    <w:rsid w:val="31665B97"/>
    <w:rsid w:val="31854B7E"/>
    <w:rsid w:val="31E86EE4"/>
    <w:rsid w:val="31FD6157"/>
    <w:rsid w:val="32171B71"/>
    <w:rsid w:val="322B53E9"/>
    <w:rsid w:val="32915ABA"/>
    <w:rsid w:val="329C1497"/>
    <w:rsid w:val="32D72576"/>
    <w:rsid w:val="32D93319"/>
    <w:rsid w:val="330D0307"/>
    <w:rsid w:val="332C3D97"/>
    <w:rsid w:val="3360351F"/>
    <w:rsid w:val="33620CB2"/>
    <w:rsid w:val="33B17CDB"/>
    <w:rsid w:val="33E04B57"/>
    <w:rsid w:val="33FA7456"/>
    <w:rsid w:val="34024883"/>
    <w:rsid w:val="342C6E98"/>
    <w:rsid w:val="343E2F3B"/>
    <w:rsid w:val="344F7140"/>
    <w:rsid w:val="34755DB1"/>
    <w:rsid w:val="349E0FB2"/>
    <w:rsid w:val="34A96A1A"/>
    <w:rsid w:val="34B370D1"/>
    <w:rsid w:val="34CA52FD"/>
    <w:rsid w:val="34E622D6"/>
    <w:rsid w:val="3518700F"/>
    <w:rsid w:val="352F2FF3"/>
    <w:rsid w:val="35375748"/>
    <w:rsid w:val="35486C73"/>
    <w:rsid w:val="359E09BB"/>
    <w:rsid w:val="35E95284"/>
    <w:rsid w:val="361A4DE1"/>
    <w:rsid w:val="361F592F"/>
    <w:rsid w:val="362F79EA"/>
    <w:rsid w:val="36516B14"/>
    <w:rsid w:val="36556C85"/>
    <w:rsid w:val="3675230B"/>
    <w:rsid w:val="36766F5C"/>
    <w:rsid w:val="36777C43"/>
    <w:rsid w:val="367E7A3F"/>
    <w:rsid w:val="36C1347A"/>
    <w:rsid w:val="36C31B41"/>
    <w:rsid w:val="36C532A1"/>
    <w:rsid w:val="36CE234D"/>
    <w:rsid w:val="36D347D3"/>
    <w:rsid w:val="36DA50A9"/>
    <w:rsid w:val="3736228A"/>
    <w:rsid w:val="37671725"/>
    <w:rsid w:val="376F122C"/>
    <w:rsid w:val="3798526A"/>
    <w:rsid w:val="37B72EB1"/>
    <w:rsid w:val="37C806F3"/>
    <w:rsid w:val="37C85C3C"/>
    <w:rsid w:val="37CF1603"/>
    <w:rsid w:val="38585500"/>
    <w:rsid w:val="385D1C71"/>
    <w:rsid w:val="388E1434"/>
    <w:rsid w:val="38BA5460"/>
    <w:rsid w:val="38C62FF5"/>
    <w:rsid w:val="38D62476"/>
    <w:rsid w:val="38E27127"/>
    <w:rsid w:val="39027E88"/>
    <w:rsid w:val="39075875"/>
    <w:rsid w:val="391904A1"/>
    <w:rsid w:val="391C718D"/>
    <w:rsid w:val="392569B6"/>
    <w:rsid w:val="394D30B0"/>
    <w:rsid w:val="39624091"/>
    <w:rsid w:val="397C6037"/>
    <w:rsid w:val="39D43B66"/>
    <w:rsid w:val="39EC03FA"/>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E55C20"/>
    <w:rsid w:val="3BFE1CAB"/>
    <w:rsid w:val="3C10260E"/>
    <w:rsid w:val="3C274A05"/>
    <w:rsid w:val="3C7511AE"/>
    <w:rsid w:val="3CA977D2"/>
    <w:rsid w:val="3CC733AF"/>
    <w:rsid w:val="3CF76813"/>
    <w:rsid w:val="3CFC6063"/>
    <w:rsid w:val="3D1319B5"/>
    <w:rsid w:val="3D260CA6"/>
    <w:rsid w:val="3D520CCB"/>
    <w:rsid w:val="3D5C6974"/>
    <w:rsid w:val="3D6678B0"/>
    <w:rsid w:val="3D772181"/>
    <w:rsid w:val="3D823D30"/>
    <w:rsid w:val="3D8963FB"/>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824C5"/>
    <w:rsid w:val="407A60D5"/>
    <w:rsid w:val="40961808"/>
    <w:rsid w:val="40AB4DEE"/>
    <w:rsid w:val="40D24BBE"/>
    <w:rsid w:val="40EC4043"/>
    <w:rsid w:val="412008E0"/>
    <w:rsid w:val="413A6D3B"/>
    <w:rsid w:val="41515AC7"/>
    <w:rsid w:val="41902B9F"/>
    <w:rsid w:val="41A74D38"/>
    <w:rsid w:val="41C02331"/>
    <w:rsid w:val="41C13A63"/>
    <w:rsid w:val="41C67037"/>
    <w:rsid w:val="41D229E1"/>
    <w:rsid w:val="41EC6E94"/>
    <w:rsid w:val="41F72149"/>
    <w:rsid w:val="42415ACC"/>
    <w:rsid w:val="427D539F"/>
    <w:rsid w:val="42991E30"/>
    <w:rsid w:val="42CE0B28"/>
    <w:rsid w:val="42CF6367"/>
    <w:rsid w:val="42DE1CCC"/>
    <w:rsid w:val="42FC0B99"/>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34C6B"/>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CF0DF8"/>
    <w:rsid w:val="46CF6860"/>
    <w:rsid w:val="46D855B9"/>
    <w:rsid w:val="470D2C74"/>
    <w:rsid w:val="477570F1"/>
    <w:rsid w:val="47B41AAA"/>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3F3F40"/>
    <w:rsid w:val="49401E21"/>
    <w:rsid w:val="49471A02"/>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E60E3"/>
    <w:rsid w:val="4CEE1D13"/>
    <w:rsid w:val="4D032DA9"/>
    <w:rsid w:val="4D0C6DBE"/>
    <w:rsid w:val="4D25615C"/>
    <w:rsid w:val="4D36054D"/>
    <w:rsid w:val="4D41137F"/>
    <w:rsid w:val="4D524AEA"/>
    <w:rsid w:val="4D5724F7"/>
    <w:rsid w:val="4D757452"/>
    <w:rsid w:val="4D8C3F82"/>
    <w:rsid w:val="4DBC14B8"/>
    <w:rsid w:val="4DE936C7"/>
    <w:rsid w:val="4DE9556F"/>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20D1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0CE6F7B"/>
    <w:rsid w:val="50E555DB"/>
    <w:rsid w:val="510D0F23"/>
    <w:rsid w:val="51197B59"/>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D11119"/>
    <w:rsid w:val="55DB1F79"/>
    <w:rsid w:val="560A42BD"/>
    <w:rsid w:val="560C1D89"/>
    <w:rsid w:val="56353B20"/>
    <w:rsid w:val="56443B98"/>
    <w:rsid w:val="56453A77"/>
    <w:rsid w:val="564C39DF"/>
    <w:rsid w:val="56757259"/>
    <w:rsid w:val="56CB4BCB"/>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A1500"/>
    <w:rsid w:val="58BA45A1"/>
    <w:rsid w:val="594F6915"/>
    <w:rsid w:val="59737A65"/>
    <w:rsid w:val="59842DF4"/>
    <w:rsid w:val="59A0359A"/>
    <w:rsid w:val="59E52D9A"/>
    <w:rsid w:val="5A300449"/>
    <w:rsid w:val="5A482DEE"/>
    <w:rsid w:val="5A55295D"/>
    <w:rsid w:val="5A7E104A"/>
    <w:rsid w:val="5A8208A0"/>
    <w:rsid w:val="5A861FD5"/>
    <w:rsid w:val="5AA12D3B"/>
    <w:rsid w:val="5ADE2E08"/>
    <w:rsid w:val="5AE3253A"/>
    <w:rsid w:val="5AE3735A"/>
    <w:rsid w:val="5AEA30C9"/>
    <w:rsid w:val="5AEA3475"/>
    <w:rsid w:val="5AF54C6B"/>
    <w:rsid w:val="5B087B94"/>
    <w:rsid w:val="5B0C2FBE"/>
    <w:rsid w:val="5B0E3E89"/>
    <w:rsid w:val="5B124740"/>
    <w:rsid w:val="5B3E7FCE"/>
    <w:rsid w:val="5B3F66E7"/>
    <w:rsid w:val="5B872AE6"/>
    <w:rsid w:val="5BA77753"/>
    <w:rsid w:val="5BC025EF"/>
    <w:rsid w:val="5BCE23ED"/>
    <w:rsid w:val="5C1203C7"/>
    <w:rsid w:val="5C1F35AE"/>
    <w:rsid w:val="5C3905BF"/>
    <w:rsid w:val="5C66397A"/>
    <w:rsid w:val="5C7349B6"/>
    <w:rsid w:val="5C824C05"/>
    <w:rsid w:val="5C8725EE"/>
    <w:rsid w:val="5CB0251A"/>
    <w:rsid w:val="5CB97030"/>
    <w:rsid w:val="5CC97332"/>
    <w:rsid w:val="5D187049"/>
    <w:rsid w:val="5D1D2427"/>
    <w:rsid w:val="5D6C3EA2"/>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F0E1E9A"/>
    <w:rsid w:val="5F860C23"/>
    <w:rsid w:val="5FA82543"/>
    <w:rsid w:val="5FC44411"/>
    <w:rsid w:val="5FF93283"/>
    <w:rsid w:val="605C7AA6"/>
    <w:rsid w:val="605F132B"/>
    <w:rsid w:val="608510A4"/>
    <w:rsid w:val="608762FF"/>
    <w:rsid w:val="609E1C45"/>
    <w:rsid w:val="60BD4FD1"/>
    <w:rsid w:val="60D507D0"/>
    <w:rsid w:val="60EA1511"/>
    <w:rsid w:val="60EB6C34"/>
    <w:rsid w:val="60FD5C7B"/>
    <w:rsid w:val="613D7E7B"/>
    <w:rsid w:val="617162E9"/>
    <w:rsid w:val="617C62A5"/>
    <w:rsid w:val="61A52BAA"/>
    <w:rsid w:val="61B160E0"/>
    <w:rsid w:val="61FA0AE4"/>
    <w:rsid w:val="622038EC"/>
    <w:rsid w:val="623438BB"/>
    <w:rsid w:val="624B10F0"/>
    <w:rsid w:val="624F3E48"/>
    <w:rsid w:val="62635981"/>
    <w:rsid w:val="629B3E75"/>
    <w:rsid w:val="629B5D43"/>
    <w:rsid w:val="62A36D1F"/>
    <w:rsid w:val="62A40365"/>
    <w:rsid w:val="62A469A9"/>
    <w:rsid w:val="62A92FF1"/>
    <w:rsid w:val="62B90FFE"/>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192E18"/>
    <w:rsid w:val="65A8075B"/>
    <w:rsid w:val="65B221E6"/>
    <w:rsid w:val="66426031"/>
    <w:rsid w:val="66593B74"/>
    <w:rsid w:val="66651C8A"/>
    <w:rsid w:val="66675176"/>
    <w:rsid w:val="669F2C65"/>
    <w:rsid w:val="66B94751"/>
    <w:rsid w:val="66BE6B53"/>
    <w:rsid w:val="66C55FD8"/>
    <w:rsid w:val="66D333AF"/>
    <w:rsid w:val="67192A34"/>
    <w:rsid w:val="671E368C"/>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85557D"/>
    <w:rsid w:val="68A8123A"/>
    <w:rsid w:val="68B84F4C"/>
    <w:rsid w:val="69055229"/>
    <w:rsid w:val="6929374C"/>
    <w:rsid w:val="692F20BB"/>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15CEA"/>
    <w:rsid w:val="6C725FD7"/>
    <w:rsid w:val="6C852D02"/>
    <w:rsid w:val="6CC0649B"/>
    <w:rsid w:val="6CEA2C90"/>
    <w:rsid w:val="6CFA5C74"/>
    <w:rsid w:val="6D1E228A"/>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F9461D"/>
    <w:rsid w:val="6F1348E9"/>
    <w:rsid w:val="6F2A01FE"/>
    <w:rsid w:val="6F2A71A4"/>
    <w:rsid w:val="6F9415EA"/>
    <w:rsid w:val="6FB72F84"/>
    <w:rsid w:val="6FCA5E7C"/>
    <w:rsid w:val="6FE3419F"/>
    <w:rsid w:val="6FF778F1"/>
    <w:rsid w:val="700346D4"/>
    <w:rsid w:val="700706FE"/>
    <w:rsid w:val="70287F2C"/>
    <w:rsid w:val="7065173B"/>
    <w:rsid w:val="70AF69EB"/>
    <w:rsid w:val="70F97D93"/>
    <w:rsid w:val="71181113"/>
    <w:rsid w:val="711D7CA6"/>
    <w:rsid w:val="71227E63"/>
    <w:rsid w:val="71614B6B"/>
    <w:rsid w:val="718D2905"/>
    <w:rsid w:val="719909D2"/>
    <w:rsid w:val="719B61D4"/>
    <w:rsid w:val="71A10922"/>
    <w:rsid w:val="71A90E8B"/>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9E2818"/>
    <w:rsid w:val="74BE4E97"/>
    <w:rsid w:val="74D504C8"/>
    <w:rsid w:val="74F679F1"/>
    <w:rsid w:val="74F841F7"/>
    <w:rsid w:val="75003D28"/>
    <w:rsid w:val="750445F2"/>
    <w:rsid w:val="751D637E"/>
    <w:rsid w:val="751F2555"/>
    <w:rsid w:val="753504B8"/>
    <w:rsid w:val="75466A74"/>
    <w:rsid w:val="75604B34"/>
    <w:rsid w:val="758418D8"/>
    <w:rsid w:val="75A17528"/>
    <w:rsid w:val="75AA6AC3"/>
    <w:rsid w:val="75B749A9"/>
    <w:rsid w:val="75CD3F16"/>
    <w:rsid w:val="76781DCD"/>
    <w:rsid w:val="76B83581"/>
    <w:rsid w:val="76D84698"/>
    <w:rsid w:val="775865D7"/>
    <w:rsid w:val="775B4584"/>
    <w:rsid w:val="776234AF"/>
    <w:rsid w:val="776D12AE"/>
    <w:rsid w:val="77AD0FE0"/>
    <w:rsid w:val="77BE7384"/>
    <w:rsid w:val="78821B50"/>
    <w:rsid w:val="788E2A2A"/>
    <w:rsid w:val="78BC088E"/>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3705D"/>
    <w:rsid w:val="7A9E7BE0"/>
    <w:rsid w:val="7AFF6437"/>
    <w:rsid w:val="7B021BF1"/>
    <w:rsid w:val="7B583BC8"/>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4</TotalTime>
  <ScaleCrop>false</ScaleCrop>
  <LinksUpToDate>false</LinksUpToDate>
  <CharactersWithSpaces>29889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Annie</cp:lastModifiedBy>
  <cp:lastPrinted>2019-09-01T07:55:00Z</cp:lastPrinted>
  <dcterms:modified xsi:type="dcterms:W3CDTF">2020-07-28T09:10:49Z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