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2065" b="762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rPr>
          <w:rFonts w:asciiTheme="minorEastAsia" w:hAnsiTheme="minorEastAsia" w:eastAsiaTheme="minorEastAsia" w:cstheme="minorEastAsia"/>
          <w:sz w:val="28"/>
        </w:rPr>
      </w:pPr>
    </w:p>
    <w:p>
      <w:pPr>
        <w:kinsoku w:val="0"/>
        <w:overflowPunct w:val="0"/>
        <w:ind w:right="17"/>
        <w:jc w:val="center"/>
        <w:rPr>
          <w:rFonts w:asciiTheme="minorEastAsia" w:hAnsiTheme="minorEastAsia" w:eastAsiaTheme="minorEastAsia" w:cstheme="minorEastAsia"/>
          <w:sz w:val="28"/>
        </w:rPr>
      </w:pPr>
    </w:p>
    <w:p>
      <w:pPr>
        <w:kinsoku w:val="0"/>
        <w:overflowPunct w:val="0"/>
        <w:ind w:right="17"/>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br w:type="textWrapping"/>
      </w:r>
      <w:r>
        <w:rPr>
          <w:rFonts w:hint="eastAsia" w:asciiTheme="minorEastAsia" w:hAnsiTheme="minorEastAsia" w:eastAsiaTheme="minorEastAsia" w:cstheme="minorEastAsia"/>
          <w:sz w:val="28"/>
        </w:rPr>
        <w:br w:type="textWrapping"/>
      </w:r>
    </w:p>
    <w:p>
      <w:pPr>
        <w:pStyle w:val="10"/>
        <w:kinsoku w:val="0"/>
        <w:overflowPunct w:val="0"/>
        <w:spacing w:before="194"/>
        <w:jc w:val="center"/>
        <w:rPr>
          <w:rFonts w:asciiTheme="minorEastAsia" w:hAnsiTheme="minorEastAsia" w:eastAsiaTheme="minorEastAsia" w:cstheme="minorEastAsia"/>
          <w:sz w:val="92"/>
        </w:rPr>
      </w:pPr>
      <w:r>
        <w:rPr>
          <w:rFonts w:hint="eastAsia" w:asciiTheme="minorEastAsia" w:hAnsiTheme="minorEastAsia" w:eastAsiaTheme="minorEastAsia" w:cstheme="minorEastAsia"/>
          <w:shadow/>
          <w:sz w:val="92"/>
        </w:rPr>
        <w:t>竞争性磋商采购文件</w:t>
      </w:r>
    </w:p>
    <w:p>
      <w:pPr>
        <w:pStyle w:val="10"/>
        <w:kinsoku w:val="0"/>
        <w:overflowPunct w:val="0"/>
        <w:rPr>
          <w:rFonts w:asciiTheme="minorEastAsia" w:hAnsiTheme="minorEastAsia" w:eastAsiaTheme="minorEastAsia" w:cstheme="minorEastAsia"/>
          <w:sz w:val="20"/>
        </w:rPr>
      </w:pPr>
    </w:p>
    <w:p>
      <w:pPr>
        <w:pStyle w:val="10"/>
        <w:kinsoku w:val="0"/>
        <w:overflowPunct w:val="0"/>
        <w:jc w:val="center"/>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spacing w:before="2" w:after="1"/>
        <w:rPr>
          <w:rFonts w:asciiTheme="minorEastAsia" w:hAnsiTheme="minorEastAsia" w:eastAsiaTheme="minorEastAsia" w:cstheme="minorEastAsia"/>
          <w:sz w:val="11"/>
        </w:rPr>
      </w:pPr>
    </w:p>
    <w:tbl>
      <w:tblPr>
        <w:tblStyle w:val="26"/>
        <w:tblW w:w="8146" w:type="dxa"/>
        <w:tblInd w:w="690" w:type="dxa"/>
        <w:tblLayout w:type="fixed"/>
        <w:tblCellMar>
          <w:top w:w="0" w:type="dxa"/>
          <w:left w:w="0" w:type="dxa"/>
          <w:bottom w:w="0" w:type="dxa"/>
          <w:right w:w="0" w:type="dxa"/>
        </w:tblCellMar>
      </w:tblPr>
      <w:tblGrid>
        <w:gridCol w:w="2093"/>
        <w:gridCol w:w="6053"/>
      </w:tblGrid>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line="320" w:lineRule="exact"/>
              <w:ind w:right="53" w:rightChars="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预算执行计划：</w:t>
            </w:r>
          </w:p>
        </w:tc>
        <w:tc>
          <w:tcPr>
            <w:tcW w:w="6053" w:type="dxa"/>
            <w:tcBorders>
              <w:top w:val="nil"/>
              <w:left w:val="nil"/>
              <w:bottom w:val="nil"/>
              <w:right w:val="nil"/>
              <w:tl2br w:val="nil"/>
              <w:tr2bl w:val="nil"/>
            </w:tcBorders>
            <w:vAlign w:val="center"/>
          </w:tcPr>
          <w:p>
            <w:pPr>
              <w:pStyle w:val="95"/>
              <w:kinsoku w:val="0"/>
              <w:overflowPunct w:val="0"/>
              <w:spacing w:line="320" w:lineRule="exact"/>
              <w:ind w:left="55" w:leftChars="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ind w:right="53" w:rightChars="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项</w:t>
            </w:r>
            <w:r>
              <w:rPr>
                <w:rFonts w:hint="eastAsia" w:asciiTheme="minorEastAsia" w:hAnsiTheme="minorEastAsia" w:eastAsiaTheme="minorEastAsia" w:cstheme="minorEastAsia"/>
                <w:b/>
                <w:sz w:val="28"/>
                <w:lang w:val="en-US" w:eastAsia="zh-CN"/>
              </w:rPr>
              <w:t xml:space="preserve"> </w:t>
            </w:r>
            <w:r>
              <w:rPr>
                <w:rFonts w:asciiTheme="minorEastAsia" w:hAnsiTheme="minorEastAsia" w:eastAsiaTheme="minorEastAsia" w:cstheme="minorEastAsia"/>
                <w:b/>
                <w:sz w:val="28"/>
              </w:rPr>
              <w:t>目</w:t>
            </w:r>
            <w:r>
              <w:rPr>
                <w:rFonts w:hint="eastAsia" w:asciiTheme="minorEastAsia" w:hAnsiTheme="minorEastAsia" w:eastAsiaTheme="minorEastAsia" w:cstheme="minorEastAsia"/>
                <w:b/>
                <w:sz w:val="28"/>
                <w:lang w:val="en-US" w:eastAsia="zh-CN"/>
              </w:rPr>
              <w:t xml:space="preserve">  </w:t>
            </w:r>
            <w:r>
              <w:rPr>
                <w:rFonts w:asciiTheme="minorEastAsia" w:hAnsiTheme="minorEastAsia" w:eastAsiaTheme="minorEastAsia" w:cstheme="minorEastAsia"/>
                <w:b/>
                <w:sz w:val="28"/>
              </w:rPr>
              <w:t>编</w:t>
            </w:r>
            <w:r>
              <w:rPr>
                <w:rFonts w:hint="eastAsia" w:asciiTheme="minorEastAsia" w:hAnsiTheme="minorEastAsia" w:eastAsiaTheme="minorEastAsia" w:cstheme="minorEastAsia"/>
                <w:b/>
                <w:sz w:val="28"/>
                <w:lang w:val="en-US" w:eastAsia="zh-CN"/>
              </w:rPr>
              <w:t xml:space="preserve"> </w:t>
            </w:r>
            <w:r>
              <w:rPr>
                <w:rFonts w:asciiTheme="minorEastAsia" w:hAnsiTheme="minorEastAsia" w:eastAsiaTheme="minorEastAsia" w:cstheme="minorEastAsia"/>
                <w:b/>
                <w:sz w:val="28"/>
              </w:rPr>
              <w:t>号：</w:t>
            </w:r>
          </w:p>
        </w:tc>
        <w:tc>
          <w:tcPr>
            <w:tcW w:w="6053" w:type="dxa"/>
            <w:tcBorders>
              <w:top w:val="nil"/>
              <w:left w:val="nil"/>
              <w:bottom w:val="nil"/>
              <w:right w:val="nil"/>
              <w:tl2br w:val="nil"/>
              <w:tr2bl w:val="nil"/>
            </w:tcBorders>
            <w:vAlign w:val="center"/>
          </w:tcPr>
          <w:p>
            <w:pPr>
              <w:pStyle w:val="95"/>
              <w:kinsoku w:val="0"/>
              <w:overflowPunct w:val="0"/>
              <w:spacing w:before="122"/>
              <w:ind w:left="55" w:leftChars="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ZJZB-202007-202</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ind w:right="53" w:rightChars="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项</w:t>
            </w:r>
            <w:r>
              <w:rPr>
                <w:rFonts w:hint="eastAsia" w:asciiTheme="minorEastAsia" w:hAnsiTheme="minorEastAsia" w:eastAsiaTheme="minorEastAsia" w:cstheme="minorEastAsia"/>
                <w:b/>
                <w:sz w:val="28"/>
                <w:lang w:val="en-US" w:eastAsia="zh-CN"/>
              </w:rPr>
              <w:t xml:space="preserve"> </w:t>
            </w:r>
            <w:r>
              <w:rPr>
                <w:rFonts w:asciiTheme="minorEastAsia" w:hAnsiTheme="minorEastAsia" w:eastAsiaTheme="minorEastAsia" w:cstheme="minorEastAsia"/>
                <w:b/>
                <w:sz w:val="28"/>
              </w:rPr>
              <w:t>目</w:t>
            </w:r>
            <w:r>
              <w:rPr>
                <w:rFonts w:hint="eastAsia" w:asciiTheme="minorEastAsia" w:hAnsiTheme="minorEastAsia" w:eastAsiaTheme="minorEastAsia" w:cstheme="minorEastAsia"/>
                <w:b/>
                <w:sz w:val="28"/>
                <w:lang w:val="en-US" w:eastAsia="zh-CN"/>
              </w:rPr>
              <w:t xml:space="preserve">  </w:t>
            </w:r>
            <w:r>
              <w:rPr>
                <w:rFonts w:asciiTheme="minorEastAsia" w:hAnsiTheme="minorEastAsia" w:eastAsiaTheme="minorEastAsia" w:cstheme="minorEastAsia"/>
                <w:b/>
                <w:sz w:val="28"/>
              </w:rPr>
              <w:t>名</w:t>
            </w:r>
            <w:r>
              <w:rPr>
                <w:rFonts w:hint="eastAsia" w:asciiTheme="minorEastAsia" w:hAnsiTheme="minorEastAsia" w:eastAsiaTheme="minorEastAsia" w:cstheme="minorEastAsia"/>
                <w:b/>
                <w:sz w:val="28"/>
                <w:lang w:val="en-US" w:eastAsia="zh-CN"/>
              </w:rPr>
              <w:t xml:space="preserve"> </w:t>
            </w:r>
            <w:r>
              <w:rPr>
                <w:rFonts w:asciiTheme="minorEastAsia" w:hAnsiTheme="minorEastAsia" w:eastAsiaTheme="minorEastAsia" w:cstheme="minorEastAsia"/>
                <w:b/>
                <w:sz w:val="28"/>
              </w:rPr>
              <w:t>称：</w:t>
            </w:r>
          </w:p>
        </w:tc>
        <w:tc>
          <w:tcPr>
            <w:tcW w:w="6053" w:type="dxa"/>
            <w:tcBorders>
              <w:top w:val="nil"/>
              <w:left w:val="nil"/>
              <w:bottom w:val="nil"/>
              <w:right w:val="nil"/>
              <w:tl2br w:val="nil"/>
              <w:tr2bl w:val="nil"/>
            </w:tcBorders>
            <w:vAlign w:val="center"/>
          </w:tcPr>
          <w:p>
            <w:pPr>
              <w:pStyle w:val="95"/>
              <w:kinsoku w:val="0"/>
              <w:overflowPunct w:val="0"/>
              <w:spacing w:before="123" w:line="242" w:lineRule="auto"/>
              <w:ind w:left="55" w:leftChars="0" w:right="136" w:rightChars="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武汉职业技术学院科教园区一食堂委托经营项目</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rightChars="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w:t>
            </w:r>
            <w:r>
              <w:rPr>
                <w:rFonts w:hint="eastAsia" w:asciiTheme="minorEastAsia" w:hAnsiTheme="minorEastAsia" w:eastAsiaTheme="minorEastAsia" w:cstheme="minorEastAsia"/>
                <w:b/>
                <w:sz w:val="28"/>
                <w:lang w:val="en-US" w:eastAsia="zh-CN"/>
              </w:rPr>
              <w:t xml:space="preserve"> </w:t>
            </w:r>
            <w:r>
              <w:rPr>
                <w:rFonts w:asciiTheme="minorEastAsia" w:hAnsiTheme="minorEastAsia" w:eastAsiaTheme="minorEastAsia" w:cstheme="minorEastAsia"/>
                <w:b/>
                <w:sz w:val="28"/>
              </w:rPr>
              <w:t>购  方 式：</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leftChars="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竞争性磋商</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rightChars="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类 别：</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leftChars="0"/>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服务</w:t>
            </w:r>
          </w:p>
        </w:tc>
      </w:tr>
    </w:tbl>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spacing w:before="4"/>
        <w:rPr>
          <w:rFonts w:asciiTheme="minorEastAsia" w:hAnsiTheme="minorEastAsia" w:eastAsiaTheme="minorEastAsia" w:cstheme="minorEastAsia"/>
          <w:sz w:val="20"/>
        </w:rPr>
      </w:pPr>
    </w:p>
    <w:tbl>
      <w:tblPr>
        <w:tblStyle w:val="26"/>
        <w:tblW w:w="8123" w:type="dxa"/>
        <w:tblInd w:w="713" w:type="dxa"/>
        <w:tblLayout w:type="fixed"/>
        <w:tblCellMar>
          <w:top w:w="0" w:type="dxa"/>
          <w:left w:w="0" w:type="dxa"/>
          <w:bottom w:w="0" w:type="dxa"/>
          <w:right w:w="0" w:type="dxa"/>
        </w:tblCellMar>
      </w:tblPr>
      <w:tblGrid>
        <w:gridCol w:w="2041"/>
        <w:gridCol w:w="6082"/>
      </w:tblGrid>
      <w:tr>
        <w:tblPrEx>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   购   人：</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武汉职业技术学院</w:t>
            </w:r>
          </w:p>
        </w:tc>
      </w:tr>
      <w:tr>
        <w:tblPrEx>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采购代理机构：</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中经国际招标集团有限公司</w:t>
            </w:r>
          </w:p>
        </w:tc>
      </w:tr>
      <w:tr>
        <w:tblPrEx>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编 制 时 间 ：</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2020年7月</w:t>
            </w:r>
          </w:p>
        </w:tc>
      </w:tr>
    </w:tbl>
    <w:p>
      <w:pPr>
        <w:rPr>
          <w:rFonts w:asciiTheme="minorEastAsia" w:hAnsiTheme="minorEastAsia" w:eastAsiaTheme="minorEastAsia" w:cstheme="minorEastAsia"/>
          <w:sz w:val="20"/>
        </w:rPr>
        <w:sectPr>
          <w:type w:val="continuous"/>
          <w:pgSz w:w="11910" w:h="16840"/>
          <w:pgMar w:top="1400" w:right="1200" w:bottom="280" w:left="1200" w:header="720" w:footer="720" w:gutter="0"/>
          <w:cols w:space="720" w:num="1"/>
        </w:sectPr>
      </w:pPr>
    </w:p>
    <w:p>
      <w:pPr>
        <w:jc w:val="center"/>
        <w:rPr>
          <w:rFonts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目  录</w:t>
      </w:r>
    </w:p>
    <w:p>
      <w:pPr>
        <w:jc w:val="center"/>
        <w:rPr>
          <w:rFonts w:asciiTheme="minorEastAsia" w:hAnsiTheme="minorEastAsia" w:eastAsiaTheme="minorEastAsia" w:cstheme="minorEastAsia"/>
          <w:b/>
          <w:bCs/>
          <w:szCs w:val="21"/>
          <w:lang w:val="zh-CN"/>
        </w:rPr>
      </w:pPr>
    </w:p>
    <w:p>
      <w:pPr>
        <w:pStyle w:val="20"/>
        <w:tabs>
          <w:tab w:val="right" w:leader="dot" w:pos="9072"/>
        </w:tabs>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TOC \o "1-3" \h \z \u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_Toc22747 </w:instrText>
      </w:r>
      <w:r>
        <w:rPr>
          <w:rFonts w:hint="eastAsia" w:asciiTheme="minorEastAsia" w:hAnsiTheme="minorEastAsia" w:eastAsiaTheme="minorEastAsia" w:cstheme="minorEastAsia"/>
        </w:rPr>
        <w:fldChar w:fldCharType="separate"/>
      </w:r>
      <w:r>
        <w:rPr>
          <w:rFonts w:hint="default"/>
          <w:bCs/>
          <w:szCs w:val="36"/>
        </w:rPr>
        <w:t xml:space="preserve">第一章 </w:t>
      </w:r>
      <w:r>
        <w:rPr>
          <w:rFonts w:hint="eastAsia" w:ascii="宋体" w:hAnsi="宋体" w:cs="宋体"/>
          <w:szCs w:val="36"/>
        </w:rPr>
        <w:t>竞争性磋商公告</w:t>
      </w:r>
      <w:r>
        <w:tab/>
      </w:r>
      <w:r>
        <w:fldChar w:fldCharType="begin"/>
      </w:r>
      <w:r>
        <w:instrText xml:space="preserve"> PAGEREF _Toc22747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_Toc22318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一、 </w:t>
      </w:r>
      <w:r>
        <w:rPr>
          <w:rFonts w:hint="eastAsia" w:ascii="宋体" w:hAnsi="宋体" w:eastAsia="宋体" w:cs="宋体"/>
          <w:szCs w:val="21"/>
        </w:rPr>
        <w:t>项目基本情况</w:t>
      </w:r>
      <w:r>
        <w:tab/>
      </w:r>
      <w:r>
        <w:fldChar w:fldCharType="begin"/>
      </w:r>
      <w:r>
        <w:instrText xml:space="preserve"> PAGEREF _Toc22318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_Toc1539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二、 </w:t>
      </w:r>
      <w:r>
        <w:rPr>
          <w:rFonts w:hint="eastAsia" w:ascii="宋体" w:hAnsi="宋体" w:eastAsia="宋体" w:cs="宋体"/>
          <w:szCs w:val="21"/>
        </w:rPr>
        <w:t>申请人的资格要求</w:t>
      </w:r>
      <w:r>
        <w:tab/>
      </w:r>
      <w:r>
        <w:fldChar w:fldCharType="begin"/>
      </w:r>
      <w:r>
        <w:instrText xml:space="preserve"> PAGEREF _Toc1539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_Toc8006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三、 </w:t>
      </w:r>
      <w:r>
        <w:rPr>
          <w:rFonts w:hint="eastAsia" w:ascii="宋体" w:hAnsi="宋体" w:eastAsia="宋体" w:cs="宋体"/>
          <w:szCs w:val="21"/>
        </w:rPr>
        <w:t>获取采购文件</w:t>
      </w:r>
      <w:r>
        <w:tab/>
      </w:r>
      <w:r>
        <w:fldChar w:fldCharType="begin"/>
      </w:r>
      <w:r>
        <w:instrText xml:space="preserve"> PAGEREF _Toc8006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_Toc14502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四、 </w:t>
      </w:r>
      <w:r>
        <w:rPr>
          <w:rFonts w:hint="eastAsia" w:ascii="宋体" w:hAnsi="宋体" w:eastAsia="宋体" w:cs="宋体"/>
          <w:szCs w:val="21"/>
        </w:rPr>
        <w:t>响应文件提交</w:t>
      </w:r>
      <w:r>
        <w:tab/>
      </w:r>
      <w:r>
        <w:fldChar w:fldCharType="begin"/>
      </w:r>
      <w:r>
        <w:instrText xml:space="preserve"> PAGEREF _Toc14502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_Toc31167 </w:instrText>
      </w:r>
      <w:r>
        <w:rPr>
          <w:rFonts w:hint="eastAsia" w:asciiTheme="minorEastAsia" w:hAnsiTheme="minorEastAsia" w:eastAsiaTheme="minorEastAsia" w:cstheme="minorEastAsia"/>
        </w:rPr>
        <w:fldChar w:fldCharType="separate"/>
      </w:r>
      <w:r>
        <w:rPr>
          <w:rFonts w:eastAsia="宋体"/>
          <w:szCs w:val="21"/>
        </w:rPr>
        <w:t xml:space="preserve">五、 </w:t>
      </w:r>
      <w:r>
        <w:rPr>
          <w:rFonts w:hint="eastAsia" w:ascii="宋体" w:hAnsi="宋体" w:eastAsia="宋体" w:cs="宋体"/>
          <w:szCs w:val="21"/>
        </w:rPr>
        <w:t>开启</w:t>
      </w:r>
      <w:r>
        <w:tab/>
      </w:r>
      <w:r>
        <w:fldChar w:fldCharType="begin"/>
      </w:r>
      <w:r>
        <w:instrText xml:space="preserve"> PAGEREF _Toc31167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_Toc6326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六、 </w:t>
      </w:r>
      <w:r>
        <w:rPr>
          <w:rFonts w:hint="eastAsia" w:ascii="宋体" w:hAnsi="宋体" w:eastAsia="宋体" w:cs="宋体"/>
          <w:szCs w:val="21"/>
        </w:rPr>
        <w:t>公告期限</w:t>
      </w:r>
      <w:r>
        <w:tab/>
      </w:r>
      <w:r>
        <w:fldChar w:fldCharType="begin"/>
      </w:r>
      <w:r>
        <w:instrText xml:space="preserve"> PAGEREF _Toc6326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_Toc14137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七、 </w:t>
      </w:r>
      <w:r>
        <w:rPr>
          <w:rFonts w:hint="eastAsia" w:ascii="宋体" w:hAnsi="宋体" w:eastAsia="宋体" w:cs="宋体"/>
          <w:szCs w:val="21"/>
        </w:rPr>
        <w:t>其他补充事宜</w:t>
      </w:r>
      <w:r>
        <w:tab/>
      </w:r>
      <w:r>
        <w:fldChar w:fldCharType="begin"/>
      </w:r>
      <w:r>
        <w:instrText xml:space="preserve"> PAGEREF _Toc14137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_Toc17131 </w:instrText>
      </w:r>
      <w:r>
        <w:rPr>
          <w:rFonts w:hint="eastAsia" w:asciiTheme="minorEastAsia" w:hAnsiTheme="minorEastAsia" w:eastAsiaTheme="minorEastAsia" w:cstheme="minorEastAsia"/>
        </w:rPr>
        <w:fldChar w:fldCharType="separate"/>
      </w:r>
      <w:r>
        <w:rPr>
          <w:rFonts w:ascii="宋体" w:hAnsi="宋体" w:eastAsia="宋体" w:cs="宋体"/>
          <w:szCs w:val="21"/>
        </w:rPr>
        <w:t xml:space="preserve">八、 </w:t>
      </w:r>
      <w:r>
        <w:rPr>
          <w:rFonts w:hint="eastAsia" w:ascii="宋体" w:hAnsi="宋体" w:eastAsia="宋体" w:cs="宋体"/>
          <w:szCs w:val="21"/>
        </w:rPr>
        <w:t>凡对本次采购提出询问，请按以下方式联系</w:t>
      </w:r>
      <w:r>
        <w:tab/>
      </w:r>
      <w:r>
        <w:fldChar w:fldCharType="begin"/>
      </w:r>
      <w:r>
        <w:instrText xml:space="preserve"> PAGEREF _Toc17131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_Toc7640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szCs w:val="21"/>
        </w:rPr>
        <w:t xml:space="preserve">九、 </w:t>
      </w:r>
      <w:r>
        <w:rPr>
          <w:rFonts w:hint="eastAsia" w:asciiTheme="minorEastAsia" w:hAnsiTheme="minorEastAsia" w:eastAsiaTheme="minorEastAsia" w:cstheme="minorEastAsia"/>
          <w:szCs w:val="21"/>
        </w:rPr>
        <w:t>注意事项</w:t>
      </w:r>
      <w:r>
        <w:tab/>
      </w:r>
      <w:r>
        <w:fldChar w:fldCharType="begin"/>
      </w:r>
      <w:r>
        <w:instrText xml:space="preserve"> PAGEREF _Toc7640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_Toc14323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_Toc14323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_Toc14892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_Toc14892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_Toc3672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_Toc3672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_Toc23552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_Toc23552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_Toc17526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_Toc17526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_Toc18168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_Toc18168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_Toc15153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_Toc15153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_Toc7414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_Toc7414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_Toc26445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_Toc26445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_Toc30852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_Toc30852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_Toc30359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_Toc30359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_Toc8169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_Toc8169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_Toc20286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_Toc20286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_Toc15763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_Toc15763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_Toc17163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_Toc17163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_Toc12523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_Toc12523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_Toc23907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_Toc23907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_Toc25312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_Toc25312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_Toc10798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_Toc10798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_Toc9124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_Toc9124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_Toc1303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_Toc1303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_Toc877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_Toc877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_Toc15306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_Toc15306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_Toc26179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_Toc26179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_Toc25366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_Toc25366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_Toc21272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_Toc21272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_Toc32278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_Toc32278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_Toc16570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_Toc16570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_Toc20447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_Toc20447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_Toc30575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_Toc30575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_Toc13110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_Toc13110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_Toc5163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_Toc5163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_Toc29021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_Toc29021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_Toc25285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_Toc25285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_Toc6146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_Toc6146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_Toc11933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_Toc11933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_Toc4039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_Toc4039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_Toc25990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_Toc25990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七、 </w:t>
      </w:r>
      <w:r>
        <w:rPr>
          <w:rFonts w:hint="eastAsia" w:asciiTheme="minorEastAsia" w:hAnsiTheme="minorEastAsia" w:eastAsiaTheme="minorEastAsia" w:cstheme="minorEastAsia"/>
          <w:szCs w:val="21"/>
          <w:lang w:val="zh-CN"/>
        </w:rPr>
        <w:t>质疑和投诉</w:t>
      </w:r>
      <w:r>
        <w:tab/>
      </w:r>
      <w:r>
        <w:fldChar w:fldCharType="begin"/>
      </w:r>
      <w:r>
        <w:instrText xml:space="preserve"> PAGEREF _Toc8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_Toc1780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30、 </w:t>
      </w:r>
      <w:r>
        <w:rPr>
          <w:rFonts w:hint="eastAsia" w:asciiTheme="minorEastAsia" w:hAnsiTheme="minorEastAsia" w:eastAsiaTheme="minorEastAsia" w:cstheme="minorEastAsia"/>
          <w:lang w:val="zh-CN"/>
        </w:rPr>
        <w:t>质疑</w:t>
      </w:r>
      <w:r>
        <w:tab/>
      </w:r>
      <w:r>
        <w:fldChar w:fldCharType="begin"/>
      </w:r>
      <w:r>
        <w:instrText xml:space="preserve"> PAGEREF _Toc1780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_Toc12741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_Toc12741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_Toc27079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_Toc27079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_Toc29396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_Toc29396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_Toc29984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33、 </w:t>
      </w:r>
      <w:r>
        <w:rPr>
          <w:rFonts w:hint="eastAsia" w:asciiTheme="minorEastAsia" w:hAnsiTheme="minorEastAsia" w:eastAsiaTheme="minorEastAsia" w:cstheme="minorEastAsia"/>
        </w:rPr>
        <w:t>政府采购政策</w:t>
      </w:r>
      <w:r>
        <w:tab/>
      </w:r>
      <w:r>
        <w:fldChar w:fldCharType="begin"/>
      </w:r>
      <w:r>
        <w:instrText xml:space="preserve"> PAGEREF _Toc29984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_Toc17364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_Toc17364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_Toc3361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_Toc3361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_Toc11887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bCs/>
          <w:szCs w:val="36"/>
        </w:rPr>
        <w:t>采购需求</w:t>
      </w:r>
      <w:r>
        <w:tab/>
      </w:r>
      <w:r>
        <w:fldChar w:fldCharType="begin"/>
      </w:r>
      <w:r>
        <w:instrText xml:space="preserve"> PAGEREF _Toc11887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_Toc14996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rPr>
        <w:t>一、技术需求</w:t>
      </w:r>
      <w:r>
        <w:tab/>
      </w:r>
      <w:r>
        <w:fldChar w:fldCharType="begin"/>
      </w:r>
      <w:r>
        <w:instrText xml:space="preserve"> PAGEREF _Toc14996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_Toc20203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rPr>
        <w:t>二、商务需求</w:t>
      </w:r>
      <w:r>
        <w:tab/>
      </w:r>
      <w:r>
        <w:fldChar w:fldCharType="begin"/>
      </w:r>
      <w:r>
        <w:instrText xml:space="preserve"> PAGEREF _Toc20203 </w:instrText>
      </w:r>
      <w:r>
        <w:fldChar w:fldCharType="separate"/>
      </w:r>
      <w:r>
        <w:t>30</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_Toc3264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rPr>
        <w:t>竞争性磋商采购评定办法</w:t>
      </w:r>
      <w:r>
        <w:tab/>
      </w:r>
      <w:r>
        <w:fldChar w:fldCharType="begin"/>
      </w:r>
      <w:r>
        <w:instrText xml:space="preserve"> PAGEREF _Toc3264 </w:instrText>
      </w:r>
      <w:r>
        <w:fldChar w:fldCharType="separate"/>
      </w:r>
      <w:r>
        <w:t>31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_Toc13093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一、评定办法前附表</w:t>
      </w:r>
      <w:r>
        <w:tab/>
      </w:r>
      <w:r>
        <w:fldChar w:fldCharType="begin"/>
      </w:r>
      <w:r>
        <w:instrText xml:space="preserve"> PAGEREF _Toc13093 </w:instrText>
      </w:r>
      <w:r>
        <w:fldChar w:fldCharType="separate"/>
      </w:r>
      <w:r>
        <w:t>31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_Toc28410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二、计算办法</w:t>
      </w:r>
      <w:r>
        <w:tab/>
      </w:r>
      <w:r>
        <w:fldChar w:fldCharType="begin"/>
      </w:r>
      <w:r>
        <w:instrText xml:space="preserve"> PAGEREF _Toc28410 </w:instrText>
      </w:r>
      <w:r>
        <w:fldChar w:fldCharType="separate"/>
      </w:r>
      <w:r>
        <w:t>33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_Toc607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三、评分细则</w:t>
      </w:r>
      <w:r>
        <w:tab/>
      </w:r>
      <w:r>
        <w:fldChar w:fldCharType="begin"/>
      </w:r>
      <w:r>
        <w:instrText xml:space="preserve"> PAGEREF _Toc607 </w:instrText>
      </w:r>
      <w:r>
        <w:fldChar w:fldCharType="separate"/>
      </w:r>
      <w:r>
        <w:t>34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_Toc14263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四、评定办法</w:t>
      </w:r>
      <w:r>
        <w:tab/>
      </w:r>
      <w:r>
        <w:fldChar w:fldCharType="begin"/>
      </w:r>
      <w:r>
        <w:instrText xml:space="preserve"> PAGEREF _Toc14263 </w:instrText>
      </w:r>
      <w:r>
        <w:fldChar w:fldCharType="separate"/>
      </w:r>
      <w:r>
        <w:t>36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_Toc15499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五、磋商及评审步骤</w:t>
      </w:r>
      <w:r>
        <w:tab/>
      </w:r>
      <w:r>
        <w:fldChar w:fldCharType="begin"/>
      </w:r>
      <w:r>
        <w:instrText xml:space="preserve"> PAGEREF _Toc15499 </w:instrText>
      </w:r>
      <w:r>
        <w:fldChar w:fldCharType="separate"/>
      </w:r>
      <w:r>
        <w:t>37</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_Toc9509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合同书格式</w:t>
      </w:r>
      <w:r>
        <w:tab/>
      </w:r>
      <w:r>
        <w:fldChar w:fldCharType="begin"/>
      </w:r>
      <w:r>
        <w:instrText xml:space="preserve"> PAGEREF _Toc9509 </w:instrText>
      </w:r>
      <w:r>
        <w:fldChar w:fldCharType="separate"/>
      </w:r>
      <w:r>
        <w:t>39</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_Toc5380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_Toc5380 </w:instrText>
      </w:r>
      <w:r>
        <w:fldChar w:fldCharType="separate"/>
      </w:r>
      <w:r>
        <w:t>41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_Toc23446 </w:instrText>
      </w:r>
      <w:r>
        <w:rPr>
          <w:rFonts w:hint="eastAsia" w:asciiTheme="minorEastAsia" w:hAnsiTheme="minorEastAsia" w:eastAsiaTheme="minorEastAsia" w:cstheme="minorEastAsia"/>
        </w:rPr>
        <w:fldChar w:fldCharType="separate"/>
      </w:r>
      <w:r>
        <w:rPr>
          <w:rFonts w:hint="eastAsia" w:ascii="宋体" w:hAnsi="宋体" w:cs="宋体"/>
          <w:szCs w:val="21"/>
        </w:rPr>
        <w:t xml:space="preserve"> 一、评分标准索引表</w:t>
      </w:r>
      <w:r>
        <w:tab/>
      </w:r>
      <w:r>
        <w:fldChar w:fldCharType="begin"/>
      </w:r>
      <w:r>
        <w:instrText xml:space="preserve"> PAGEREF _Toc23446 </w:instrText>
      </w:r>
      <w:r>
        <w:fldChar w:fldCharType="separate"/>
      </w:r>
      <w:r>
        <w:t>42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_Toc19393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二、磋商书</w:t>
      </w:r>
      <w:r>
        <w:tab/>
      </w:r>
      <w:r>
        <w:fldChar w:fldCharType="begin"/>
      </w:r>
      <w:r>
        <w:instrText xml:space="preserve"> PAGEREF _Toc19393 </w:instrText>
      </w:r>
      <w:r>
        <w:fldChar w:fldCharType="separate"/>
      </w:r>
      <w:r>
        <w:t>43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_Toc23623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 xml:space="preserve">   三、法定代表人授权书</w:t>
      </w:r>
      <w:r>
        <w:tab/>
      </w:r>
      <w:r>
        <w:fldChar w:fldCharType="begin"/>
      </w:r>
      <w:r>
        <w:instrText xml:space="preserve"> PAGEREF _Toc23623 </w:instrText>
      </w:r>
      <w:r>
        <w:fldChar w:fldCharType="separate"/>
      </w:r>
      <w:r>
        <w:t>44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_Toc16789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 xml:space="preserve">  三、</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_Toc16789 </w:instrText>
      </w:r>
      <w:r>
        <w:fldChar w:fldCharType="separate"/>
      </w:r>
      <w:r>
        <w:t>45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_Toc24383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四、报价一览表</w:t>
      </w:r>
      <w:r>
        <w:tab/>
      </w:r>
      <w:r>
        <w:fldChar w:fldCharType="begin"/>
      </w:r>
      <w:r>
        <w:instrText xml:space="preserve"> PAGEREF _Toc24383 </w:instrText>
      </w:r>
      <w:r>
        <w:fldChar w:fldCharType="separate"/>
      </w:r>
      <w:r>
        <w:t>46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_Toc9973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五、报价费用构成表（如有）</w:t>
      </w:r>
      <w:r>
        <w:tab/>
      </w:r>
      <w:r>
        <w:fldChar w:fldCharType="begin"/>
      </w:r>
      <w:r>
        <w:instrText xml:space="preserve"> PAGEREF _Toc9973 </w:instrText>
      </w:r>
      <w:r>
        <w:fldChar w:fldCharType="separate"/>
      </w:r>
      <w:r>
        <w:t>47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_Toc4452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六、耗材清单（如有）</w:t>
      </w:r>
      <w:r>
        <w:tab/>
      </w:r>
      <w:r>
        <w:fldChar w:fldCharType="begin"/>
      </w:r>
      <w:r>
        <w:instrText xml:space="preserve"> PAGEREF _Toc4452 </w:instrText>
      </w:r>
      <w:r>
        <w:fldChar w:fldCharType="separate"/>
      </w:r>
      <w:r>
        <w:t>48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_Toc25173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七、拟投入设备/备件、工具情况（如有）</w:t>
      </w:r>
      <w:r>
        <w:tab/>
      </w:r>
      <w:r>
        <w:fldChar w:fldCharType="begin"/>
      </w:r>
      <w:r>
        <w:instrText xml:space="preserve"> PAGEREF _Toc25173 </w:instrText>
      </w:r>
      <w:r>
        <w:fldChar w:fldCharType="separate"/>
      </w:r>
      <w:r>
        <w:t>49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_Toc32757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八、缴纳保证金的银行凭证（如有）</w:t>
      </w:r>
      <w:r>
        <w:tab/>
      </w:r>
      <w:r>
        <w:fldChar w:fldCharType="begin"/>
      </w:r>
      <w:r>
        <w:instrText xml:space="preserve"> PAGEREF _Toc32757 </w:instrText>
      </w:r>
      <w:r>
        <w:fldChar w:fldCharType="separate"/>
      </w:r>
      <w:r>
        <w:t>50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_Toc29224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九、偏离说明表</w:t>
      </w:r>
      <w:r>
        <w:tab/>
      </w:r>
      <w:r>
        <w:fldChar w:fldCharType="begin"/>
      </w:r>
      <w:r>
        <w:instrText xml:space="preserve"> PAGEREF _Toc29224 </w:instrText>
      </w:r>
      <w:r>
        <w:fldChar w:fldCharType="separate"/>
      </w:r>
      <w:r>
        <w:t>51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_Toc1286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bCs/>
          <w:szCs w:val="21"/>
        </w:rPr>
        <w:t xml:space="preserve">类似业绩一览表 </w:t>
      </w:r>
      <w:r>
        <w:tab/>
      </w:r>
      <w:r>
        <w:fldChar w:fldCharType="begin"/>
      </w:r>
      <w:r>
        <w:instrText xml:space="preserve"> PAGEREF _Toc1286 </w:instrText>
      </w:r>
      <w:r>
        <w:fldChar w:fldCharType="separate"/>
      </w:r>
      <w:r>
        <w:t>52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_Toc28663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十一、拟投入项目组人员一览表</w:t>
      </w:r>
      <w:r>
        <w:tab/>
      </w:r>
      <w:r>
        <w:fldChar w:fldCharType="begin"/>
      </w:r>
      <w:r>
        <w:instrText xml:space="preserve"> PAGEREF _Toc28663 </w:instrText>
      </w:r>
      <w:r>
        <w:fldChar w:fldCharType="separate"/>
      </w:r>
      <w:r>
        <w:t>53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_Toc25782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十二、</w:t>
      </w:r>
      <w:r>
        <w:rPr>
          <w:rFonts w:hint="eastAsia" w:asciiTheme="minorEastAsia" w:hAnsiTheme="minorEastAsia" w:eastAsiaTheme="minorEastAsia" w:cstheme="minorEastAsia"/>
          <w:bCs/>
          <w:szCs w:val="21"/>
        </w:rPr>
        <w:t>供应商的资格声明</w:t>
      </w:r>
      <w:r>
        <w:tab/>
      </w:r>
      <w:r>
        <w:fldChar w:fldCharType="begin"/>
      </w:r>
      <w:r>
        <w:instrText xml:space="preserve"> PAGEREF _Toc25782 </w:instrText>
      </w:r>
      <w:r>
        <w:fldChar w:fldCharType="separate"/>
      </w:r>
      <w:r>
        <w:t>54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_Toc17717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十三、</w:t>
      </w:r>
      <w:r>
        <w:rPr>
          <w:rFonts w:hint="eastAsia" w:asciiTheme="minorEastAsia" w:hAnsiTheme="minorEastAsia" w:eastAsiaTheme="minorEastAsia" w:cstheme="minorEastAsia"/>
          <w:bCs/>
          <w:szCs w:val="21"/>
        </w:rPr>
        <w:t>资格证明文件</w:t>
      </w:r>
      <w:r>
        <w:tab/>
      </w:r>
      <w:r>
        <w:fldChar w:fldCharType="begin"/>
      </w:r>
      <w:r>
        <w:instrText xml:space="preserve"> PAGEREF _Toc17717 </w:instrText>
      </w:r>
      <w:r>
        <w:fldChar w:fldCharType="separate"/>
      </w:r>
      <w:r>
        <w:t>55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_Toc2355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十五、中小企业声明函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_Toc2355 </w:instrText>
      </w:r>
      <w:r>
        <w:fldChar w:fldCharType="separate"/>
      </w:r>
      <w:r>
        <w:t>57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_Toc26555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rPr>
        <w:t>十六、</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_Toc26555 </w:instrText>
      </w:r>
      <w:r>
        <w:fldChar w:fldCharType="separate"/>
      </w:r>
      <w:r>
        <w:t>58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_Toc31691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6"/>
          <w:szCs w:val="21"/>
        </w:rPr>
        <w:t xml:space="preserve"> </w:t>
      </w:r>
      <w:r>
        <w:rPr>
          <w:rFonts w:hint="eastAsia" w:asciiTheme="minorEastAsia" w:hAnsiTheme="minorEastAsia" w:eastAsiaTheme="minorEastAsia" w:cstheme="minorEastAsia"/>
        </w:rPr>
        <w:t>十七、</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tab/>
      </w:r>
      <w:r>
        <w:fldChar w:fldCharType="begin"/>
      </w:r>
      <w:r>
        <w:instrText xml:space="preserve"> PAGEREF _Toc31691 </w:instrText>
      </w:r>
      <w:r>
        <w:fldChar w:fldCharType="separate"/>
      </w:r>
      <w:r>
        <w:t>59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_Toc25359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十八、节能环保产品证明材料（若符合）</w:t>
      </w:r>
      <w:r>
        <w:tab/>
      </w:r>
      <w:r>
        <w:fldChar w:fldCharType="begin"/>
      </w:r>
      <w:r>
        <w:instrText xml:space="preserve"> PAGEREF _Toc25359 </w:instrText>
      </w:r>
      <w:r>
        <w:fldChar w:fldCharType="separate"/>
      </w:r>
      <w:r>
        <w:t>60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_Toc27548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rPr>
        <w:t>十九、</w:t>
      </w:r>
      <w:r>
        <w:rPr>
          <w:rFonts w:hint="eastAsia" w:asciiTheme="minorEastAsia" w:hAnsiTheme="minorEastAsia" w:eastAsiaTheme="minorEastAsia" w:cstheme="minorEastAsia"/>
        </w:rPr>
        <w:t>无重大违法记录声明</w:t>
      </w:r>
      <w:r>
        <w:tab/>
      </w:r>
      <w:r>
        <w:fldChar w:fldCharType="begin"/>
      </w:r>
      <w:r>
        <w:instrText xml:space="preserve"> PAGEREF _Toc27548 </w:instrText>
      </w:r>
      <w:r>
        <w:fldChar w:fldCharType="separate"/>
      </w:r>
      <w:r>
        <w:t>61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_Toc23771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kern w:val="0"/>
          <w:szCs w:val="21"/>
          <w:shd w:val="clear" w:color="auto" w:fill="FFFFFF"/>
        </w:rPr>
        <w:t xml:space="preserve"> </w:t>
      </w:r>
      <w:r>
        <w:rPr>
          <w:rFonts w:hint="eastAsia" w:asciiTheme="minorEastAsia" w:hAnsiTheme="minorEastAsia" w:eastAsiaTheme="minorEastAsia" w:cstheme="minorEastAsia"/>
          <w:bCs/>
          <w:spacing w:val="6"/>
          <w:szCs w:val="21"/>
        </w:rPr>
        <w:t>二十、磋商供应商认为应该提交的其它文件（格式自拟）</w:t>
      </w:r>
      <w:r>
        <w:tab/>
      </w:r>
      <w:r>
        <w:fldChar w:fldCharType="begin"/>
      </w:r>
      <w:r>
        <w:instrText xml:space="preserve"> PAGEREF _Toc23771 </w:instrText>
      </w:r>
      <w:r>
        <w:fldChar w:fldCharType="separate"/>
      </w:r>
      <w:r>
        <w:t>61</w:t>
      </w:r>
      <w:r>
        <w:fldChar w:fldCharType="end"/>
      </w:r>
      <w:r>
        <w:rPr>
          <w:rFonts w:hint="eastAsia" w:asciiTheme="minorEastAsia" w:hAnsiTheme="minorEastAsia" w:eastAsiaTheme="minorEastAsia" w:cstheme="minorEastAsia"/>
        </w:rPr>
        <w:fldChar w:fldCharType="end"/>
      </w:r>
    </w:p>
    <w:p>
      <w:pPr>
        <w:jc w:val="left"/>
        <w:rPr>
          <w:rFonts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rPr>
        <w:fldChar w:fldCharType="end"/>
      </w: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numPr>
          <w:ilvl w:val="0"/>
          <w:numId w:val="5"/>
        </w:numPr>
        <w:spacing w:line="360" w:lineRule="auto"/>
        <w:jc w:val="center"/>
        <w:outlineLvl w:val="0"/>
        <w:rPr>
          <w:b/>
          <w:bCs/>
          <w:sz w:val="24"/>
        </w:rPr>
      </w:pPr>
      <w:bookmarkStart w:id="0" w:name="_Toc6866"/>
      <w:bookmarkStart w:id="1" w:name="_Toc22747"/>
      <w:bookmarkStart w:id="232" w:name="_GoBack"/>
      <w:r>
        <w:rPr>
          <w:rFonts w:hint="eastAsia" w:ascii="宋体" w:hAnsi="宋体" w:cs="宋体"/>
          <w:b/>
          <w:sz w:val="36"/>
          <w:szCs w:val="36"/>
        </w:rPr>
        <w:t>竞争性磋商公告</w:t>
      </w:r>
      <w:bookmarkEnd w:id="0"/>
      <w:bookmarkEnd w:id="1"/>
      <w:bookmarkStart w:id="2" w:name="_Toc152045512"/>
      <w:bookmarkStart w:id="3" w:name="_Toc179632528"/>
      <w:bookmarkStart w:id="4" w:name="_Toc144974480"/>
      <w:bookmarkStart w:id="5" w:name="_Toc9976"/>
      <w:bookmarkStart w:id="6" w:name="_Toc152042288"/>
      <w:bookmarkStart w:id="7" w:name="_Toc524908844"/>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ascii="宋体" w:hAnsi="宋体" w:cs="宋体"/>
          <w:color w:val="000000"/>
          <w:szCs w:val="21"/>
        </w:rPr>
      </w:pPr>
      <w:r>
        <w:rPr>
          <w:rFonts w:hint="eastAsia" w:ascii="宋体" w:hAnsi="宋体" w:cs="宋体"/>
          <w:b/>
          <w:bCs/>
          <w:color w:val="000000"/>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ascii="宋体" w:hAnsi="宋体" w:cs="宋体"/>
          <w:color w:val="000000"/>
          <w:szCs w:val="21"/>
        </w:rPr>
      </w:pPr>
      <w:r>
        <w:rPr>
          <w:rFonts w:hint="eastAsia" w:ascii="宋体" w:hAnsi="宋体" w:cs="宋体"/>
          <w:szCs w:val="21"/>
        </w:rPr>
        <w:t>武汉职业技术学院科教园区一食堂委托经营项目的潜在供应商应在</w:t>
      </w:r>
      <w:r>
        <w:rPr>
          <w:rFonts w:hint="eastAsia" w:ascii="宋体" w:hAnsi="宋体" w:cs="宋体"/>
          <w:color w:val="000000"/>
          <w:szCs w:val="21"/>
          <w:u w:val="single"/>
        </w:rPr>
        <w:t>中经国际招标集团有限公司（</w:t>
      </w:r>
      <w:r>
        <w:rPr>
          <w:rFonts w:hint="eastAsia" w:ascii="宋体" w:hAnsi="宋体" w:cs="宋体"/>
          <w:szCs w:val="21"/>
          <w:u w:val="single"/>
        </w:rPr>
        <w:t>武昌区中北路岳家嘴立交山河企业大厦48楼4805室）或线上</w:t>
      </w:r>
      <w:r>
        <w:rPr>
          <w:rFonts w:hint="eastAsia" w:ascii="宋体" w:hAnsi="宋体" w:cs="宋体"/>
          <w:szCs w:val="21"/>
        </w:rPr>
        <w:t>获取采购文件，并于</w:t>
      </w:r>
      <w:r>
        <w:rPr>
          <w:rFonts w:hint="eastAsia" w:ascii="宋体" w:hAnsi="宋体" w:cs="宋体"/>
          <w:szCs w:val="21"/>
          <w:u w:val="single"/>
        </w:rPr>
        <w:t>2020年</w:t>
      </w:r>
      <w:r>
        <w:rPr>
          <w:rFonts w:hint="eastAsia" w:ascii="宋体" w:hAnsi="宋体" w:cs="宋体"/>
          <w:szCs w:val="21"/>
          <w:u w:val="single"/>
          <w:lang w:val="en-US" w:eastAsia="zh-CN"/>
        </w:rPr>
        <w:t>8</w:t>
      </w:r>
      <w:r>
        <w:rPr>
          <w:rFonts w:hint="eastAsia" w:ascii="宋体" w:hAnsi="宋体" w:cs="宋体"/>
          <w:szCs w:val="21"/>
          <w:u w:val="single"/>
        </w:rPr>
        <w:t>月</w:t>
      </w:r>
      <w:r>
        <w:rPr>
          <w:rFonts w:hint="eastAsia" w:ascii="宋体" w:hAnsi="宋体" w:cs="宋体"/>
          <w:szCs w:val="21"/>
          <w:u w:val="single"/>
          <w:lang w:val="en-US" w:eastAsia="zh-CN"/>
        </w:rPr>
        <w:t>4</w:t>
      </w:r>
      <w:r>
        <w:rPr>
          <w:rFonts w:hint="eastAsia" w:ascii="宋体" w:hAnsi="宋体" w:cs="宋体"/>
          <w:szCs w:val="21"/>
          <w:u w:val="single"/>
        </w:rPr>
        <w:t xml:space="preserve">  日 </w:t>
      </w:r>
      <w:r>
        <w:rPr>
          <w:rFonts w:hint="eastAsia" w:ascii="宋体" w:hAnsi="宋体" w:cs="宋体"/>
          <w:szCs w:val="21"/>
          <w:u w:val="single"/>
          <w:lang w:val="en-US" w:eastAsia="zh-CN"/>
        </w:rPr>
        <w:t>10</w:t>
      </w:r>
      <w:r>
        <w:rPr>
          <w:rFonts w:hint="eastAsia" w:ascii="宋体" w:hAnsi="宋体" w:cs="宋体"/>
          <w:szCs w:val="21"/>
          <w:u w:val="single"/>
        </w:rPr>
        <w:t>点</w:t>
      </w:r>
      <w:r>
        <w:rPr>
          <w:rFonts w:hint="eastAsia" w:ascii="宋体" w:hAnsi="宋体" w:cs="宋体"/>
          <w:szCs w:val="21"/>
          <w:u w:val="single"/>
          <w:lang w:val="en-US" w:eastAsia="zh-CN"/>
        </w:rPr>
        <w:t>00</w:t>
      </w:r>
      <w:r>
        <w:rPr>
          <w:rFonts w:hint="eastAsia" w:ascii="宋体" w:hAnsi="宋体" w:cs="宋体"/>
          <w:szCs w:val="21"/>
          <w:u w:val="single"/>
        </w:rPr>
        <w:t>分</w:t>
      </w:r>
      <w:r>
        <w:rPr>
          <w:rFonts w:hint="eastAsia" w:ascii="宋体" w:hAnsi="宋体" w:cs="宋体"/>
          <w:szCs w:val="21"/>
        </w:rPr>
        <w:t>（北京时间）前递交响应文件。</w:t>
      </w:r>
    </w:p>
    <w:p>
      <w:pPr>
        <w:pStyle w:val="4"/>
        <w:numPr>
          <w:ilvl w:val="0"/>
          <w:numId w:val="6"/>
        </w:numPr>
        <w:spacing w:line="360" w:lineRule="auto"/>
        <w:jc w:val="left"/>
        <w:rPr>
          <w:rFonts w:ascii="宋体" w:hAnsi="宋体" w:eastAsia="宋体" w:cs="宋体"/>
          <w:color w:val="000000"/>
          <w:sz w:val="21"/>
          <w:szCs w:val="21"/>
        </w:rPr>
      </w:pPr>
      <w:bookmarkStart w:id="8" w:name="_Toc22318"/>
      <w:r>
        <w:rPr>
          <w:rFonts w:hint="eastAsia" w:ascii="宋体" w:hAnsi="宋体" w:eastAsia="宋体" w:cs="宋体"/>
          <w:color w:val="000000"/>
          <w:sz w:val="21"/>
          <w:szCs w:val="21"/>
        </w:rPr>
        <w:t>项目基本情况</w:t>
      </w:r>
      <w:bookmarkEnd w:id="8"/>
    </w:p>
    <w:p>
      <w:pPr>
        <w:spacing w:line="360" w:lineRule="auto"/>
        <w:jc w:val="left"/>
        <w:rPr>
          <w:rFonts w:ascii="宋体" w:hAnsi="宋体" w:cs="宋体"/>
          <w:szCs w:val="21"/>
        </w:rPr>
      </w:pPr>
      <w:r>
        <w:rPr>
          <w:rFonts w:hint="eastAsia" w:ascii="宋体" w:hAnsi="宋体" w:cs="宋体"/>
          <w:szCs w:val="21"/>
        </w:rPr>
        <w:t>1、项目编号：ZJZB-202007-202；</w:t>
      </w:r>
      <w:r>
        <w:rPr>
          <w:rFonts w:hint="eastAsia" w:ascii="宋体" w:hAnsi="宋体" w:cs="宋体"/>
          <w:szCs w:val="21"/>
        </w:rPr>
        <w:br w:type="textWrapping"/>
      </w:r>
      <w:r>
        <w:rPr>
          <w:rFonts w:hint="eastAsia" w:ascii="宋体" w:hAnsi="宋体" w:cs="宋体"/>
          <w:szCs w:val="21"/>
        </w:rPr>
        <w:t>2、项目名称：武汉职业技术学院科教园区一食堂委托经营项目</w:t>
      </w:r>
      <w:r>
        <w:rPr>
          <w:rFonts w:hint="eastAsia" w:ascii="宋体" w:hAnsi="宋体" w:cs="宋体"/>
          <w:szCs w:val="21"/>
        </w:rPr>
        <w:br w:type="textWrapping"/>
      </w:r>
      <w:r>
        <w:rPr>
          <w:rFonts w:hint="eastAsia" w:ascii="宋体" w:hAnsi="宋体" w:cs="宋体"/>
          <w:szCs w:val="21"/>
        </w:rPr>
        <w:t>3、采购方式：竞争性磋商</w:t>
      </w:r>
    </w:p>
    <w:p>
      <w:pPr>
        <w:spacing w:line="360" w:lineRule="auto"/>
        <w:jc w:val="left"/>
        <w:rPr>
          <w:rFonts w:ascii="宋体" w:hAnsi="宋体" w:cs="宋体"/>
          <w:szCs w:val="21"/>
        </w:rPr>
      </w:pPr>
      <w:r>
        <w:rPr>
          <w:rFonts w:hint="eastAsia" w:ascii="宋体" w:hAnsi="宋体" w:cs="宋体"/>
          <w:szCs w:val="21"/>
        </w:rPr>
        <w:t>4、采购需求：本次竞争性磋商采购共分</w:t>
      </w:r>
      <w:r>
        <w:rPr>
          <w:rFonts w:hint="eastAsia" w:ascii="宋体" w:hAnsi="宋体" w:cs="宋体"/>
          <w:szCs w:val="21"/>
          <w:u w:val="single"/>
        </w:rPr>
        <w:t>1</w:t>
      </w:r>
      <w:r>
        <w:rPr>
          <w:rFonts w:hint="eastAsia" w:ascii="宋体" w:hAnsi="宋体" w:cs="宋体"/>
          <w:szCs w:val="21"/>
        </w:rPr>
        <w:t>个项目包，具体需求如下，详细技术规格、参数及商务要求见本项目采购文件第三章内容。</w:t>
      </w:r>
    </w:p>
    <w:p>
      <w:pPr>
        <w:numPr>
          <w:ilvl w:val="0"/>
          <w:numId w:val="7"/>
        </w:numPr>
        <w:spacing w:line="360" w:lineRule="auto"/>
        <w:ind w:left="420" w:leftChars="200"/>
        <w:jc w:val="left"/>
        <w:rPr>
          <w:rFonts w:ascii="宋体" w:hAnsi="宋体" w:cs="宋体"/>
          <w:szCs w:val="21"/>
        </w:rPr>
      </w:pPr>
      <w:r>
        <w:rPr>
          <w:rFonts w:hint="eastAsia" w:ascii="宋体" w:hAnsi="宋体" w:cs="宋体"/>
          <w:szCs w:val="21"/>
        </w:rPr>
        <w:t>类别：服务</w:t>
      </w:r>
      <w:r>
        <w:rPr>
          <w:rFonts w:hint="eastAsia" w:ascii="宋体" w:hAnsi="宋体" w:cs="宋体"/>
          <w:szCs w:val="21"/>
          <w:lang w:eastAsia="zh-CN"/>
        </w:rPr>
        <w:t>；</w:t>
      </w:r>
    </w:p>
    <w:p>
      <w:pPr>
        <w:numPr>
          <w:ilvl w:val="0"/>
          <w:numId w:val="7"/>
        </w:numPr>
        <w:spacing w:line="360" w:lineRule="auto"/>
        <w:ind w:left="420" w:leftChars="200"/>
        <w:jc w:val="left"/>
        <w:rPr>
          <w:rFonts w:ascii="宋体" w:hAnsi="宋体" w:cs="宋体"/>
          <w:szCs w:val="21"/>
          <w:u w:val="single"/>
        </w:rPr>
      </w:pPr>
      <w:r>
        <w:rPr>
          <w:rFonts w:hint="eastAsia" w:ascii="宋体" w:hAnsi="宋体" w:cs="宋体"/>
          <w:color w:val="000000"/>
          <w:szCs w:val="21"/>
        </w:rPr>
        <w:t>简要技术</w:t>
      </w:r>
      <w:r>
        <w:rPr>
          <w:rFonts w:hint="eastAsia" w:ascii="宋体" w:hAnsi="宋体" w:cs="宋体"/>
          <w:szCs w:val="21"/>
        </w:rPr>
        <w:t>要求/项目性质：武汉职业技术学院科教园区地处鄂州市葛店经济开发区创业大道。现有师生约2500人左右（人数仅供参考）, 食堂为框架结构，共两层，面积1944平方米；</w:t>
      </w:r>
      <w:r>
        <w:rPr>
          <w:rFonts w:hint="eastAsia" w:ascii="宋体" w:hAnsi="宋体" w:cs="宋体"/>
          <w:szCs w:val="21"/>
          <w:u w:val="single"/>
        </w:rPr>
        <w:t>(详见采购文件第三章“项目采购需求”）</w:t>
      </w:r>
    </w:p>
    <w:p>
      <w:pPr>
        <w:numPr>
          <w:ilvl w:val="0"/>
          <w:numId w:val="7"/>
        </w:numPr>
        <w:spacing w:line="360" w:lineRule="auto"/>
        <w:ind w:left="420" w:leftChars="200"/>
        <w:jc w:val="left"/>
        <w:rPr>
          <w:rFonts w:ascii="宋体" w:hAnsi="宋体" w:cs="宋体"/>
          <w:szCs w:val="21"/>
        </w:rPr>
      </w:pPr>
      <w:r>
        <w:rPr>
          <w:rFonts w:hint="eastAsia" w:ascii="宋体" w:hAnsi="宋体" w:cs="宋体"/>
          <w:szCs w:val="21"/>
        </w:rPr>
        <w:t>其他：供应商报价须包含该采购需求的全部内容；</w:t>
      </w:r>
    </w:p>
    <w:p>
      <w:pPr>
        <w:spacing w:line="360" w:lineRule="auto"/>
        <w:jc w:val="left"/>
        <w:rPr>
          <w:rFonts w:ascii="宋体" w:hAnsi="宋体" w:cs="宋体"/>
          <w:color w:val="0070C0"/>
          <w:sz w:val="24"/>
        </w:rPr>
      </w:pPr>
      <w:r>
        <w:rPr>
          <w:rFonts w:hint="eastAsia" w:ascii="宋体" w:hAnsi="宋体" w:cs="宋体"/>
          <w:color w:val="000000" w:themeColor="text1"/>
          <w:szCs w:val="21"/>
        </w:rPr>
        <w:t>5、合同履行期限:</w:t>
      </w:r>
      <w:r>
        <w:rPr>
          <w:color w:val="000000" w:themeColor="text1"/>
        </w:rPr>
        <w:t xml:space="preserve"> 委托</w:t>
      </w:r>
      <w:r>
        <w:rPr>
          <w:rFonts w:hint="eastAsia" w:ascii="宋体" w:hAnsi="宋体" w:cs="宋体"/>
          <w:szCs w:val="21"/>
        </w:rPr>
        <w:t>经营的服务期限3年,采取2+1模式。即</w:t>
      </w:r>
      <w:r>
        <w:rPr>
          <w:rFonts w:hint="eastAsia" w:ascii="宋体" w:hAnsi="宋体" w:cs="宋体"/>
          <w:color w:val="000000" w:themeColor="text1"/>
          <w:szCs w:val="21"/>
        </w:rPr>
        <w:t>：中标</w:t>
      </w:r>
      <w:r>
        <w:rPr>
          <w:rFonts w:hint="eastAsia" w:ascii="宋体" w:hAnsi="宋体" w:cs="宋体"/>
          <w:szCs w:val="21"/>
        </w:rPr>
        <w:t>时签订合同2年。如2020年9月1日至2022年6月30日期内综合考核为“合格”及以上，可视中标人履约情况再续签合同1年</w:t>
      </w:r>
      <w:r>
        <w:rPr>
          <w:rFonts w:hint="eastAsia" w:ascii="宋体" w:hAnsi="宋体" w:cs="宋体"/>
          <w:color w:val="auto"/>
          <w:szCs w:val="21"/>
          <w:lang w:eastAsia="zh-CN"/>
        </w:rPr>
        <w:t>，否则终止合同，重新招标</w:t>
      </w:r>
      <w:r>
        <w:rPr>
          <w:rFonts w:hint="eastAsia" w:ascii="宋体" w:hAnsi="宋体" w:cs="宋体"/>
          <w:szCs w:val="21"/>
        </w:rPr>
        <w:t>；</w:t>
      </w:r>
    </w:p>
    <w:p>
      <w:pPr>
        <w:spacing w:line="360" w:lineRule="auto"/>
        <w:jc w:val="left"/>
        <w:rPr>
          <w:rFonts w:ascii="宋体" w:hAnsi="宋体" w:cs="宋体"/>
          <w:szCs w:val="21"/>
        </w:rPr>
      </w:pPr>
      <w:r>
        <w:rPr>
          <w:rFonts w:hint="eastAsia" w:ascii="宋体" w:hAnsi="宋体" w:cs="宋体"/>
          <w:szCs w:val="21"/>
        </w:rPr>
        <w:t>6、本项目</w:t>
      </w:r>
      <w:r>
        <w:rPr>
          <w:rFonts w:hint="eastAsia" w:ascii="宋体" w:hAnsi="宋体" w:cs="宋体"/>
          <w:szCs w:val="21"/>
          <w:u w:val="single"/>
        </w:rPr>
        <w:t>不接受</w:t>
      </w:r>
      <w:r>
        <w:rPr>
          <w:rFonts w:hint="eastAsia" w:ascii="宋体" w:hAnsi="宋体" w:cs="宋体"/>
          <w:szCs w:val="21"/>
        </w:rPr>
        <w:t>联合体竞标；</w:t>
      </w:r>
    </w:p>
    <w:p>
      <w:pPr>
        <w:pStyle w:val="4"/>
        <w:numPr>
          <w:ilvl w:val="0"/>
          <w:numId w:val="6"/>
        </w:numPr>
        <w:spacing w:line="360" w:lineRule="auto"/>
        <w:jc w:val="left"/>
        <w:rPr>
          <w:rFonts w:ascii="宋体" w:hAnsi="宋体" w:eastAsia="宋体" w:cs="宋体"/>
          <w:sz w:val="21"/>
          <w:szCs w:val="21"/>
        </w:rPr>
      </w:pPr>
      <w:bookmarkStart w:id="9" w:name="_Toc1539"/>
      <w:r>
        <w:rPr>
          <w:rFonts w:hint="eastAsia" w:ascii="宋体" w:hAnsi="宋体" w:eastAsia="宋体" w:cs="宋体"/>
          <w:sz w:val="21"/>
          <w:szCs w:val="21"/>
        </w:rPr>
        <w:t>申请人的资格要求</w:t>
      </w:r>
      <w:bookmarkEnd w:id="9"/>
    </w:p>
    <w:p>
      <w:pPr>
        <w:numPr>
          <w:ilvl w:val="0"/>
          <w:numId w:val="8"/>
        </w:num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满足《中华人民共和国政府采购法》第二十二条规定；</w:t>
      </w:r>
    </w:p>
    <w:p>
      <w:pPr>
        <w:spacing w:line="360" w:lineRule="auto"/>
        <w:ind w:left="446"/>
        <w:jc w:val="left"/>
        <w:rPr>
          <w:rFonts w:ascii="宋体" w:hAnsi="宋体" w:cs="宋体"/>
          <w:color w:val="000000"/>
          <w:szCs w:val="21"/>
        </w:rPr>
      </w:pPr>
      <w:r>
        <w:rPr>
          <w:rFonts w:hint="eastAsia" w:ascii="宋体" w:hAnsi="宋体" w:cs="宋体"/>
          <w:color w:val="000000"/>
          <w:szCs w:val="21"/>
        </w:rPr>
        <w:t xml:space="preserve">   1.1具有独立承担民事责任的能力（经营范围需满足采购需求）；</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1.2具有良好的商业信誉和健全的财务会计制度；</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1.3具有履行合同所必需的设备和专业技术能力；</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1.4有依法缴纳税收和社会保障资金的良好记录；</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1.5参加政府采购活动前三年内，在经营活动中没有重大违法记录；（重大违法记录是指供应商因违法经营受到刑事处罚或者责令停产停业、吊销许可证或者执照、较大数额罚款等行政处罚）</w:t>
      </w:r>
    </w:p>
    <w:p>
      <w:pPr>
        <w:spacing w:line="360" w:lineRule="auto"/>
        <w:ind w:left="420" w:firstLine="315" w:firstLineChars="150"/>
        <w:jc w:val="left"/>
        <w:rPr>
          <w:rFonts w:ascii="宋体" w:hAnsi="宋体" w:cs="宋体"/>
          <w:color w:val="000000"/>
          <w:szCs w:val="21"/>
        </w:rPr>
      </w:pPr>
      <w:r>
        <w:rPr>
          <w:rFonts w:hint="eastAsia" w:ascii="宋体" w:hAnsi="宋体" w:cs="宋体"/>
          <w:color w:val="000000"/>
          <w:szCs w:val="21"/>
        </w:rPr>
        <w:t>1.6法律、行政法规规定的其他条件；</w:t>
      </w:r>
    </w:p>
    <w:p>
      <w:pPr>
        <w:numPr>
          <w:ilvl w:val="0"/>
          <w:numId w:val="8"/>
        </w:numPr>
        <w:spacing w:line="360" w:lineRule="auto"/>
        <w:ind w:firstLine="420" w:firstLineChars="200"/>
        <w:jc w:val="left"/>
        <w:rPr>
          <w:rFonts w:ascii="宋体" w:hAnsi="宋体" w:cs="宋体"/>
          <w:szCs w:val="21"/>
        </w:rPr>
      </w:pPr>
      <w:r>
        <w:rPr>
          <w:rFonts w:hint="eastAsia" w:ascii="宋体" w:hAnsi="宋体" w:cs="宋体"/>
          <w:color w:val="000000"/>
          <w:szCs w:val="21"/>
        </w:rPr>
        <w:t>落实政府采购政策需满足的资格要求：</w:t>
      </w:r>
      <w:r>
        <w:rPr>
          <w:rFonts w:hint="eastAsia" w:ascii="宋体" w:hAnsi="宋体" w:cs="宋体"/>
          <w:szCs w:val="21"/>
        </w:rPr>
        <w:t>本项目需落实政府采购强制、优先采购节能产品政策；政府采购优先采购环保产品政策；政府采购促进中小企业发展（监狱企业、残疾人福利性单位视同小微企业）等政策详见采购文件；</w:t>
      </w:r>
    </w:p>
    <w:p>
      <w:pPr>
        <w:numPr>
          <w:ilvl w:val="0"/>
          <w:numId w:val="8"/>
        </w:numPr>
        <w:spacing w:line="360" w:lineRule="auto"/>
        <w:ind w:firstLine="422" w:firstLineChars="200"/>
        <w:jc w:val="left"/>
        <w:rPr>
          <w:rFonts w:ascii="宋体" w:hAnsi="宋体" w:cs="宋体"/>
          <w:b/>
          <w:bCs/>
          <w:color w:val="000000"/>
          <w:szCs w:val="21"/>
        </w:rPr>
      </w:pPr>
      <w:r>
        <w:rPr>
          <w:rFonts w:hint="eastAsia" w:ascii="宋体" w:hAnsi="宋体" w:cs="宋体"/>
          <w:b/>
          <w:bCs/>
          <w:color w:val="000000"/>
          <w:szCs w:val="21"/>
        </w:rPr>
        <w:t>本项目的特定资格要求：</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3.1供应商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r>
        <w:rPr>
          <w:rFonts w:hint="eastAsia" w:ascii="宋体" w:hAnsi="宋体" w:cs="宋体"/>
          <w:color w:val="000000"/>
          <w:szCs w:val="21"/>
        </w:rPr>
        <w:br w:type="textWrapping"/>
      </w:r>
      <w:r>
        <w:rPr>
          <w:rFonts w:hint="eastAsia" w:ascii="宋体" w:hAnsi="宋体" w:cs="宋体"/>
          <w:color w:val="000000"/>
          <w:szCs w:val="21"/>
          <w:lang w:val="en-US" w:eastAsia="zh-CN"/>
        </w:rPr>
        <w:t xml:space="preserve">    </w:t>
      </w:r>
      <w:r>
        <w:rPr>
          <w:rFonts w:hint="eastAsia" w:ascii="宋体" w:hAnsi="宋体" w:cs="宋体"/>
          <w:color w:val="000000" w:themeColor="text1"/>
          <w:szCs w:val="21"/>
        </w:rPr>
        <w:t>3.2供应商拟派人员须持有符合规定的员工健康证；</w:t>
      </w:r>
    </w:p>
    <w:p>
      <w:pPr>
        <w:numPr>
          <w:ilvl w:val="0"/>
          <w:numId w:val="8"/>
        </w:num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如国家法律法规对市场准入有要</w:t>
      </w:r>
      <w:r>
        <w:rPr>
          <w:rFonts w:hint="eastAsia" w:ascii="宋体" w:hAnsi="宋体" w:cs="宋体"/>
          <w:szCs w:val="21"/>
        </w:rPr>
        <w:t>求的还应符合相关规定；</w:t>
      </w:r>
    </w:p>
    <w:p>
      <w:pPr>
        <w:pStyle w:val="4"/>
        <w:numPr>
          <w:ilvl w:val="0"/>
          <w:numId w:val="6"/>
        </w:numPr>
        <w:spacing w:line="360" w:lineRule="auto"/>
        <w:jc w:val="left"/>
        <w:rPr>
          <w:rFonts w:ascii="宋体" w:hAnsi="宋体" w:eastAsia="宋体" w:cs="宋体"/>
          <w:sz w:val="21"/>
          <w:szCs w:val="21"/>
        </w:rPr>
      </w:pPr>
      <w:bookmarkStart w:id="10" w:name="_Toc8006"/>
      <w:bookmarkStart w:id="11" w:name="_Toc334539185"/>
      <w:r>
        <w:rPr>
          <w:rFonts w:hint="eastAsia" w:ascii="宋体" w:hAnsi="宋体" w:eastAsia="宋体" w:cs="宋体"/>
          <w:sz w:val="21"/>
          <w:szCs w:val="21"/>
        </w:rPr>
        <w:t>获取采购文件</w:t>
      </w:r>
      <w:bookmarkEnd w:id="10"/>
    </w:p>
    <w:p>
      <w:pPr>
        <w:spacing w:line="360" w:lineRule="auto"/>
        <w:ind w:firstLine="420" w:firstLineChars="200"/>
        <w:jc w:val="left"/>
        <w:rPr>
          <w:rFonts w:ascii="宋体" w:hAnsi="宋体" w:cs="宋体"/>
          <w:szCs w:val="21"/>
        </w:rPr>
      </w:pPr>
      <w:r>
        <w:rPr>
          <w:rFonts w:hint="eastAsia" w:ascii="宋体" w:hAnsi="宋体" w:cs="宋体"/>
          <w:szCs w:val="21"/>
        </w:rPr>
        <w:t>时间：</w:t>
      </w:r>
      <w:r>
        <w:rPr>
          <w:rFonts w:hint="eastAsia" w:ascii="宋体" w:hAnsi="宋体" w:cs="宋体"/>
          <w:szCs w:val="21"/>
          <w:u w:val="single"/>
        </w:rPr>
        <w:t>2020年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23</w:t>
      </w:r>
      <w:r>
        <w:rPr>
          <w:rFonts w:hint="eastAsia" w:ascii="宋体" w:hAnsi="宋体" w:cs="宋体"/>
          <w:szCs w:val="21"/>
          <w:u w:val="single"/>
        </w:rPr>
        <w:t>日至2020年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29</w:t>
      </w:r>
      <w:r>
        <w:rPr>
          <w:rFonts w:hint="eastAsia" w:ascii="宋体" w:hAnsi="宋体" w:cs="宋体"/>
          <w:szCs w:val="21"/>
          <w:u w:val="single"/>
        </w:rPr>
        <w:t xml:space="preserve"> 日</w:t>
      </w:r>
      <w:r>
        <w:rPr>
          <w:rFonts w:hint="eastAsia" w:ascii="宋体" w:hAnsi="宋体" w:cs="宋体"/>
          <w:szCs w:val="21"/>
        </w:rPr>
        <w:t>（提供期限自本公告发布之日起至少5个工作日），每天上午09:00至12:00，下午14:30至17:00（北京时间，法定节假日除外）</w:t>
      </w:r>
    </w:p>
    <w:p>
      <w:pPr>
        <w:spacing w:line="360" w:lineRule="auto"/>
        <w:ind w:firstLine="420" w:firstLineChars="200"/>
        <w:jc w:val="left"/>
        <w:rPr>
          <w:rFonts w:ascii="宋体" w:hAnsi="宋体" w:cs="宋体"/>
          <w:szCs w:val="21"/>
        </w:rPr>
      </w:pPr>
      <w:r>
        <w:rPr>
          <w:rFonts w:hint="eastAsia" w:ascii="宋体" w:hAnsi="宋体" w:cs="宋体"/>
          <w:szCs w:val="21"/>
        </w:rPr>
        <w:t>地点：武昌区中北路岳家嘴立交山河企业大厦48楼4805室；</w:t>
      </w:r>
    </w:p>
    <w:p>
      <w:pPr>
        <w:spacing w:line="360" w:lineRule="auto"/>
        <w:ind w:firstLine="420" w:firstLineChars="200"/>
        <w:jc w:val="left"/>
        <w:rPr>
          <w:rFonts w:ascii="宋体" w:hAnsi="宋体" w:cs="宋体"/>
          <w:szCs w:val="21"/>
        </w:rPr>
      </w:pPr>
      <w:r>
        <w:rPr>
          <w:rFonts w:hint="eastAsia" w:ascii="宋体" w:hAnsi="宋体" w:cs="宋体"/>
          <w:szCs w:val="21"/>
        </w:rPr>
        <w:t>现场获取：</w:t>
      </w:r>
      <w:bookmarkEnd w:id="11"/>
      <w:r>
        <w:rPr>
          <w:rFonts w:hint="eastAsia" w:ascii="宋体" w:hAnsi="宋体" w:cs="宋体"/>
          <w:szCs w:val="21"/>
        </w:rPr>
        <w:t>1）法定代表人领取的，凭法定代表人身份证明书（格式见附件）及法定代表人身份证原件领取；2）法定代表人委托他人领取的，凭法定代表人授权书（格式见附件）及受托人身份证原件领取；3）加盖公章的营业执照真彩扫描件、项目报名表（格式见附件）、供应商信用承诺书（格式见附件）、《中小企业声明函》扫描件，格式详见《政府采购促进中小企业发展暂行办法》(财库【2011】181号)（如项目非专门面向中小微企业，则不需要中小企业声明函）；</w:t>
      </w:r>
      <w:r>
        <w:rPr>
          <w:rFonts w:hint="eastAsia" w:ascii="宋体" w:hAnsi="宋体" w:cs="宋体"/>
          <w:szCs w:val="21"/>
        </w:rPr>
        <w:br w:type="textWrapping"/>
      </w:r>
      <w:r>
        <w:rPr>
          <w:rFonts w:hint="eastAsia" w:ascii="宋体" w:hAnsi="宋体" w:cs="宋体"/>
          <w:szCs w:val="21"/>
        </w:rPr>
        <w:t>线上获取：线上获取文件的供应商，将公告后附件内容加盖公章扫描成PDF格式发送至邮箱2102252595@qq.com（邮件主题名称必须备注所参与的项目名称及公司全称，否则不予受理），以邮箱收到的时间为准。我司会按照收到资料的顺次序逐一回复，供应商递交资料后请耐心等待工作人员邮箱回复消息后，支付文件费用并确认报名成功。报名咨询请优先选择邮箱留言方式，特殊情况再电话联系，感谢理解。</w:t>
      </w:r>
    </w:p>
    <w:p>
      <w:pPr>
        <w:spacing w:line="360" w:lineRule="auto"/>
        <w:ind w:firstLine="420" w:firstLineChars="200"/>
        <w:jc w:val="left"/>
        <w:rPr>
          <w:rFonts w:ascii="宋体" w:hAnsi="宋体" w:cs="宋体"/>
          <w:szCs w:val="21"/>
        </w:rPr>
      </w:pPr>
      <w:r>
        <w:rPr>
          <w:rFonts w:hint="eastAsia" w:ascii="宋体" w:hAnsi="宋体" w:cs="宋体"/>
          <w:szCs w:val="21"/>
        </w:rPr>
        <w:t>售价：采购文件人民币400元/本，售后不退，不办理邮寄；</w:t>
      </w:r>
    </w:p>
    <w:p>
      <w:pPr>
        <w:pStyle w:val="4"/>
        <w:numPr>
          <w:ilvl w:val="0"/>
          <w:numId w:val="6"/>
        </w:numPr>
        <w:spacing w:line="360" w:lineRule="auto"/>
        <w:jc w:val="left"/>
        <w:rPr>
          <w:rFonts w:ascii="宋体" w:hAnsi="宋体" w:eastAsia="宋体" w:cs="宋体"/>
          <w:sz w:val="21"/>
          <w:szCs w:val="21"/>
        </w:rPr>
      </w:pPr>
      <w:bookmarkStart w:id="12" w:name="_Toc14502"/>
      <w:r>
        <w:rPr>
          <w:rFonts w:hint="eastAsia" w:ascii="宋体" w:hAnsi="宋体" w:eastAsia="宋体" w:cs="宋体"/>
          <w:sz w:val="21"/>
          <w:szCs w:val="21"/>
        </w:rPr>
        <w:t>响应文件提交</w:t>
      </w:r>
      <w:bookmarkEnd w:id="12"/>
    </w:p>
    <w:p>
      <w:pPr>
        <w:spacing w:line="360" w:lineRule="auto"/>
        <w:ind w:firstLine="420" w:firstLineChars="200"/>
        <w:jc w:val="left"/>
        <w:rPr>
          <w:rFonts w:ascii="宋体" w:hAnsi="宋体" w:cs="宋体"/>
          <w:szCs w:val="21"/>
        </w:rPr>
      </w:pPr>
      <w:r>
        <w:rPr>
          <w:rFonts w:hint="eastAsia" w:ascii="宋体" w:hAnsi="宋体" w:cs="宋体"/>
          <w:szCs w:val="21"/>
        </w:rPr>
        <w:t>2020年</w:t>
      </w:r>
      <w:r>
        <w:rPr>
          <w:rFonts w:hint="eastAsia" w:ascii="宋体" w:hAnsi="宋体" w:cs="宋体"/>
          <w:szCs w:val="21"/>
          <w:lang w:val="en-US" w:eastAsia="zh-CN"/>
        </w:rPr>
        <w:t>8</w:t>
      </w:r>
      <w:r>
        <w:rPr>
          <w:rFonts w:hint="eastAsia" w:ascii="宋体" w:hAnsi="宋体" w:cs="宋体"/>
          <w:szCs w:val="21"/>
        </w:rPr>
        <w:t>月</w:t>
      </w:r>
      <w:r>
        <w:rPr>
          <w:rFonts w:hint="eastAsia" w:ascii="宋体" w:hAnsi="宋体" w:cs="宋体"/>
          <w:szCs w:val="21"/>
          <w:lang w:val="en-US" w:eastAsia="zh-CN"/>
        </w:rPr>
        <w:t>4</w:t>
      </w:r>
      <w:r>
        <w:rPr>
          <w:rFonts w:hint="eastAsia" w:ascii="宋体" w:hAnsi="宋体" w:cs="宋体"/>
          <w:szCs w:val="21"/>
        </w:rPr>
        <w:t>日</w:t>
      </w:r>
      <w:r>
        <w:rPr>
          <w:rFonts w:hint="eastAsia" w:ascii="宋体" w:hAnsi="宋体" w:cs="宋体"/>
          <w:szCs w:val="21"/>
          <w:lang w:val="en-US" w:eastAsia="zh-CN"/>
        </w:rPr>
        <w:t>10</w:t>
      </w:r>
      <w:r>
        <w:rPr>
          <w:rFonts w:hint="eastAsia" w:ascii="宋体" w:hAnsi="宋体" w:cs="宋体"/>
          <w:szCs w:val="21"/>
        </w:rPr>
        <w:t>点</w:t>
      </w:r>
      <w:r>
        <w:rPr>
          <w:rFonts w:hint="eastAsia" w:ascii="宋体" w:hAnsi="宋体" w:cs="宋体"/>
          <w:szCs w:val="21"/>
          <w:lang w:val="en-US" w:eastAsia="zh-CN"/>
        </w:rPr>
        <w:t>00</w:t>
      </w:r>
      <w:r>
        <w:rPr>
          <w:rFonts w:hint="eastAsia" w:ascii="宋体" w:hAnsi="宋体" w:cs="宋体"/>
          <w:szCs w:val="21"/>
        </w:rPr>
        <w:t>分（北京时间）（从磋商文件开始发出之日起至供应商提交首次响应文件截止之日止不得少于10日）</w:t>
      </w:r>
      <w:r>
        <w:rPr>
          <w:rFonts w:hint="eastAsia" w:ascii="宋体" w:hAnsi="宋体" w:cs="宋体"/>
          <w:szCs w:val="21"/>
        </w:rPr>
        <w:br w:type="textWrapping"/>
      </w:r>
      <w:r>
        <w:rPr>
          <w:rFonts w:hint="eastAsia" w:ascii="宋体" w:hAnsi="宋体" w:cs="宋体"/>
          <w:szCs w:val="21"/>
        </w:rPr>
        <w:t>送达地点：武昌区中北路岳家嘴立交山河企业大厦4806室</w:t>
      </w:r>
    </w:p>
    <w:p>
      <w:pPr>
        <w:pStyle w:val="4"/>
        <w:numPr>
          <w:ilvl w:val="0"/>
          <w:numId w:val="6"/>
        </w:numPr>
        <w:spacing w:line="360" w:lineRule="auto"/>
        <w:jc w:val="left"/>
        <w:rPr>
          <w:rFonts w:eastAsia="宋体"/>
          <w:sz w:val="21"/>
          <w:szCs w:val="21"/>
        </w:rPr>
      </w:pPr>
      <w:bookmarkStart w:id="13" w:name="_Toc31167"/>
      <w:r>
        <w:rPr>
          <w:rFonts w:hint="eastAsia" w:ascii="宋体" w:hAnsi="宋体" w:eastAsia="宋体" w:cs="宋体"/>
          <w:sz w:val="21"/>
          <w:szCs w:val="21"/>
        </w:rPr>
        <w:t>开启</w:t>
      </w:r>
      <w:bookmarkEnd w:id="13"/>
    </w:p>
    <w:p>
      <w:pPr>
        <w:spacing w:line="360" w:lineRule="auto"/>
        <w:ind w:firstLine="420" w:firstLineChars="200"/>
        <w:jc w:val="left"/>
        <w:rPr>
          <w:szCs w:val="21"/>
        </w:rPr>
      </w:pPr>
      <w:r>
        <w:rPr>
          <w:rFonts w:hint="eastAsia" w:ascii="宋体" w:hAnsi="宋体" w:cs="宋体"/>
          <w:szCs w:val="21"/>
        </w:rPr>
        <w:t>时间：2020年</w:t>
      </w:r>
      <w:r>
        <w:rPr>
          <w:rFonts w:hint="eastAsia" w:ascii="宋体" w:hAnsi="宋体" w:cs="宋体"/>
          <w:szCs w:val="21"/>
          <w:lang w:val="en-US" w:eastAsia="zh-CN"/>
        </w:rPr>
        <w:t>8</w:t>
      </w:r>
      <w:r>
        <w:rPr>
          <w:rFonts w:hint="eastAsia" w:ascii="宋体" w:hAnsi="宋体" w:cs="宋体"/>
          <w:szCs w:val="21"/>
        </w:rPr>
        <w:t>月</w:t>
      </w:r>
      <w:r>
        <w:rPr>
          <w:rFonts w:hint="eastAsia" w:ascii="宋体" w:hAnsi="宋体" w:cs="宋体"/>
          <w:szCs w:val="21"/>
          <w:lang w:val="en-US" w:eastAsia="zh-CN"/>
        </w:rPr>
        <w:t>4</w:t>
      </w:r>
      <w:r>
        <w:rPr>
          <w:rFonts w:hint="eastAsia" w:ascii="宋体" w:hAnsi="宋体" w:cs="宋体"/>
          <w:szCs w:val="21"/>
        </w:rPr>
        <w:t>日</w:t>
      </w:r>
      <w:r>
        <w:rPr>
          <w:rFonts w:hint="eastAsia" w:ascii="宋体" w:hAnsi="宋体" w:cs="宋体"/>
          <w:szCs w:val="21"/>
          <w:lang w:val="en-US" w:eastAsia="zh-CN"/>
        </w:rPr>
        <w:t>10</w:t>
      </w:r>
      <w:r>
        <w:rPr>
          <w:rFonts w:hint="eastAsia" w:ascii="宋体" w:hAnsi="宋体" w:cs="宋体"/>
          <w:szCs w:val="21"/>
        </w:rPr>
        <w:t>点</w:t>
      </w:r>
      <w:r>
        <w:rPr>
          <w:rFonts w:hint="eastAsia" w:ascii="宋体" w:hAnsi="宋体" w:cs="宋体"/>
          <w:szCs w:val="21"/>
          <w:lang w:val="en-US" w:eastAsia="zh-CN"/>
        </w:rPr>
        <w:t>00</w:t>
      </w:r>
      <w:r>
        <w:rPr>
          <w:rFonts w:hint="eastAsia" w:ascii="宋体" w:hAnsi="宋体" w:cs="宋体"/>
          <w:szCs w:val="21"/>
        </w:rPr>
        <w:t>分（北京时间）</w:t>
      </w:r>
    </w:p>
    <w:p>
      <w:pPr>
        <w:pStyle w:val="4"/>
        <w:numPr>
          <w:ilvl w:val="0"/>
          <w:numId w:val="6"/>
        </w:numPr>
        <w:spacing w:line="360" w:lineRule="auto"/>
        <w:jc w:val="left"/>
        <w:rPr>
          <w:rFonts w:ascii="宋体" w:hAnsi="宋体" w:eastAsia="宋体" w:cs="宋体"/>
          <w:sz w:val="21"/>
          <w:szCs w:val="21"/>
        </w:rPr>
      </w:pPr>
      <w:bookmarkStart w:id="14" w:name="_Toc6326"/>
      <w:r>
        <w:rPr>
          <w:rFonts w:hint="eastAsia" w:ascii="宋体" w:hAnsi="宋体" w:eastAsia="宋体" w:cs="宋体"/>
          <w:sz w:val="21"/>
          <w:szCs w:val="21"/>
        </w:rPr>
        <w:t>公告期限</w:t>
      </w:r>
      <w:bookmarkEnd w:id="14"/>
    </w:p>
    <w:p>
      <w:pPr>
        <w:spacing w:line="360" w:lineRule="auto"/>
        <w:ind w:firstLine="420" w:firstLineChars="200"/>
        <w:jc w:val="left"/>
        <w:rPr>
          <w:rFonts w:ascii="宋体" w:hAnsi="宋体" w:cs="宋体"/>
          <w:szCs w:val="21"/>
        </w:rPr>
      </w:pPr>
      <w:bookmarkStart w:id="15" w:name="_Toc317262251"/>
      <w:bookmarkStart w:id="16" w:name="_Toc334539188"/>
      <w:bookmarkStart w:id="17" w:name="_Toc259607751"/>
      <w:bookmarkStart w:id="18" w:name="_Toc276368888"/>
      <w:bookmarkStart w:id="19" w:name="_Toc6021"/>
      <w:bookmarkStart w:id="20" w:name="_Toc320898024"/>
      <w:r>
        <w:rPr>
          <w:rFonts w:hint="eastAsia" w:ascii="宋体" w:hAnsi="宋体" w:cs="宋体"/>
          <w:szCs w:val="21"/>
        </w:rPr>
        <w:t>自本公告发布之日起至少5个工作日</w:t>
      </w:r>
    </w:p>
    <w:bookmarkEnd w:id="15"/>
    <w:bookmarkEnd w:id="16"/>
    <w:bookmarkEnd w:id="17"/>
    <w:bookmarkEnd w:id="18"/>
    <w:bookmarkEnd w:id="19"/>
    <w:bookmarkEnd w:id="20"/>
    <w:p>
      <w:pPr>
        <w:pStyle w:val="4"/>
        <w:numPr>
          <w:ilvl w:val="0"/>
          <w:numId w:val="6"/>
        </w:numPr>
        <w:spacing w:line="360" w:lineRule="auto"/>
        <w:jc w:val="left"/>
        <w:rPr>
          <w:rFonts w:ascii="宋体" w:hAnsi="宋体" w:eastAsia="宋体" w:cs="宋体"/>
          <w:sz w:val="21"/>
          <w:szCs w:val="21"/>
        </w:rPr>
      </w:pPr>
      <w:bookmarkStart w:id="21" w:name="_Toc14137"/>
      <w:r>
        <w:rPr>
          <w:rFonts w:hint="eastAsia" w:ascii="宋体" w:hAnsi="宋体" w:eastAsia="宋体" w:cs="宋体"/>
          <w:sz w:val="21"/>
          <w:szCs w:val="21"/>
        </w:rPr>
        <w:t>其他补充事宜</w:t>
      </w:r>
      <w:bookmarkEnd w:id="21"/>
    </w:p>
    <w:p>
      <w:pPr>
        <w:spacing w:line="360" w:lineRule="auto"/>
        <w:ind w:firstLine="420" w:firstLineChars="200"/>
        <w:jc w:val="left"/>
        <w:rPr>
          <w:rFonts w:ascii="宋体" w:hAnsi="宋体" w:cs="宋体"/>
          <w:szCs w:val="21"/>
        </w:rPr>
      </w:pPr>
      <w:bookmarkStart w:id="22" w:name="_Toc259028279"/>
      <w:r>
        <w:rPr>
          <w:rFonts w:hint="eastAsia" w:ascii="宋体" w:hAnsi="宋体" w:cs="宋体"/>
          <w:szCs w:val="21"/>
        </w:rPr>
        <w:t>1.本项目是否专门面向中小企业、监狱企业、残疾人福利性单位：否</w:t>
      </w:r>
    </w:p>
    <w:p>
      <w:pPr>
        <w:spacing w:line="360" w:lineRule="auto"/>
        <w:ind w:firstLine="420" w:firstLineChars="200"/>
        <w:jc w:val="left"/>
        <w:rPr>
          <w:rFonts w:ascii="宋体" w:hAnsi="宋体" w:cs="宋体"/>
          <w:szCs w:val="21"/>
        </w:rPr>
      </w:pPr>
      <w:r>
        <w:rPr>
          <w:rFonts w:hint="eastAsia" w:ascii="宋体" w:hAnsi="宋体" w:cs="宋体"/>
          <w:szCs w:val="21"/>
        </w:rPr>
        <w:t>2.与采购人存在利害关系可能影响采购公正性的法人、其他组织或者个人，不得参与本项目；单位负责人为同一人或存在控股、管理关系的不同单位只能有一家单位报名(按在采购代理机构处获取文件登记的先后顺序)。为本项目提供过整体设计、规范编制或者项目管理、监理、检测等服务的供应商不得参加本次采购活动。</w:t>
      </w:r>
    </w:p>
    <w:p>
      <w:pPr>
        <w:spacing w:line="360" w:lineRule="auto"/>
        <w:ind w:firstLine="420" w:firstLineChars="200"/>
        <w:jc w:val="left"/>
        <w:rPr>
          <w:rFonts w:ascii="宋体" w:hAnsi="宋体" w:cs="宋体"/>
          <w:szCs w:val="21"/>
        </w:rPr>
      </w:pPr>
      <w:r>
        <w:rPr>
          <w:rFonts w:hint="eastAsia" w:ascii="宋体" w:hAnsi="宋体" w:cs="宋体"/>
          <w:szCs w:val="21"/>
        </w:rPr>
        <w:t>3.供应商如需查询技术要求可直接到我处查阅采购文件第三章相关内容。</w:t>
      </w:r>
      <w:r>
        <w:rPr>
          <w:rFonts w:hint="eastAsia" w:ascii="宋体" w:hAnsi="宋体" w:cs="宋体"/>
          <w:szCs w:val="21"/>
        </w:rPr>
        <w:br w:type="textWrapping"/>
      </w:r>
      <w:r>
        <w:rPr>
          <w:rFonts w:hint="eastAsia" w:ascii="宋体" w:hAnsi="宋体" w:cs="宋体"/>
          <w:szCs w:val="21"/>
        </w:rPr>
        <w:t xml:space="preserve">    4.本项目将在以下网站发布所有信息，请参加本项目竞标的供应商密切关注。</w:t>
      </w:r>
    </w:p>
    <w:p>
      <w:pPr>
        <w:spacing w:line="360" w:lineRule="auto"/>
        <w:ind w:firstLine="420" w:firstLineChars="200"/>
        <w:jc w:val="left"/>
        <w:rPr>
          <w:rFonts w:ascii="宋体" w:hAnsi="宋体" w:cs="宋体"/>
          <w:szCs w:val="21"/>
        </w:rPr>
      </w:pPr>
      <w:r>
        <w:rPr>
          <w:rFonts w:hint="eastAsia" w:ascii="宋体" w:hAnsi="宋体" w:cs="宋体"/>
          <w:szCs w:val="21"/>
        </w:rPr>
        <w:t>（一）《中经国际招标集团有限公司官网》（网址：</w:t>
      </w:r>
      <w:r>
        <w:fldChar w:fldCharType="begin"/>
      </w:r>
      <w:r>
        <w:instrText xml:space="preserve"> HYPERLINK "http://www.ceitcl.com/）" </w:instrText>
      </w:r>
      <w:r>
        <w:fldChar w:fldCharType="separate"/>
      </w:r>
      <w:r>
        <w:rPr>
          <w:rFonts w:hint="eastAsia" w:ascii="宋体" w:hAnsi="宋体" w:cs="宋体"/>
          <w:szCs w:val="21"/>
        </w:rPr>
        <w:t>http://www.ceitcl.com/）、《中国采招交易网》（网址：http://www.zb80.com/）</w:t>
      </w:r>
      <w:r>
        <w:rPr>
          <w:rFonts w:hint="eastAsia" w:ascii="宋体" w:hAnsi="宋体" w:cs="宋体"/>
          <w:szCs w:val="21"/>
        </w:rPr>
        <w:fldChar w:fldCharType="end"/>
      </w:r>
    </w:p>
    <w:p>
      <w:pPr>
        <w:spacing w:line="360" w:lineRule="auto"/>
        <w:ind w:firstLine="420" w:firstLineChars="200"/>
        <w:jc w:val="left"/>
        <w:rPr>
          <w:rFonts w:ascii="宋体" w:hAnsi="宋体" w:cs="宋体"/>
          <w:szCs w:val="21"/>
        </w:rPr>
      </w:pPr>
      <w:r>
        <w:rPr>
          <w:rFonts w:hint="eastAsia" w:ascii="宋体" w:hAnsi="宋体" w:cs="宋体"/>
          <w:szCs w:val="21"/>
        </w:rPr>
        <w:t>（二）《武汉职业技术学院官网》（https://www.whpt.edu.cn/）</w:t>
      </w:r>
    </w:p>
    <w:p>
      <w:pPr>
        <w:spacing w:line="360" w:lineRule="auto"/>
        <w:ind w:firstLine="422" w:firstLineChars="200"/>
        <w:jc w:val="left"/>
        <w:rPr>
          <w:rFonts w:ascii="宋体" w:hAnsi="宋体" w:cs="宋体"/>
          <w:b/>
          <w:bCs/>
          <w:szCs w:val="21"/>
        </w:rPr>
      </w:pPr>
    </w:p>
    <w:bookmarkEnd w:id="22"/>
    <w:p>
      <w:pPr>
        <w:pStyle w:val="4"/>
        <w:numPr>
          <w:ilvl w:val="0"/>
          <w:numId w:val="6"/>
        </w:numPr>
        <w:spacing w:line="360" w:lineRule="auto"/>
        <w:jc w:val="left"/>
        <w:rPr>
          <w:rFonts w:ascii="宋体" w:hAnsi="宋体" w:eastAsia="宋体" w:cs="宋体"/>
          <w:sz w:val="21"/>
          <w:szCs w:val="21"/>
        </w:rPr>
      </w:pPr>
      <w:bookmarkStart w:id="23" w:name="_Toc17131"/>
      <w:r>
        <w:rPr>
          <w:rFonts w:hint="eastAsia" w:ascii="宋体" w:hAnsi="宋体" w:eastAsia="宋体" w:cs="宋体"/>
          <w:sz w:val="21"/>
          <w:szCs w:val="21"/>
        </w:rPr>
        <w:t>凡对本次采购提出询问，请按以下方式联系</w:t>
      </w:r>
      <w:bookmarkEnd w:id="23"/>
    </w:p>
    <w:p>
      <w:pPr>
        <w:spacing w:line="360" w:lineRule="auto"/>
        <w:ind w:firstLine="420" w:firstLineChars="200"/>
        <w:jc w:val="left"/>
        <w:rPr>
          <w:rFonts w:ascii="宋体" w:hAnsi="宋体" w:cs="宋体"/>
          <w:szCs w:val="21"/>
        </w:rPr>
      </w:pPr>
      <w:r>
        <w:rPr>
          <w:rFonts w:hint="eastAsia" w:ascii="宋体" w:hAnsi="宋体" w:cs="宋体"/>
          <w:szCs w:val="21"/>
        </w:rPr>
        <w:t>1.采购人信息</w:t>
      </w:r>
    </w:p>
    <w:p>
      <w:pPr>
        <w:spacing w:line="360" w:lineRule="auto"/>
        <w:ind w:firstLine="420" w:firstLineChars="200"/>
        <w:jc w:val="left"/>
        <w:rPr>
          <w:rFonts w:ascii="宋体" w:hAnsi="宋体" w:cs="宋体"/>
          <w:szCs w:val="21"/>
        </w:rPr>
      </w:pPr>
      <w:r>
        <w:rPr>
          <w:rFonts w:hint="eastAsia" w:ascii="宋体" w:hAnsi="宋体" w:cs="宋体"/>
          <w:szCs w:val="21"/>
        </w:rPr>
        <w:t>名 称：武汉职业技术学院　　　　　　　　　　　　</w:t>
      </w:r>
    </w:p>
    <w:p>
      <w:pPr>
        <w:spacing w:line="360" w:lineRule="auto"/>
        <w:ind w:firstLine="420" w:firstLineChars="200"/>
        <w:jc w:val="left"/>
        <w:rPr>
          <w:rFonts w:ascii="宋体" w:hAnsi="宋体" w:cs="宋体"/>
          <w:szCs w:val="21"/>
        </w:rPr>
      </w:pPr>
      <w:r>
        <w:rPr>
          <w:rFonts w:hint="eastAsia" w:ascii="宋体" w:hAnsi="宋体" w:cs="宋体"/>
          <w:szCs w:val="21"/>
        </w:rPr>
        <w:t>地址：武汉市关山大道463号　　　　　　　　　　　　</w:t>
      </w:r>
    </w:p>
    <w:p>
      <w:pPr>
        <w:spacing w:line="360" w:lineRule="auto"/>
        <w:ind w:firstLine="420" w:firstLineChars="200"/>
        <w:jc w:val="left"/>
        <w:rPr>
          <w:rFonts w:ascii="宋体" w:hAnsi="宋体" w:cs="宋体"/>
          <w:szCs w:val="21"/>
        </w:rPr>
      </w:pPr>
      <w:r>
        <w:rPr>
          <w:rFonts w:hint="eastAsia" w:ascii="宋体" w:hAnsi="宋体" w:cs="宋体"/>
          <w:szCs w:val="21"/>
        </w:rPr>
        <w:t xml:space="preserve">联系方式：王老师、17771886680　　　　　　　　　　 </w:t>
      </w:r>
    </w:p>
    <w:p>
      <w:pPr>
        <w:spacing w:line="360" w:lineRule="auto"/>
        <w:ind w:firstLine="420" w:firstLineChars="200"/>
        <w:jc w:val="left"/>
        <w:rPr>
          <w:rFonts w:ascii="宋体" w:hAnsi="宋体" w:cs="宋体"/>
          <w:szCs w:val="21"/>
        </w:rPr>
      </w:pPr>
      <w:r>
        <w:rPr>
          <w:rFonts w:hint="eastAsia" w:ascii="宋体" w:hAnsi="宋体" w:cs="宋体"/>
          <w:szCs w:val="21"/>
        </w:rPr>
        <w:t>2.采购代理机构信息</w:t>
      </w:r>
    </w:p>
    <w:p>
      <w:pPr>
        <w:spacing w:line="360" w:lineRule="auto"/>
        <w:ind w:firstLine="420" w:firstLineChars="200"/>
        <w:jc w:val="left"/>
        <w:rPr>
          <w:rFonts w:ascii="宋体" w:hAnsi="宋体" w:cs="宋体"/>
          <w:szCs w:val="21"/>
        </w:rPr>
      </w:pPr>
      <w:r>
        <w:rPr>
          <w:rFonts w:hint="eastAsia" w:ascii="宋体" w:hAnsi="宋体" w:cs="宋体"/>
          <w:szCs w:val="21"/>
        </w:rPr>
        <w:t>名 称：中经国际招标集团有限公司　　　　　　　　　　　　</w:t>
      </w:r>
    </w:p>
    <w:p>
      <w:pPr>
        <w:spacing w:line="360" w:lineRule="auto"/>
        <w:ind w:firstLine="420" w:firstLineChars="200"/>
        <w:jc w:val="left"/>
        <w:rPr>
          <w:rFonts w:ascii="宋体" w:hAnsi="宋体" w:cs="宋体"/>
          <w:szCs w:val="21"/>
        </w:rPr>
      </w:pPr>
      <w:r>
        <w:rPr>
          <w:rFonts w:hint="eastAsia" w:ascii="宋体" w:hAnsi="宋体" w:cs="宋体"/>
          <w:szCs w:val="21"/>
        </w:rPr>
        <w:t>地　址：武昌区中北路岳家嘴立交山河企业大厦48楼4805、4806室　　　　　　　　　　　　</w:t>
      </w:r>
    </w:p>
    <w:p>
      <w:pPr>
        <w:spacing w:line="360" w:lineRule="auto"/>
        <w:ind w:firstLine="420" w:firstLineChars="200"/>
        <w:jc w:val="left"/>
        <w:rPr>
          <w:rFonts w:ascii="宋体" w:hAnsi="宋体" w:cs="宋体"/>
          <w:szCs w:val="21"/>
        </w:rPr>
      </w:pPr>
      <w:r>
        <w:rPr>
          <w:rFonts w:hint="eastAsia" w:ascii="宋体" w:hAnsi="宋体" w:cs="宋体"/>
          <w:szCs w:val="21"/>
        </w:rPr>
        <w:t>联系方式：027-87820788　　　　　　　　　　　　</w:t>
      </w:r>
    </w:p>
    <w:p>
      <w:pPr>
        <w:spacing w:line="360" w:lineRule="auto"/>
        <w:ind w:firstLine="420" w:firstLineChars="200"/>
        <w:jc w:val="left"/>
        <w:rPr>
          <w:rFonts w:ascii="宋体" w:hAnsi="宋体" w:cs="宋体"/>
          <w:szCs w:val="21"/>
        </w:rPr>
      </w:pPr>
      <w:r>
        <w:rPr>
          <w:rFonts w:hint="eastAsia" w:ascii="宋体" w:hAnsi="宋体" w:cs="宋体"/>
          <w:szCs w:val="21"/>
        </w:rPr>
        <w:t>3.项目联系方式</w:t>
      </w:r>
    </w:p>
    <w:p>
      <w:pPr>
        <w:spacing w:line="360" w:lineRule="auto"/>
        <w:ind w:firstLine="420" w:firstLineChars="200"/>
        <w:jc w:val="left"/>
        <w:rPr>
          <w:rFonts w:ascii="宋体" w:hAnsi="宋体" w:cs="宋体"/>
          <w:szCs w:val="21"/>
        </w:rPr>
      </w:pPr>
      <w:r>
        <w:rPr>
          <w:rFonts w:hint="eastAsia" w:ascii="宋体" w:hAnsi="宋体" w:cs="宋体"/>
          <w:szCs w:val="21"/>
        </w:rPr>
        <w:t>项目联系人：张梦、方雪菲</w:t>
      </w:r>
    </w:p>
    <w:p>
      <w:pPr>
        <w:spacing w:line="360" w:lineRule="auto"/>
        <w:ind w:firstLine="420" w:firstLineChars="200"/>
        <w:jc w:val="left"/>
        <w:rPr>
          <w:rFonts w:asciiTheme="minorEastAsia" w:hAnsiTheme="minorEastAsia" w:eastAsiaTheme="minorEastAsia" w:cstheme="minorEastAsia"/>
          <w:szCs w:val="21"/>
        </w:rPr>
      </w:pPr>
      <w:r>
        <w:rPr>
          <w:rFonts w:hint="eastAsia" w:ascii="宋体" w:hAnsi="宋体" w:cs="宋体"/>
          <w:szCs w:val="21"/>
        </w:rPr>
        <w:t>电　话：027-87820788　　</w:t>
      </w:r>
    </w:p>
    <w:p>
      <w:pPr>
        <w:pStyle w:val="4"/>
        <w:numPr>
          <w:ilvl w:val="0"/>
          <w:numId w:val="6"/>
        </w:numPr>
        <w:spacing w:line="360" w:lineRule="auto"/>
        <w:jc w:val="left"/>
        <w:rPr>
          <w:rFonts w:asciiTheme="minorEastAsia" w:hAnsiTheme="minorEastAsia" w:eastAsiaTheme="minorEastAsia" w:cstheme="minorEastAsia"/>
          <w:sz w:val="21"/>
          <w:szCs w:val="21"/>
        </w:rPr>
      </w:pPr>
      <w:bookmarkStart w:id="24" w:name="_Toc7640"/>
      <w:bookmarkStart w:id="25" w:name="_Toc24714"/>
      <w:r>
        <w:rPr>
          <w:rFonts w:hint="eastAsia" w:asciiTheme="minorEastAsia" w:hAnsiTheme="minorEastAsia" w:eastAsiaTheme="minorEastAsia" w:cstheme="minorEastAsia"/>
          <w:sz w:val="21"/>
          <w:szCs w:val="21"/>
        </w:rPr>
        <w:t>注意事项</w:t>
      </w:r>
      <w:bookmarkEnd w:id="24"/>
      <w:bookmarkEnd w:id="25"/>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1、供应商在获取本项目竞争性磋商文件前须仔细阅读资格要求内容，并按磋商文件规定要求在响应文件中递交合格有效的资格证明文件，资格审查不合格将导致竞标失败。</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asciiTheme="minorEastAsia" w:hAnsiTheme="minorEastAsia" w:eastAsiaTheme="minorEastAsia" w:cstheme="minorEastAsia"/>
        </w:rPr>
      </w:pP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2020年</w:t>
      </w:r>
      <w:r>
        <w:rPr>
          <w:rFonts w:hint="eastAsia" w:asciiTheme="minorEastAsia" w:hAnsiTheme="minorEastAsia" w:eastAsiaTheme="minorEastAsia" w:cstheme="minorEastAsia"/>
          <w:szCs w:val="21"/>
          <w:lang w:val="en-US" w:eastAsia="zh-CN"/>
        </w:rPr>
        <w:t>7</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22</w:t>
      </w:r>
      <w:r>
        <w:rPr>
          <w:rFonts w:hint="eastAsia" w:asciiTheme="minorEastAsia" w:hAnsiTheme="minorEastAsia" w:eastAsiaTheme="minorEastAsia" w:cstheme="minorEastAsia"/>
          <w:szCs w:val="21"/>
        </w:rPr>
        <w:t>日</w:t>
      </w:r>
    </w:p>
    <w:bookmarkEnd w:id="232"/>
    <w:p>
      <w:pPr>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20"/>
        <w:rPr>
          <w:rFonts w:asciiTheme="minorEastAsia" w:hAnsiTheme="minorEastAsia" w:eastAsiaTheme="minorEastAsia" w:cstheme="minorEastAsia"/>
        </w:rPr>
      </w:pPr>
    </w:p>
    <w:p>
      <w:pPr>
        <w:numPr>
          <w:ilvl w:val="0"/>
          <w:numId w:val="4"/>
        </w:num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asciiTheme="minorEastAsia" w:hAnsiTheme="minorEastAsia" w:eastAsiaTheme="minorEastAsia" w:cstheme="minorEastAsia"/>
          <w:sz w:val="32"/>
          <w:szCs w:val="32"/>
        </w:rPr>
      </w:pPr>
      <w:bookmarkStart w:id="26" w:name="_Toc14323"/>
      <w:r>
        <w:rPr>
          <w:rFonts w:hint="eastAsia" w:asciiTheme="minorEastAsia" w:hAnsiTheme="minorEastAsia" w:eastAsiaTheme="minorEastAsia" w:cstheme="minorEastAsia"/>
          <w:sz w:val="36"/>
          <w:szCs w:val="36"/>
        </w:rPr>
        <w:t>供应商须知</w:t>
      </w:r>
      <w:bookmarkEnd w:id="26"/>
    </w:p>
    <w:p>
      <w:pPr>
        <w:autoSpaceDE w:val="0"/>
        <w:autoSpaceDN w:val="0"/>
        <w:adjustRightInd w:val="0"/>
        <w:spacing w:line="360" w:lineRule="auto"/>
        <w:jc w:val="center"/>
        <w:outlineLvl w:val="1"/>
        <w:rPr>
          <w:rFonts w:asciiTheme="minorEastAsia" w:hAnsiTheme="minorEastAsia" w:eastAsiaTheme="minorEastAsia" w:cstheme="minorEastAsia"/>
          <w:b/>
          <w:szCs w:val="21"/>
          <w:lang w:val="zh-CN"/>
        </w:rPr>
      </w:pPr>
      <w:bookmarkStart w:id="27" w:name="_Toc14892"/>
      <w:r>
        <w:rPr>
          <w:rFonts w:hint="eastAsia" w:asciiTheme="minorEastAsia" w:hAnsiTheme="minorEastAsia" w:eastAsiaTheme="minorEastAsia" w:cstheme="minorEastAsia"/>
          <w:b/>
          <w:szCs w:val="21"/>
        </w:rPr>
        <w:t>《供应商须知前附表》</w:t>
      </w:r>
      <w:bookmarkEnd w:id="27"/>
    </w:p>
    <w:p>
      <w:pPr>
        <w:autoSpaceDE w:val="0"/>
        <w:autoSpaceDN w:val="0"/>
        <w:adjustRightInd w:val="0"/>
        <w:spacing w:line="360" w:lineRule="auto"/>
        <w:ind w:firstLine="420" w:firstLineChars="20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条款号</w:t>
            </w:r>
          </w:p>
        </w:tc>
        <w:tc>
          <w:tcPr>
            <w:tcW w:w="2127" w:type="dxa"/>
            <w:shd w:val="clear" w:color="auto" w:fill="F1F1F1"/>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条款名称</w:t>
            </w:r>
          </w:p>
        </w:tc>
        <w:tc>
          <w:tcPr>
            <w:tcW w:w="6130" w:type="dxa"/>
            <w:shd w:val="clear" w:color="auto" w:fill="F1F1F1"/>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采购人</w:t>
            </w:r>
          </w:p>
        </w:tc>
        <w:tc>
          <w:tcPr>
            <w:tcW w:w="6130" w:type="dxa"/>
            <w:vAlign w:val="center"/>
          </w:tcPr>
          <w:p>
            <w:pPr>
              <w:jc w:val="left"/>
              <w:rPr>
                <w:rFonts w:asciiTheme="minorEastAsia" w:hAnsiTheme="minorEastAsia" w:eastAsiaTheme="minorEastAsia" w:cstheme="minorEastAsia"/>
                <w:szCs w:val="21"/>
                <w:lang w:val="zh-CN"/>
              </w:rPr>
            </w:pPr>
            <w:r>
              <w:rPr>
                <w:rFonts w:hint="eastAsia" w:ascii="宋体" w:hAnsi="宋体" w:cs="宋体"/>
                <w:szCs w:val="21"/>
              </w:rPr>
              <w:t>武汉职业技术学院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w:t>
            </w:r>
          </w:p>
        </w:tc>
        <w:tc>
          <w:tcPr>
            <w:tcW w:w="2127" w:type="dxa"/>
            <w:vAlign w:val="center"/>
          </w:tcPr>
          <w:p>
            <w:pPr>
              <w:pStyle w:val="24"/>
              <w:widowControl w:val="0"/>
              <w:autoSpaceDE w:val="0"/>
              <w:autoSpaceDN w:val="0"/>
              <w:adjustRightInd w:val="0"/>
              <w:spacing w:before="0" w:beforeAutospacing="0" w:after="0" w:afterAutospacing="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监管部门</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宋体" w:hAnsi="宋体" w:cs="宋体"/>
                <w:szCs w:val="21"/>
              </w:rPr>
              <w:t>武汉职业技术学院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采购代理机构</w:t>
            </w:r>
          </w:p>
        </w:tc>
        <w:tc>
          <w:tcPr>
            <w:tcW w:w="6130" w:type="dxa"/>
            <w:vAlign w:val="center"/>
          </w:tcPr>
          <w:p>
            <w:pPr>
              <w:pStyle w:val="24"/>
              <w:widowControl w:val="0"/>
              <w:autoSpaceDE w:val="0"/>
              <w:autoSpaceDN w:val="0"/>
              <w:adjustRightInd w:val="0"/>
              <w:spacing w:beforeLines="10" w:beforeAutospacing="0" w:afterLines="10" w:afterAutospacing="0"/>
              <w:ind w:left="21" w:leftChars="10"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磋商供应商</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sz w:val="21"/>
                <w:szCs w:val="21"/>
                <w:lang w:val="zh-CN"/>
              </w:rPr>
              <w:t>详见</w:t>
            </w:r>
            <w:r>
              <w:rPr>
                <w:rFonts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招标代理服务费</w:t>
            </w:r>
          </w:p>
        </w:tc>
        <w:tc>
          <w:tcPr>
            <w:tcW w:w="6130" w:type="dxa"/>
            <w:vAlign w:val="center"/>
          </w:tcPr>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国家发展与改革委员会办公厅发改办价格【2003】857号文的规定，经与采购人协商，由成交供应商按国家发展计划委员会计价格【2002】1980号文规定的取费标准的70%向采购代理机构支付招标代理服务费。招标代理服务费由成交供应商在领取成交通知书的同时，向采购代理机构支付。不足肆仟元按肆仟元保底收费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提疑截止时间</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rPr>
              <w:t>供应商</w:t>
            </w:r>
            <w:r>
              <w:rPr>
                <w:rFonts w:asciiTheme="minorEastAsia" w:hAnsiTheme="minorEastAsia" w:eastAsiaTheme="minorEastAsia" w:cstheme="minorEastAsia"/>
                <w:sz w:val="21"/>
                <w:szCs w:val="21"/>
                <w:lang w:val="zh-CN"/>
              </w:rPr>
              <w:t>对</w:t>
            </w:r>
            <w:r>
              <w:rPr>
                <w:rFonts w:asciiTheme="minorEastAsia" w:hAnsiTheme="minorEastAsia" w:eastAsiaTheme="minorEastAsia" w:cstheme="minorEastAsia"/>
                <w:sz w:val="21"/>
                <w:szCs w:val="21"/>
              </w:rPr>
              <w:t>磋商</w:t>
            </w:r>
            <w:r>
              <w:rPr>
                <w:rFonts w:asciiTheme="minorEastAsia" w:hAnsiTheme="minorEastAsia" w:eastAsiaTheme="minorEastAsia" w:cstheme="minorEastAsia"/>
                <w:sz w:val="21"/>
                <w:szCs w:val="21"/>
                <w:lang w:val="zh-CN"/>
              </w:rPr>
              <w:t>文件有异议</w:t>
            </w:r>
            <w:r>
              <w:rPr>
                <w:rFonts w:asciiTheme="minorEastAsia" w:hAnsiTheme="minorEastAsia" w:eastAsiaTheme="minorEastAsia" w:cstheme="minorEastAsia"/>
                <w:sz w:val="21"/>
                <w:szCs w:val="21"/>
              </w:rPr>
              <w:t>或疑问</w:t>
            </w:r>
            <w:r>
              <w:rPr>
                <w:rFonts w:asciiTheme="minorEastAsia" w:hAnsiTheme="minorEastAsia" w:eastAsiaTheme="minorEastAsia" w:cstheme="minorEastAsia"/>
                <w:sz w:val="21"/>
                <w:szCs w:val="21"/>
                <w:lang w:val="zh-CN"/>
              </w:rPr>
              <w:t>的，均应以书面形式在</w:t>
            </w:r>
          </w:p>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lang w:val="zh-CN"/>
              </w:rPr>
              <w:t>2020年</w:t>
            </w:r>
            <w:r>
              <w:rPr>
                <w:rFonts w:hint="eastAsia" w:asciiTheme="minorEastAsia" w:hAnsiTheme="minorEastAsia" w:eastAsiaTheme="minorEastAsia" w:cstheme="minorEastAsia"/>
                <w:sz w:val="21"/>
                <w:szCs w:val="21"/>
                <w:lang w:val="en-US" w:eastAsia="zh-CN"/>
              </w:rPr>
              <w:t>7</w:t>
            </w:r>
            <w:r>
              <w:rPr>
                <w:rFonts w:asciiTheme="minorEastAsia" w:hAnsiTheme="minorEastAsia" w:eastAsiaTheme="minorEastAsia" w:cstheme="minorEastAsia"/>
                <w:sz w:val="21"/>
                <w:szCs w:val="21"/>
                <w:lang w:val="zh-CN"/>
              </w:rPr>
              <w:t>月</w:t>
            </w:r>
            <w:r>
              <w:rPr>
                <w:rFonts w:hint="eastAsia" w:asciiTheme="minorEastAsia" w:hAnsiTheme="minorEastAsia" w:eastAsiaTheme="minorEastAsia" w:cstheme="minorEastAsia"/>
                <w:sz w:val="21"/>
                <w:szCs w:val="21"/>
                <w:lang w:val="en-US" w:eastAsia="zh-CN"/>
              </w:rPr>
              <w:t>30</w:t>
            </w:r>
            <w:r>
              <w:rPr>
                <w:rFonts w:asciiTheme="minorEastAsia" w:hAnsiTheme="minorEastAsia" w:eastAsiaTheme="minorEastAsia" w:cstheme="minorEastAsia"/>
                <w:sz w:val="21"/>
                <w:szCs w:val="21"/>
                <w:lang w:val="zh-CN"/>
              </w:rPr>
              <w:t>日</w:t>
            </w:r>
            <w:r>
              <w:rPr>
                <w:rFonts w:asciiTheme="minorEastAsia" w:hAnsiTheme="minorEastAsia" w:eastAsiaTheme="minorEastAsia" w:cstheme="minorEastAsia"/>
                <w:sz w:val="21"/>
                <w:szCs w:val="21"/>
              </w:rPr>
              <w:t>17</w:t>
            </w:r>
            <w:r>
              <w:rPr>
                <w:rFonts w:asciiTheme="minorEastAsia" w:hAnsiTheme="minorEastAsia" w:eastAsiaTheme="minorEastAsia" w:cstheme="minorEastAsia"/>
                <w:sz w:val="21"/>
                <w:szCs w:val="21"/>
                <w:lang w:val="zh-CN"/>
              </w:rPr>
              <w:t>:</w:t>
            </w:r>
            <w:r>
              <w:rPr>
                <w:rFonts w:asciiTheme="minorEastAsia" w:hAnsiTheme="minorEastAsia" w:eastAsiaTheme="minorEastAsia" w:cstheme="minorEastAsia"/>
                <w:sz w:val="21"/>
                <w:szCs w:val="21"/>
              </w:rPr>
              <w:t>0</w:t>
            </w:r>
            <w:r>
              <w:rPr>
                <w:rFonts w:asciiTheme="minorEastAsia" w:hAnsiTheme="minorEastAsia" w:eastAsiaTheme="minorEastAsia" w:cstheme="minorEastAsia"/>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rPr>
            </w:pPr>
            <w:r>
              <w:rPr>
                <w:rFonts w:asciiTheme="minorEastAsia" w:hAnsiTheme="minorEastAsia" w:eastAsiaTheme="minorEastAsia" w:cstheme="minorEastAsia"/>
                <w:kern w:val="2"/>
                <w:sz w:val="21"/>
                <w:szCs w:val="21"/>
              </w:rPr>
              <w:t>7.1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供应商确认收到磋商</w:t>
            </w:r>
          </w:p>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文件澄清或者修改的</w:t>
            </w:r>
          </w:p>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时间</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10.4</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对多</w:t>
            </w:r>
            <w:r>
              <w:rPr>
                <w:rFonts w:hint="eastAsia" w:asciiTheme="minorEastAsia" w:hAnsiTheme="minorEastAsia" w:eastAsiaTheme="minorEastAsia" w:cstheme="minorEastAsia"/>
                <w:snapToGrid w:val="0"/>
                <w:kern w:val="0"/>
                <w:szCs w:val="21"/>
              </w:rPr>
              <w:t>包</w:t>
            </w:r>
            <w:r>
              <w:rPr>
                <w:rFonts w:hint="eastAsia" w:asciiTheme="minorEastAsia" w:hAnsiTheme="minorEastAsia" w:eastAsiaTheme="minorEastAsia" w:cstheme="minorEastAsia"/>
                <w:snapToGrid w:val="0"/>
                <w:kern w:val="0"/>
                <w:szCs w:val="21"/>
                <w:lang w:val="zh-CN"/>
              </w:rPr>
              <w:t>采购的规定</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w:t>
            </w:r>
            <w:r>
              <w:rPr>
                <w:rFonts w:hint="eastAsia" w:asciiTheme="minorEastAsia" w:hAnsiTheme="minorEastAsia" w:eastAsiaTheme="minorEastAsia" w:cstheme="minorEastAsia"/>
                <w:szCs w:val="21"/>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备选方案</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本次采购  </w:t>
            </w:r>
            <w:r>
              <w:rPr>
                <w:rFonts w:hint="eastAsia" w:asciiTheme="minorEastAsia" w:hAnsiTheme="minorEastAsia" w:eastAsiaTheme="minorEastAsia" w:cstheme="minorEastAsia"/>
                <w:szCs w:val="21"/>
                <w:u w:val="single"/>
                <w:lang w:val="zh-CN"/>
              </w:rPr>
              <w:t>不接受</w:t>
            </w:r>
            <w:r>
              <w:rPr>
                <w:rFonts w:hint="eastAsia" w:asciiTheme="minorEastAsia" w:hAnsiTheme="minorEastAsia" w:eastAsiaTheme="minorEastAsia" w:cstheme="minorEastAsia"/>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联合体磋商</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本次采购 </w:t>
            </w:r>
            <w:r>
              <w:rPr>
                <w:rFonts w:hint="eastAsia" w:asciiTheme="minorEastAsia" w:hAnsiTheme="minorEastAsia" w:eastAsiaTheme="minorEastAsia" w:cstheme="minorEastAsia"/>
                <w:szCs w:val="21"/>
                <w:u w:val="single"/>
                <w:lang w:val="zh-CN"/>
              </w:rPr>
              <w:t>不接受</w:t>
            </w:r>
            <w:r>
              <w:rPr>
                <w:rFonts w:hint="eastAsia" w:asciiTheme="minorEastAsia" w:hAnsiTheme="minorEastAsia" w:eastAsiaTheme="minorEastAsia" w:cstheme="minorEastAsia"/>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w:t>
            </w:r>
          </w:p>
        </w:tc>
        <w:tc>
          <w:tcPr>
            <w:tcW w:w="2127" w:type="dxa"/>
            <w:vAlign w:val="center"/>
          </w:tcPr>
          <w:p>
            <w:pPr>
              <w:autoSpaceDE w:val="0"/>
              <w:autoSpaceDN w:val="0"/>
              <w:adjustRightInd w:val="0"/>
              <w:jc w:val="center"/>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b/>
                <w:bCs/>
                <w:szCs w:val="21"/>
                <w:lang w:val="zh-CN"/>
              </w:rPr>
              <w:t>应提交的其它资格证明文件（实质性要求）</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详见第一章《</w:t>
            </w:r>
            <w:r>
              <w:rPr>
                <w:rFonts w:hint="eastAsia" w:asciiTheme="minorEastAsia" w:hAnsiTheme="minorEastAsia" w:eastAsiaTheme="minorEastAsia" w:cstheme="minorEastAsia"/>
                <w:szCs w:val="21"/>
              </w:rPr>
              <w:t>竞争性磋商</w:t>
            </w:r>
            <w:r>
              <w:rPr>
                <w:rFonts w:hint="eastAsia" w:asciiTheme="minorEastAsia" w:hAnsiTheme="minorEastAsia" w:eastAsiaTheme="minorEastAsia" w:cstheme="minorEastAsia"/>
                <w:szCs w:val="21"/>
                <w:lang w:val="zh-CN"/>
              </w:rPr>
              <w:t>公告》第二款“资格要求”，须提供的证明文件包括但不限于：</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1、具有独立承担民事责任的能力（经营范围需满足采购需求）；</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2、具有良好的商业信誉和健全的财务会计制度；</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良好的商业信誉证明材料（自拟），财务会计制度指财务状况报告（供应商是法人的，应提供前一年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3、具有履行合同所必需的设备和专业技术能力的证明材料；（自拟）</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4、具有依法缴纳税收和社会保障资金的良好记录：（1）供应商依法缴纳税收的证明材料：投标截止时间往前推算连续六个月（至少三个月）缴纳税收的凭据（完税证明、缴款书、银行代扣（代缴）转账凭证等均可）；（2）供应商依法缴纳社会保障资金的证明材料：投标截止时间往前推算连续六个月（至少三个月）缴纳社会保险的凭据（专用发票或社会保险缴纳清单）；（3）供应商为其他组织或自然人的，也需要按此项规定提供缴纳税收的凭据和缴纳社会保险的凭据；（4）递交投标文件截止时间当月成立但因税务机关原因导致其尚未依法缴纳税收的供应商，提供依法缴纳税收承诺书原件（格式自拟），该承诺书视同税收缴纳凭据。（5）递交投标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5、参加政府采购活动前三年内，在经营活动中没有重大违法记录；（提供书面声明）（重大违法记录是指供应商因违法经营受到刑事处罚或者责令停产停业、吊销许可证或者执照、较大数额罚款等行政处罚）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jc w:val="left"/>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6、符合本文件第一章第二款资格要求的所有证明资料。</w:t>
            </w:r>
          </w:p>
          <w:p>
            <w:pPr>
              <w:autoSpaceDE w:val="0"/>
              <w:autoSpaceDN w:val="0"/>
              <w:adjustRightInd w:val="0"/>
              <w:jc w:val="left"/>
              <w:rPr>
                <w:rFonts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b/>
                <w:bCs/>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14.4</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供应商不得存在的其他情形</w:t>
            </w:r>
          </w:p>
        </w:tc>
        <w:tc>
          <w:tcPr>
            <w:tcW w:w="6130" w:type="dxa"/>
            <w:vAlign w:val="center"/>
          </w:tcPr>
          <w:p>
            <w:pPr>
              <w:numPr>
                <w:ilvl w:val="0"/>
                <w:numId w:val="9"/>
              </w:num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numPr>
                <w:ilvl w:val="0"/>
                <w:numId w:val="9"/>
              </w:num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证明响应内容符合竞争性磋商采购文件要求的文件和竞争性磋商采购文件规定的其他资料</w:t>
            </w:r>
          </w:p>
        </w:tc>
        <w:tc>
          <w:tcPr>
            <w:tcW w:w="6130"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磋商保证金金额、递交方式、时间及接受磋商保证金的帐户信息</w:t>
            </w:r>
            <w:r>
              <w:rPr>
                <w:rFonts w:hint="eastAsia" w:asciiTheme="minorEastAsia" w:hAnsiTheme="minorEastAsia" w:eastAsiaTheme="minorEastAsia" w:cstheme="minorEastAsia"/>
                <w:b/>
                <w:bCs/>
                <w:snapToGrid w:val="0"/>
                <w:kern w:val="0"/>
                <w:szCs w:val="21"/>
                <w:lang w:val="zh-CN"/>
              </w:rPr>
              <w:t>（</w:t>
            </w:r>
            <w:r>
              <w:rPr>
                <w:rFonts w:hint="eastAsia" w:asciiTheme="minorEastAsia" w:hAnsiTheme="minorEastAsia" w:eastAsiaTheme="minorEastAsia" w:cstheme="minorEastAsia"/>
                <w:b/>
                <w:bCs/>
                <w:snapToGrid w:val="0"/>
                <w:kern w:val="0"/>
                <w:szCs w:val="21"/>
              </w:rPr>
              <w:t>本项目不适用</w:t>
            </w:r>
            <w:r>
              <w:rPr>
                <w:rFonts w:hint="eastAsia" w:asciiTheme="minorEastAsia" w:hAnsiTheme="minorEastAsia" w:eastAsiaTheme="minorEastAsia" w:cstheme="minorEastAsia"/>
                <w:b/>
                <w:bCs/>
                <w:snapToGrid w:val="0"/>
                <w:kern w:val="0"/>
                <w:szCs w:val="21"/>
                <w:lang w:val="zh-CN"/>
              </w:rPr>
              <w:t>）</w:t>
            </w:r>
          </w:p>
        </w:tc>
        <w:tc>
          <w:tcPr>
            <w:tcW w:w="6130" w:type="dxa"/>
            <w:vAlign w:val="center"/>
          </w:tcPr>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金    额：/</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户    名：中经国际招标集团有限公司湖北分公司</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开户银行：中国农业银行股份有限公司武汉岳家嘴支行</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帐    号：17053001040009288</w:t>
            </w:r>
          </w:p>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w:t>
            </w:r>
            <w:r>
              <w:fldChar w:fldCharType="begin"/>
            </w:r>
            <w: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fldChar w:fldCharType="separate"/>
            </w:r>
            <w:r>
              <w:rPr>
                <w:rFonts w:hint="eastAsia" w:asciiTheme="minorEastAsia" w:hAnsiTheme="minorEastAsia" w:eastAsiaTheme="minorEastAsia" w:cstheme="minorEastAsia"/>
                <w:szCs w:val="21"/>
              </w:rPr>
              <w:t>供应商缴纳投标保证金必须从供应商的基本帐户以支票、汇票、本票、电汇或者金融机构、担保机构出具的保函等非现金形式一次性汇至中经国际招标集团有限公司湖北分公司专用账户,截止时间为递交响应文件截止时间，以采购代理公司银行到账信息为准。成交供应商签订合同后须将合同扫描件（PDF版）发送至2102252595@qq.com邮箱备案后方可退还保证金。</w:t>
            </w:r>
            <w:r>
              <w:rPr>
                <w:rFonts w:hint="eastAsia" w:asciiTheme="minorEastAsia" w:hAnsiTheme="minorEastAsia" w:eastAsiaTheme="minorEastAsia" w:cstheme="minorEastAsia"/>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kern w:val="0"/>
                <w:szCs w:val="21"/>
              </w:rPr>
              <w:t>自磋商截止时间起共</w:t>
            </w:r>
            <w:r>
              <w:rPr>
                <w:rFonts w:hint="eastAsia" w:asciiTheme="minorEastAsia" w:hAnsiTheme="minorEastAsia" w:eastAsiaTheme="minorEastAsia" w:cstheme="minorEastAsia"/>
                <w:kern w:val="0"/>
                <w:szCs w:val="21"/>
                <w:u w:val="single"/>
              </w:rPr>
              <w:t xml:space="preserve"> 90 </w:t>
            </w:r>
            <w:r>
              <w:rPr>
                <w:rFonts w:hint="eastAsia" w:asciiTheme="minorEastAsia" w:hAnsiTheme="minorEastAsia" w:eastAsiaTheme="minorEastAsia" w:cstheme="minorEastAsia"/>
                <w:kern w:val="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竞争性磋商响应文件正、副本数量</w:t>
            </w:r>
          </w:p>
        </w:tc>
        <w:tc>
          <w:tcPr>
            <w:tcW w:w="6130" w:type="dxa"/>
            <w:vAlign w:val="center"/>
          </w:tcPr>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1、投标文件纸质版：正本一份（需为彩色打印件），副本</w:t>
            </w:r>
            <w:r>
              <w:rPr>
                <w:rFonts w:hint="eastAsia" w:asciiTheme="minorEastAsia" w:hAnsiTheme="minorEastAsia" w:eastAsiaTheme="minorEastAsia" w:cstheme="minorEastAsia"/>
                <w:szCs w:val="21"/>
                <w:u w:val="single"/>
              </w:rPr>
              <w:t xml:space="preserve"> 两 </w:t>
            </w:r>
            <w:r>
              <w:rPr>
                <w:rFonts w:hint="eastAsia" w:asciiTheme="minorEastAsia" w:hAnsiTheme="minorEastAsia" w:eastAsiaTheme="minorEastAsia" w:cstheme="minorEastAsia"/>
                <w:szCs w:val="21"/>
              </w:rPr>
              <w:t>份；</w:t>
            </w:r>
          </w:p>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2、投标文件电子版：</w:t>
            </w:r>
          </w:p>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□不要求</w:t>
            </w:r>
          </w:p>
          <w:p>
            <w:pPr>
              <w:autoSpaceDE w:val="0"/>
              <w:autoSpaceDN w:val="0"/>
              <w:snapToGri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bdr w:val="single" w:color="auto" w:sz="4" w:space="0"/>
              </w:rPr>
              <w:t>√</w:t>
            </w:r>
            <w:r>
              <w:rPr>
                <w:rFonts w:hint="eastAsia" w:asciiTheme="minorEastAsia" w:hAnsiTheme="minorEastAsia" w:eastAsiaTheme="minorEastAsia" w:cstheme="minorEastAsia"/>
                <w:szCs w:val="21"/>
              </w:rPr>
              <w:t>要求，投标文件电子版内容：</w:t>
            </w:r>
            <w:r>
              <w:rPr>
                <w:rFonts w:hint="eastAsia" w:asciiTheme="minorEastAsia" w:hAnsiTheme="minorEastAsia" w:eastAsiaTheme="minorEastAsia" w:cstheme="minorEastAsia"/>
                <w:szCs w:val="21"/>
                <w:u w:val="single"/>
              </w:rPr>
              <w:t>与正本保持一致</w:t>
            </w:r>
          </w:p>
          <w:p>
            <w:pPr>
              <w:autoSpaceDE w:val="0"/>
              <w:autoSpaceDN w:val="0"/>
              <w:snapToGrid w:val="0"/>
              <w:ind w:firstLine="840" w:firstLineChars="4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shd w:val="clear" w:color="auto" w:fill="FFFFFF"/>
              </w:rPr>
              <w:t>投标文件电子版格式：</w:t>
            </w:r>
            <w:r>
              <w:rPr>
                <w:rFonts w:hint="eastAsia" w:asciiTheme="minorEastAsia" w:hAnsiTheme="minorEastAsia" w:eastAsiaTheme="minorEastAsia" w:cstheme="minorEastAsia"/>
                <w:szCs w:val="21"/>
                <w:u w:val="single"/>
              </w:rPr>
              <w:t>加盖公章后的PDF扫描件格式；</w:t>
            </w:r>
          </w:p>
          <w:p>
            <w:pPr>
              <w:autoSpaceDE w:val="0"/>
              <w:autoSpaceDN w:val="0"/>
              <w:adjustRightIn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投标文件电子版形式：</w:t>
            </w:r>
            <w:r>
              <w:rPr>
                <w:rFonts w:hint="eastAsia" w:asciiTheme="minorEastAsia" w:hAnsiTheme="minorEastAsia" w:eastAsiaTheme="minorEastAsia" w:cstheme="minorEastAsia"/>
                <w:szCs w:val="21"/>
                <w:u w:val="single"/>
              </w:rPr>
              <w:t xml:space="preserve"> U盘1份</w:t>
            </w:r>
          </w:p>
          <w:p>
            <w:pPr>
              <w:autoSpaceDE w:val="0"/>
              <w:autoSpaceDN w:val="0"/>
              <w:adjustRightIn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3、手持法定代表人授权委托书（或法定代表人身份证明书）、单独密封提供的报价一览表、优惠声明（如有）；</w:t>
            </w:r>
          </w:p>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所有响应文件概不退还，响应文件按包分开制作，分开密封。</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纸质投标文件应采用胶粘方</w:t>
            </w:r>
            <w:r>
              <w:rPr>
                <w:rFonts w:hint="eastAsia" w:asciiTheme="minorEastAsia" w:hAnsiTheme="minorEastAsia" w:eastAsiaTheme="minorEastAsia" w:cstheme="minorEastAsia"/>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rPr>
              <w:t>19.1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竞争性磋商响应文件的密封和标记</w:t>
            </w:r>
          </w:p>
        </w:tc>
        <w:tc>
          <w:tcPr>
            <w:tcW w:w="6130" w:type="dxa"/>
            <w:vAlign w:val="center"/>
          </w:tcPr>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本条款细化为：响应文件正本需逐页加盖供应商单位公章，不得使用单位其他专用章代替。因签字盖章问题导致的响应材料被否决或竞标受影响的情况，其后果供应商自行承担。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19.4</w:t>
            </w:r>
          </w:p>
        </w:tc>
        <w:tc>
          <w:tcPr>
            <w:tcW w:w="2127" w:type="dxa"/>
            <w:vAlign w:val="center"/>
          </w:tcPr>
          <w:p>
            <w:pPr>
              <w:autoSpaceDE w:val="0"/>
              <w:autoSpaceDN w:val="0"/>
              <w:adjustRightIn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样品</w:t>
            </w:r>
          </w:p>
        </w:tc>
        <w:tc>
          <w:tcPr>
            <w:tcW w:w="6130" w:type="dxa"/>
            <w:vAlign w:val="center"/>
          </w:tcPr>
          <w:p>
            <w:pPr>
              <w:autoSpaceDE w:val="0"/>
              <w:autoSpaceDN w:val="0"/>
              <w:adjustRightInd w:val="0"/>
              <w:jc w:val="left"/>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提交样品的相关规定：要求在磋商时提交样品的，应在样品上标明磋商供应商名称。</w:t>
            </w:r>
            <w:r>
              <w:rPr>
                <w:rFonts w:hint="eastAsia" w:asciiTheme="minorEastAsia" w:hAnsiTheme="minorEastAsia" w:eastAsiaTheme="minorEastAsia" w:cstheme="minorEastAsia"/>
                <w:kern w:val="0"/>
                <w:szCs w:val="21"/>
                <w:lang w:val="zh-CN"/>
              </w:rPr>
              <w:br w:type="textWrapping"/>
            </w:r>
            <w:r>
              <w:rPr>
                <w:rFonts w:hint="eastAsia" w:asciiTheme="minorEastAsia" w:hAnsiTheme="minorEastAsia" w:eastAsiaTheme="minorEastAsia" w:cstheme="minorEastAsia"/>
                <w:kern w:val="0"/>
                <w:szCs w:val="21"/>
                <w:lang w:val="zh-CN"/>
              </w:rPr>
              <w:t>退还样品的相关规定：</w:t>
            </w:r>
            <w:r>
              <w:rPr>
                <w:rFonts w:hint="eastAsia" w:asciiTheme="minorEastAsia" w:hAnsiTheme="minorEastAsia" w:eastAsiaTheme="minorEastAsia" w:cstheme="minorEastAsia"/>
                <w:kern w:val="0"/>
                <w:szCs w:val="21"/>
              </w:rPr>
              <w:t>未成交供应商在成交公告发布之日起5个工作日内退还，具体电话通知。成交供应商样品移交采购人做为验收依据，不予退还。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响应文件送达地点及递交截止时间</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磋商小组人数</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bCs/>
                <w:snapToGrid w:val="0"/>
                <w:kern w:val="0"/>
                <w:szCs w:val="21"/>
              </w:rPr>
            </w:pPr>
            <w:r>
              <w:rPr>
                <w:rFonts w:hint="eastAsia" w:asciiTheme="minorEastAsia" w:hAnsiTheme="minorEastAsia" w:eastAsiaTheme="minorEastAsia" w:cstheme="minorEastAsia"/>
                <w:b/>
                <w:bCs/>
                <w:snapToGrid w:val="0"/>
                <w:kern w:val="0"/>
                <w:szCs w:val="21"/>
              </w:rPr>
              <w:t>磋商代表</w:t>
            </w:r>
          </w:p>
        </w:tc>
        <w:tc>
          <w:tcPr>
            <w:tcW w:w="6130" w:type="dxa"/>
            <w:vAlign w:val="center"/>
          </w:tcPr>
          <w:p>
            <w:pPr>
              <w:autoSpaceDE w:val="0"/>
              <w:autoSpaceDN w:val="0"/>
              <w:adjustRightInd w:val="0"/>
              <w:jc w:val="left"/>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建议供应商拟派出席磋商会议的磋商代表为熟知本项目的技术人员或商务负责人等能</w:t>
            </w:r>
            <w:r>
              <w:rPr>
                <w:rFonts w:hint="eastAsia" w:asciiTheme="minorEastAsia" w:hAnsiTheme="minorEastAsia" w:eastAsiaTheme="minorEastAsia" w:cstheme="minorEastAsia"/>
                <w:b/>
                <w:bCs/>
                <w:szCs w:val="21"/>
              </w:rPr>
              <w:t>为磋商小组详细介绍供应商公司情况及项目了解情况的</w:t>
            </w:r>
            <w:r>
              <w:rPr>
                <w:rFonts w:hint="eastAsia" w:asciiTheme="minorEastAsia" w:hAnsiTheme="minorEastAsia" w:eastAsiaTheme="minorEastAsia" w:cstheme="minorEastAsia"/>
                <w:b/>
                <w:bCs/>
                <w:szCs w:val="21"/>
                <w:lang w:val="zh-CN"/>
              </w:rPr>
              <w:t>具有依法缴纳社会保障资金良好记录（磋商现场查询）的在职工作人员，以便在评审过程中进行可能出现的答疑或澄清。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26.4</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提交最后报价供应商的确定方式</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Cs w:val="21"/>
              </w:rPr>
              <w:t>在指定地点以</w:t>
            </w:r>
            <w:r>
              <w:rPr>
                <w:rFonts w:hint="eastAsia" w:asciiTheme="minorEastAsia" w:hAnsiTheme="minorEastAsia" w:eastAsiaTheme="minorEastAsia" w:cstheme="minorEastAsia"/>
                <w:snapToGrid w:val="0"/>
                <w:kern w:val="0"/>
                <w:szCs w:val="21"/>
                <w:lang w:val="zh-CN"/>
              </w:rPr>
              <w:t>密封</w:t>
            </w:r>
            <w:r>
              <w:rPr>
                <w:rFonts w:hint="eastAsia" w:asciiTheme="minorEastAsia" w:hAnsiTheme="minorEastAsia" w:eastAsiaTheme="minorEastAsia" w:cstheme="minorEastAsia"/>
                <w:snapToGrid w:val="0"/>
                <w:kern w:val="0"/>
                <w:szCs w:val="21"/>
              </w:rPr>
              <w:t>等形式</w:t>
            </w:r>
            <w:r>
              <w:rPr>
                <w:rFonts w:hint="eastAsia" w:asciiTheme="minorEastAsia" w:hAnsiTheme="minorEastAsia" w:eastAsiaTheme="minorEastAsia" w:cstheme="minorEastAsia"/>
                <w:snapToGrid w:val="0"/>
                <w:kern w:val="0"/>
                <w:szCs w:val="21"/>
                <w:lang w:val="zh-CN"/>
              </w:rPr>
              <w:t>递交</w:t>
            </w:r>
            <w:r>
              <w:rPr>
                <w:rFonts w:hint="eastAsia" w:asciiTheme="minorEastAsia" w:hAnsiTheme="minorEastAsia" w:eastAsiaTheme="minorEastAsia" w:cstheme="minorEastAsia"/>
                <w:snapToGrid w:val="0"/>
                <w:kern w:val="0"/>
                <w:szCs w:val="21"/>
              </w:rPr>
              <w:t>给采购代理机构指定现场工作人员或</w:t>
            </w:r>
            <w:r>
              <w:rPr>
                <w:rFonts w:hint="eastAsia" w:asciiTheme="minorEastAsia" w:hAnsiTheme="minorEastAsia" w:eastAsiaTheme="minorEastAsia" w:cstheme="minorEastAsia"/>
                <w:snapToGrid w:val="0"/>
                <w:kern w:val="0"/>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27.3</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推荐成交候选</w:t>
            </w:r>
            <w:r>
              <w:rPr>
                <w:rFonts w:hint="eastAsia" w:asciiTheme="minorEastAsia" w:hAnsiTheme="minorEastAsia" w:eastAsiaTheme="minorEastAsia" w:cstheme="minorEastAsia"/>
                <w:snapToGrid w:val="0"/>
                <w:kern w:val="0"/>
                <w:szCs w:val="21"/>
              </w:rPr>
              <w:t>供应商</w:t>
            </w:r>
            <w:r>
              <w:rPr>
                <w:rFonts w:hint="eastAsia" w:asciiTheme="minorEastAsia" w:hAnsiTheme="minorEastAsia" w:eastAsiaTheme="minorEastAsia" w:cstheme="minorEastAsia"/>
                <w:snapToGrid w:val="0"/>
                <w:kern w:val="0"/>
                <w:szCs w:val="21"/>
                <w:lang w:val="zh-CN"/>
              </w:rPr>
              <w:t>数量</w:t>
            </w:r>
          </w:p>
        </w:tc>
        <w:tc>
          <w:tcPr>
            <w:tcW w:w="6130" w:type="dxa"/>
            <w:vAlign w:val="center"/>
          </w:tcPr>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本项目推荐</w:t>
            </w:r>
            <w:r>
              <w:rPr>
                <w:rFonts w:hint="eastAsia" w:asciiTheme="minorEastAsia" w:hAnsiTheme="minorEastAsia" w:eastAsiaTheme="minorEastAsia" w:cstheme="minorEastAsia"/>
                <w:bCs/>
                <w:kern w:val="44"/>
                <w:szCs w:val="21"/>
                <w:u w:val="single"/>
              </w:rPr>
              <w:t>3</w:t>
            </w:r>
            <w:r>
              <w:rPr>
                <w:rFonts w:hint="eastAsia" w:asciiTheme="minorEastAsia" w:hAnsiTheme="minorEastAsia" w:eastAsiaTheme="minorEastAsia" w:cstheme="minorEastAsia"/>
                <w:bCs/>
                <w:kern w:val="44"/>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28.5</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成交通知书的领</w:t>
            </w:r>
            <w:r>
              <w:rPr>
                <w:rFonts w:hint="eastAsia" w:asciiTheme="minorEastAsia" w:hAnsiTheme="minorEastAsia" w:eastAsiaTheme="minorEastAsia" w:cstheme="minorEastAsia"/>
                <w:snapToGrid w:val="0"/>
                <w:kern w:val="0"/>
                <w:szCs w:val="21"/>
              </w:rPr>
              <w:t>时</w:t>
            </w:r>
            <w:r>
              <w:rPr>
                <w:rFonts w:hint="eastAsia" w:asciiTheme="minorEastAsia" w:hAnsiTheme="minorEastAsia" w:eastAsiaTheme="minorEastAsia" w:cstheme="minorEastAsia"/>
                <w:snapToGrid w:val="0"/>
                <w:kern w:val="0"/>
                <w:szCs w:val="21"/>
                <w:lang w:val="zh-CN"/>
              </w:rPr>
              <w:t>间</w:t>
            </w:r>
          </w:p>
        </w:tc>
        <w:tc>
          <w:tcPr>
            <w:tcW w:w="6130" w:type="dxa"/>
            <w:vAlign w:val="center"/>
          </w:tcPr>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成交通知书与成交结果公告同时发出，成交供应商在成交结果公告</w:t>
            </w:r>
          </w:p>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发布以后即可联系采购代理机构领取。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Lines="10" w:afterLines="10"/>
              <w:ind w:right="21" w:rightChars="10"/>
              <w:jc w:val="center"/>
              <w:rPr>
                <w:rFonts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b/>
                <w:bCs/>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报价方式</w:t>
            </w:r>
          </w:p>
        </w:tc>
        <w:tc>
          <w:tcPr>
            <w:tcW w:w="6130" w:type="dxa"/>
            <w:vAlign w:val="center"/>
          </w:tcPr>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1、</w:t>
            </w:r>
            <w:r>
              <w:rPr>
                <w:rFonts w:hint="eastAsia" w:asciiTheme="minorEastAsia" w:hAnsiTheme="minorEastAsia" w:eastAsiaTheme="minorEastAsia" w:cstheme="minorEastAsia"/>
                <w:color w:val="000000" w:themeColor="text1"/>
                <w:szCs w:val="21"/>
                <w:lang w:val="zh-CN"/>
              </w:rPr>
              <w:t>本次报价采取拟缴纳的成本补偿费定额报价方式</w:t>
            </w:r>
            <w:r>
              <w:rPr>
                <w:rFonts w:hint="eastAsia" w:asciiTheme="minorEastAsia" w:hAnsiTheme="minorEastAsia" w:eastAsiaTheme="minorEastAsia" w:cstheme="minorEastAsia"/>
                <w:color w:val="000000" w:themeColor="text1"/>
                <w:szCs w:val="21"/>
              </w:rPr>
              <w:t>；</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2、</w:t>
            </w:r>
            <w:r>
              <w:rPr>
                <w:rFonts w:hint="eastAsia" w:asciiTheme="minorEastAsia" w:hAnsiTheme="minorEastAsia" w:eastAsiaTheme="minorEastAsia" w:cstheme="minorEastAsia"/>
                <w:color w:val="000000" w:themeColor="text1"/>
                <w:szCs w:val="21"/>
                <w:lang w:val="zh-CN"/>
              </w:rPr>
              <w:t>本项目</w:t>
            </w:r>
            <w:r>
              <w:rPr>
                <w:rFonts w:hint="eastAsia" w:asciiTheme="minorEastAsia" w:hAnsiTheme="minorEastAsia" w:eastAsiaTheme="minorEastAsia" w:cstheme="minorEastAsia"/>
                <w:color w:val="000000" w:themeColor="text1"/>
                <w:szCs w:val="21"/>
              </w:rPr>
              <w:t>竞标</w:t>
            </w:r>
            <w:r>
              <w:rPr>
                <w:rFonts w:hint="eastAsia" w:asciiTheme="minorEastAsia" w:hAnsiTheme="minorEastAsia" w:eastAsiaTheme="minorEastAsia" w:cstheme="minorEastAsia"/>
                <w:color w:val="000000" w:themeColor="text1"/>
                <w:szCs w:val="21"/>
                <w:lang w:val="zh-CN"/>
              </w:rPr>
              <w:t>报价为“交钥匙”价。竞标报价应包括完成该</w:t>
            </w:r>
            <w:r>
              <w:rPr>
                <w:rFonts w:hint="eastAsia" w:asciiTheme="minorEastAsia" w:hAnsiTheme="minorEastAsia" w:eastAsiaTheme="minorEastAsia" w:cstheme="minorEastAsia"/>
                <w:color w:val="000000" w:themeColor="text1"/>
                <w:szCs w:val="21"/>
              </w:rPr>
              <w:t>项目采购范围内的所有费用</w:t>
            </w:r>
            <w:r>
              <w:rPr>
                <w:rFonts w:hint="eastAsia" w:asciiTheme="minorEastAsia" w:hAnsiTheme="minorEastAsia" w:eastAsiaTheme="minorEastAsia" w:cstheme="minorEastAsia"/>
                <w:color w:val="000000" w:themeColor="text1"/>
                <w:szCs w:val="21"/>
                <w:lang w:val="zh-CN"/>
              </w:rPr>
              <w:t>及</w:t>
            </w:r>
            <w:r>
              <w:rPr>
                <w:rFonts w:hint="eastAsia" w:asciiTheme="minorEastAsia" w:hAnsiTheme="minorEastAsia" w:eastAsiaTheme="minorEastAsia" w:cstheme="minorEastAsia"/>
                <w:color w:val="000000" w:themeColor="text1"/>
                <w:szCs w:val="21"/>
              </w:rPr>
              <w:t>后期</w:t>
            </w:r>
            <w:r>
              <w:rPr>
                <w:rFonts w:hint="eastAsia" w:asciiTheme="minorEastAsia" w:hAnsiTheme="minorEastAsia" w:eastAsiaTheme="minorEastAsia" w:cstheme="minorEastAsia"/>
                <w:color w:val="000000" w:themeColor="text1"/>
                <w:szCs w:val="21"/>
                <w:lang w:val="zh-CN"/>
              </w:rPr>
              <w:t>等一切服务费用及其他售后服务等全部相关工作</w:t>
            </w:r>
            <w:r>
              <w:rPr>
                <w:rFonts w:hint="eastAsia" w:asciiTheme="minorEastAsia" w:hAnsiTheme="minorEastAsia" w:eastAsiaTheme="minorEastAsia" w:cstheme="minorEastAsia"/>
                <w:color w:val="000000" w:themeColor="text1"/>
                <w:szCs w:val="21"/>
              </w:rPr>
              <w:t>的全费用</w:t>
            </w:r>
            <w:r>
              <w:rPr>
                <w:rFonts w:hint="eastAsia" w:asciiTheme="minorEastAsia" w:hAnsiTheme="minorEastAsia" w:eastAsiaTheme="minorEastAsia" w:cstheme="minorEastAsia"/>
                <w:color w:val="000000" w:themeColor="text1"/>
                <w:szCs w:val="21"/>
                <w:lang w:val="zh-CN"/>
              </w:rPr>
              <w:t>。各供应商按此要求进行报价，同时在合同实施过程中还将发生的其它费用</w:t>
            </w:r>
            <w:r>
              <w:rPr>
                <w:rFonts w:hint="eastAsia" w:asciiTheme="minorEastAsia" w:hAnsiTheme="minorEastAsia" w:eastAsiaTheme="minorEastAsia" w:cstheme="minorEastAsia"/>
                <w:color w:val="000000" w:themeColor="text1"/>
                <w:szCs w:val="21"/>
              </w:rPr>
              <w:t>也</w:t>
            </w:r>
            <w:r>
              <w:rPr>
                <w:rFonts w:hint="eastAsia" w:asciiTheme="minorEastAsia" w:hAnsiTheme="minorEastAsia" w:eastAsiaTheme="minorEastAsia" w:cstheme="minorEastAsia"/>
                <w:color w:val="000000" w:themeColor="text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000000" w:themeColor="text1"/>
                <w:szCs w:val="21"/>
              </w:rPr>
              <w:t>采购人</w:t>
            </w:r>
            <w:r>
              <w:rPr>
                <w:rFonts w:hint="eastAsia" w:asciiTheme="minorEastAsia" w:hAnsiTheme="minorEastAsia" w:eastAsiaTheme="minorEastAsia" w:cstheme="minorEastAsia"/>
                <w:color w:val="000000" w:themeColor="text1"/>
                <w:szCs w:val="21"/>
                <w:lang w:val="zh-CN"/>
              </w:rPr>
              <w:t>概不负责。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踏勘现场</w:t>
            </w:r>
          </w:p>
        </w:tc>
        <w:tc>
          <w:tcPr>
            <w:tcW w:w="6130" w:type="dxa"/>
            <w:vAlign w:val="center"/>
          </w:tcPr>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☑采购人不组织统一踏勘，请各供应商自行踏勘现场；</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□组织，踏勘时间：</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踏勘集中地点：</w:t>
            </w:r>
          </w:p>
          <w:p>
            <w:pPr>
              <w:autoSpaceDE w:val="0"/>
              <w:autoSpaceDN w:val="0"/>
              <w:adjustRightInd w:val="0"/>
              <w:snapToGrid w:val="0"/>
              <w:spacing w:beforeLines="10" w:afterLines="10"/>
              <w:ind w:right="21" w:rightChars="10" w:firstLine="840" w:firstLineChars="4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踏勘联系人：</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注：1、供应商承担踏勘现场所发生的自身费用；</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2、供应商应承担踏勘现场的责任和风险。</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3、采购人在踏勘现场中介绍的项目背景及项目现场和相关的周边环境情况，供应商在编制响应文件时参考，采购人和采购代理机构不对供应商据此作出的判断和决策负责。</w:t>
            </w:r>
          </w:p>
        </w:tc>
      </w:tr>
    </w:tbl>
    <w:p>
      <w:pP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page"/>
      </w:r>
    </w:p>
    <w:p>
      <w:pPr>
        <w:spacing w:line="360" w:lineRule="auto"/>
        <w:outlineLvl w:val="1"/>
        <w:rPr>
          <w:rFonts w:asciiTheme="minorEastAsia" w:hAnsiTheme="minorEastAsia" w:eastAsiaTheme="minorEastAsia" w:cstheme="minorEastAsia"/>
          <w:b/>
          <w:szCs w:val="21"/>
        </w:rPr>
      </w:pPr>
      <w:bookmarkStart w:id="28" w:name="_Toc3672"/>
      <w:r>
        <w:rPr>
          <w:rFonts w:hint="eastAsia" w:asciiTheme="minorEastAsia" w:hAnsiTheme="minorEastAsia" w:eastAsiaTheme="minorEastAsia" w:cstheme="minorEastAsia"/>
          <w:b/>
          <w:szCs w:val="21"/>
        </w:rPr>
        <w:t>供应商须知</w:t>
      </w:r>
      <w:bookmarkEnd w:id="28"/>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29" w:name="_Toc23552"/>
      <w:r>
        <w:rPr>
          <w:rFonts w:hint="eastAsia" w:asciiTheme="minorEastAsia" w:hAnsiTheme="minorEastAsia" w:eastAsiaTheme="minorEastAsia" w:cstheme="minorEastAsia"/>
          <w:b/>
          <w:szCs w:val="21"/>
        </w:rPr>
        <w:t>总则</w:t>
      </w:r>
      <w:bookmarkEnd w:id="29"/>
    </w:p>
    <w:p>
      <w:pPr>
        <w:numPr>
          <w:ilvl w:val="0"/>
          <w:numId w:val="11"/>
        </w:numPr>
        <w:spacing w:line="360" w:lineRule="auto"/>
        <w:ind w:hanging="540"/>
        <w:outlineLvl w:val="1"/>
        <w:rPr>
          <w:rFonts w:asciiTheme="minorEastAsia" w:hAnsiTheme="minorEastAsia" w:eastAsiaTheme="minorEastAsia" w:cstheme="minorEastAsia"/>
          <w:b/>
          <w:szCs w:val="21"/>
        </w:rPr>
      </w:pPr>
      <w:bookmarkStart w:id="30" w:name="_Toc17526"/>
      <w:bookmarkStart w:id="31" w:name="_Toc27243"/>
      <w:r>
        <w:rPr>
          <w:rFonts w:hint="eastAsia" w:asciiTheme="minorEastAsia" w:hAnsiTheme="minorEastAsia" w:eastAsiaTheme="minorEastAsia" w:cstheme="minorEastAsia"/>
          <w:b/>
          <w:szCs w:val="21"/>
        </w:rPr>
        <w:t>适用法律及范围</w:t>
      </w:r>
      <w:bookmarkEnd w:id="30"/>
      <w:bookmarkEnd w:id="31"/>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11"/>
        </w:numPr>
        <w:spacing w:line="360" w:lineRule="auto"/>
        <w:ind w:hanging="540"/>
        <w:outlineLvl w:val="1"/>
        <w:rPr>
          <w:rFonts w:asciiTheme="minorEastAsia" w:hAnsiTheme="minorEastAsia" w:eastAsiaTheme="minorEastAsia" w:cstheme="minorEastAsia"/>
          <w:b/>
          <w:szCs w:val="21"/>
        </w:rPr>
      </w:pPr>
      <w:bookmarkStart w:id="32" w:name="_Toc30547"/>
      <w:bookmarkStart w:id="33" w:name="_Toc18168"/>
      <w:r>
        <w:rPr>
          <w:rFonts w:hint="eastAsia" w:asciiTheme="minorEastAsia" w:hAnsiTheme="minorEastAsia" w:eastAsiaTheme="minorEastAsia" w:cstheme="minorEastAsia"/>
          <w:b/>
          <w:szCs w:val="21"/>
        </w:rPr>
        <w:t>定义</w:t>
      </w:r>
      <w:bookmarkEnd w:id="32"/>
      <w:bookmarkEnd w:id="33"/>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11"/>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11"/>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11"/>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是指经磋商小组评审推荐，采购人授予合同的供应商。</w:t>
      </w:r>
    </w:p>
    <w:p>
      <w:pPr>
        <w:numPr>
          <w:ilvl w:val="0"/>
          <w:numId w:val="11"/>
        </w:numPr>
        <w:spacing w:line="360" w:lineRule="auto"/>
        <w:ind w:hanging="540"/>
        <w:outlineLvl w:val="1"/>
        <w:rPr>
          <w:rFonts w:asciiTheme="minorEastAsia" w:hAnsiTheme="minorEastAsia" w:eastAsiaTheme="minorEastAsia" w:cstheme="minorEastAsia"/>
          <w:b/>
          <w:szCs w:val="21"/>
        </w:rPr>
      </w:pPr>
      <w:bookmarkStart w:id="34" w:name="_Toc15153"/>
      <w:bookmarkStart w:id="35" w:name="_Toc30503"/>
      <w:r>
        <w:rPr>
          <w:rFonts w:hint="eastAsia" w:asciiTheme="minorEastAsia" w:hAnsiTheme="minorEastAsia" w:eastAsiaTheme="minorEastAsia" w:cstheme="minorEastAsia"/>
          <w:b/>
          <w:snapToGrid w:val="0"/>
          <w:kern w:val="0"/>
          <w:szCs w:val="21"/>
          <w:lang w:val="zh-CN"/>
        </w:rPr>
        <w:t>工程、货物及服务</w:t>
      </w:r>
      <w:bookmarkEnd w:id="34"/>
      <w:bookmarkEnd w:id="35"/>
    </w:p>
    <w:p>
      <w:pPr>
        <w:numPr>
          <w:ilvl w:val="1"/>
          <w:numId w:val="14"/>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4"/>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11"/>
        </w:numPr>
        <w:spacing w:line="360" w:lineRule="auto"/>
        <w:ind w:hanging="540"/>
        <w:outlineLvl w:val="1"/>
        <w:rPr>
          <w:rFonts w:asciiTheme="minorEastAsia" w:hAnsiTheme="minorEastAsia" w:eastAsiaTheme="minorEastAsia" w:cstheme="minorEastAsia"/>
          <w:b/>
          <w:szCs w:val="21"/>
        </w:rPr>
      </w:pPr>
      <w:bookmarkStart w:id="36" w:name="_Toc9974"/>
      <w:bookmarkStart w:id="37" w:name="_Toc7414"/>
      <w:r>
        <w:rPr>
          <w:rFonts w:hint="eastAsia" w:asciiTheme="minorEastAsia" w:hAnsiTheme="minorEastAsia" w:eastAsiaTheme="minorEastAsia" w:cstheme="minorEastAsia"/>
          <w:b/>
          <w:szCs w:val="21"/>
        </w:rPr>
        <w:t>费用</w:t>
      </w:r>
      <w:bookmarkEnd w:id="36"/>
      <w:bookmarkEnd w:id="37"/>
    </w:p>
    <w:p>
      <w:pPr>
        <w:numPr>
          <w:ilvl w:val="1"/>
          <w:numId w:val="15"/>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5"/>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5"/>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中标金额（万元）</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货物</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100以下</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100-500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500-1000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0.45%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1000-5000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5000-10000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10000-100000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100000以上</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0.01%</w:t>
            </w:r>
          </w:p>
        </w:tc>
      </w:tr>
    </w:tbl>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注：招标代理服务收费按差额定率累进法计算。例如：某服务招标代理业务中标金额为6000万元，计算招标代理服务收费额如下：</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 xml:space="preserve"> 0---100：100×1.500％=15000.000元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100---500：400×0.800％=32000.000元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500---1000：500×0.450％=22500.000元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1000---5000：4000×0.250％=100000.000元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5000---6000：1000×0.100％=10000.000元</w:t>
      </w:r>
    </w:p>
    <w:p>
      <w:pPr>
        <w:tabs>
          <w:tab w:val="left" w:pos="540"/>
        </w:tabs>
        <w:spacing w:line="360" w:lineRule="auto"/>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合计收费=179500.000元</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38" w:name="_Toc26445"/>
      <w:r>
        <w:rPr>
          <w:rFonts w:hint="eastAsia" w:asciiTheme="minorEastAsia" w:hAnsiTheme="minorEastAsia" w:eastAsiaTheme="minorEastAsia" w:cstheme="minorEastAsia"/>
          <w:b/>
          <w:szCs w:val="21"/>
        </w:rPr>
        <w:t>竞争性磋商采购文件</w:t>
      </w:r>
      <w:bookmarkEnd w:id="38"/>
    </w:p>
    <w:p>
      <w:pPr>
        <w:numPr>
          <w:ilvl w:val="0"/>
          <w:numId w:val="11"/>
        </w:numPr>
        <w:spacing w:line="360" w:lineRule="auto"/>
        <w:ind w:hanging="540"/>
        <w:outlineLvl w:val="1"/>
        <w:rPr>
          <w:rFonts w:asciiTheme="minorEastAsia" w:hAnsiTheme="minorEastAsia" w:eastAsiaTheme="minorEastAsia" w:cstheme="minorEastAsia"/>
          <w:b/>
          <w:szCs w:val="21"/>
        </w:rPr>
      </w:pPr>
      <w:bookmarkStart w:id="39" w:name="_Toc4547"/>
      <w:bookmarkStart w:id="40" w:name="_Toc30852"/>
      <w:r>
        <w:rPr>
          <w:rFonts w:hint="eastAsia" w:asciiTheme="minorEastAsia" w:hAnsiTheme="minorEastAsia" w:eastAsiaTheme="minorEastAsia" w:cstheme="minorEastAsia"/>
          <w:b/>
          <w:szCs w:val="21"/>
        </w:rPr>
        <w:t>竞争性磋商采购文件的构成</w:t>
      </w:r>
      <w:bookmarkEnd w:id="39"/>
      <w:bookmarkEnd w:id="40"/>
    </w:p>
    <w:p>
      <w:pPr>
        <w:numPr>
          <w:ilvl w:val="1"/>
          <w:numId w:val="16"/>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磋商小组在磋商过程中发出的对本磋商文件的实质性变动</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41" w:name="_Toc29700"/>
      <w:bookmarkStart w:id="42" w:name="_Toc30359"/>
      <w:r>
        <w:rPr>
          <w:rFonts w:hint="eastAsia" w:asciiTheme="minorEastAsia" w:hAnsiTheme="minorEastAsia" w:eastAsiaTheme="minorEastAsia" w:cstheme="minorEastAsia"/>
          <w:b/>
          <w:snapToGrid w:val="0"/>
          <w:kern w:val="0"/>
          <w:szCs w:val="21"/>
          <w:lang w:val="zh-CN"/>
        </w:rPr>
        <w:t>竞争性磋商采购文件的澄清</w:t>
      </w:r>
      <w:bookmarkEnd w:id="41"/>
      <w:bookmarkEnd w:id="42"/>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43" w:name="_Toc8169"/>
      <w:bookmarkStart w:id="44" w:name="_Toc31761"/>
      <w:r>
        <w:rPr>
          <w:rFonts w:hint="eastAsia" w:asciiTheme="minorEastAsia" w:hAnsiTheme="minorEastAsia" w:eastAsiaTheme="minorEastAsia" w:cstheme="minorEastAsia"/>
          <w:b/>
          <w:snapToGrid w:val="0"/>
          <w:kern w:val="0"/>
          <w:szCs w:val="21"/>
          <w:lang w:val="zh-CN"/>
        </w:rPr>
        <w:t>竞争性磋商采购文件的修改</w:t>
      </w:r>
      <w:bookmarkEnd w:id="43"/>
      <w:bookmarkEnd w:id="44"/>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8"/>
        </w:numPr>
        <w:tabs>
          <w:tab w:val="left" w:pos="525"/>
          <w:tab w:val="clear" w:pos="360"/>
        </w:tabs>
        <w:autoSpaceDE w:val="0"/>
        <w:autoSpaceDN w:val="0"/>
        <w:adjustRightInd w:val="0"/>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45" w:name="_Toc20286"/>
      <w:r>
        <w:rPr>
          <w:rFonts w:hint="eastAsia" w:asciiTheme="minorEastAsia" w:hAnsiTheme="minorEastAsia" w:eastAsiaTheme="minorEastAsia" w:cstheme="minorEastAsia"/>
          <w:b/>
          <w:szCs w:val="21"/>
        </w:rPr>
        <w:t>竞争性磋商响应文件</w:t>
      </w:r>
      <w:bookmarkEnd w:id="45"/>
    </w:p>
    <w:p>
      <w:pPr>
        <w:numPr>
          <w:ilvl w:val="0"/>
          <w:numId w:val="11"/>
        </w:numPr>
        <w:spacing w:line="360" w:lineRule="auto"/>
        <w:ind w:hanging="540"/>
        <w:outlineLvl w:val="1"/>
        <w:rPr>
          <w:rFonts w:asciiTheme="minorEastAsia" w:hAnsiTheme="minorEastAsia" w:eastAsiaTheme="minorEastAsia" w:cstheme="minorEastAsia"/>
          <w:snapToGrid w:val="0"/>
          <w:kern w:val="0"/>
          <w:szCs w:val="21"/>
          <w:lang w:val="zh-CN"/>
        </w:rPr>
      </w:pPr>
      <w:bookmarkStart w:id="46" w:name="_Toc15763"/>
      <w:bookmarkStart w:id="47" w:name="_Toc30987"/>
      <w:r>
        <w:rPr>
          <w:rFonts w:hint="eastAsia" w:asciiTheme="minorEastAsia" w:hAnsiTheme="minorEastAsia" w:eastAsiaTheme="minorEastAsia" w:cstheme="minorEastAsia"/>
          <w:b/>
          <w:snapToGrid w:val="0"/>
          <w:kern w:val="0"/>
          <w:szCs w:val="21"/>
          <w:lang w:val="zh-CN"/>
        </w:rPr>
        <w:t>语言和计量单位</w:t>
      </w:r>
      <w:bookmarkEnd w:id="46"/>
      <w:bookmarkEnd w:id="47"/>
    </w:p>
    <w:p>
      <w:pPr>
        <w:numPr>
          <w:ilvl w:val="1"/>
          <w:numId w:val="19"/>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9"/>
        </w:numPr>
        <w:tabs>
          <w:tab w:val="left" w:pos="540"/>
          <w:tab w:val="clear" w:pos="360"/>
        </w:tabs>
        <w:spacing w:line="360" w:lineRule="auto"/>
        <w:ind w:left="540" w:hanging="540"/>
        <w:rPr>
          <w:rFonts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48" w:name="_Toc17163"/>
      <w:bookmarkStart w:id="49" w:name="_Toc32272"/>
      <w:r>
        <w:rPr>
          <w:rFonts w:hint="eastAsia" w:asciiTheme="minorEastAsia" w:hAnsiTheme="minorEastAsia" w:eastAsiaTheme="minorEastAsia" w:cstheme="minorEastAsia"/>
          <w:b/>
          <w:snapToGrid w:val="0"/>
          <w:kern w:val="0"/>
          <w:szCs w:val="21"/>
          <w:lang w:val="zh-CN"/>
        </w:rPr>
        <w:t>竞争性磋商响应文件的构成</w:t>
      </w:r>
      <w:bookmarkEnd w:id="48"/>
      <w:bookmarkEnd w:id="49"/>
    </w:p>
    <w:p>
      <w:pPr>
        <w:numPr>
          <w:ilvl w:val="1"/>
          <w:numId w:val="20"/>
        </w:numPr>
        <w:tabs>
          <w:tab w:val="left" w:pos="525"/>
          <w:tab w:val="clear" w:pos="360"/>
        </w:tabs>
        <w:autoSpaceDE w:val="0"/>
        <w:autoSpaceDN w:val="0"/>
        <w:adjustRightInd w:val="0"/>
        <w:spacing w:line="360" w:lineRule="auto"/>
        <w:ind w:left="0" w:firstLine="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50" w:name="_Toc12523"/>
      <w:bookmarkStart w:id="51" w:name="_Toc25217"/>
      <w:r>
        <w:rPr>
          <w:rFonts w:hint="eastAsia" w:asciiTheme="minorEastAsia" w:hAnsiTheme="minorEastAsia" w:eastAsiaTheme="minorEastAsia" w:cstheme="minorEastAsia"/>
          <w:b/>
          <w:snapToGrid w:val="0"/>
          <w:kern w:val="0"/>
          <w:szCs w:val="21"/>
          <w:lang w:val="zh-CN"/>
        </w:rPr>
        <w:t>竞争性磋商响应文件的编制</w:t>
      </w:r>
      <w:bookmarkEnd w:id="50"/>
      <w:bookmarkEnd w:id="51"/>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52" w:name="_Toc24544"/>
      <w:bookmarkStart w:id="53" w:name="_Toc23907"/>
      <w:r>
        <w:rPr>
          <w:rFonts w:hint="eastAsia" w:asciiTheme="minorEastAsia" w:hAnsiTheme="minorEastAsia" w:eastAsiaTheme="minorEastAsia" w:cstheme="minorEastAsia"/>
          <w:b/>
          <w:snapToGrid w:val="0"/>
          <w:kern w:val="0"/>
          <w:szCs w:val="21"/>
          <w:lang w:val="zh-CN"/>
        </w:rPr>
        <w:t>磋商报价</w:t>
      </w:r>
      <w:bookmarkEnd w:id="52"/>
      <w:bookmarkEnd w:id="53"/>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11"/>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54" w:name="_Toc25312"/>
      <w:bookmarkStart w:id="55" w:name="_Toc6176"/>
      <w:r>
        <w:rPr>
          <w:rFonts w:hint="eastAsia" w:asciiTheme="minorEastAsia" w:hAnsiTheme="minorEastAsia" w:eastAsiaTheme="minorEastAsia" w:cstheme="minorEastAsia"/>
          <w:b/>
          <w:snapToGrid w:val="0"/>
          <w:kern w:val="0"/>
          <w:szCs w:val="21"/>
          <w:lang w:val="zh-CN"/>
        </w:rPr>
        <w:t>备选方案</w:t>
      </w:r>
      <w:bookmarkEnd w:id="54"/>
      <w:bookmarkEnd w:id="55"/>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11"/>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56" w:name="_Toc10798"/>
      <w:bookmarkStart w:id="57" w:name="_Toc3324"/>
      <w:r>
        <w:rPr>
          <w:rFonts w:hint="eastAsia" w:asciiTheme="minorEastAsia" w:hAnsiTheme="minorEastAsia" w:eastAsiaTheme="minorEastAsia" w:cstheme="minorEastAsia"/>
          <w:b/>
          <w:snapToGrid w:val="0"/>
          <w:kern w:val="0"/>
          <w:szCs w:val="21"/>
          <w:lang w:val="zh-CN"/>
        </w:rPr>
        <w:t>联合体</w:t>
      </w:r>
      <w:bookmarkEnd w:id="56"/>
      <w:bookmarkEnd w:id="57"/>
    </w:p>
    <w:p>
      <w:pPr>
        <w:numPr>
          <w:ilvl w:val="1"/>
          <w:numId w:val="24"/>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4"/>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8" w:name="_Toc2434"/>
      <w:bookmarkStart w:id="59" w:name="_Toc9124"/>
      <w:r>
        <w:rPr>
          <w:rFonts w:hint="eastAsia" w:asciiTheme="minorEastAsia" w:hAnsiTheme="minorEastAsia" w:eastAsiaTheme="minorEastAsia" w:cstheme="minorEastAsia"/>
          <w:b/>
          <w:snapToGrid w:val="0"/>
          <w:kern w:val="0"/>
          <w:szCs w:val="21"/>
          <w:lang w:val="zh-CN"/>
        </w:rPr>
        <w:t>供应商资格证明文件</w:t>
      </w:r>
      <w:bookmarkEnd w:id="58"/>
      <w:bookmarkEnd w:id="59"/>
    </w:p>
    <w:p>
      <w:pPr>
        <w:numPr>
          <w:ilvl w:val="1"/>
          <w:numId w:val="25"/>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6"/>
        </w:numPr>
        <w:tabs>
          <w:tab w:val="left" w:pos="540"/>
          <w:tab w:val="clear" w:pos="20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5"/>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5"/>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rPr>
        <w:t>否则做废标处理</w:t>
      </w:r>
      <w:r>
        <w:rPr>
          <w:rFonts w:hint="eastAsia" w:asciiTheme="minorEastAsia" w:hAnsiTheme="minorEastAsia" w:eastAsiaTheme="minorEastAsia" w:cstheme="minorEastAsia"/>
          <w:snapToGrid w:val="0"/>
          <w:kern w:val="0"/>
          <w:szCs w:val="21"/>
          <w:lang w:val="zh-CN"/>
        </w:rPr>
        <w:t>。</w:t>
      </w:r>
    </w:p>
    <w:p>
      <w:pPr>
        <w:numPr>
          <w:ilvl w:val="1"/>
          <w:numId w:val="25"/>
        </w:numPr>
        <w:tabs>
          <w:tab w:val="left" w:pos="540"/>
          <w:tab w:val="clear" w:pos="465"/>
        </w:tabs>
        <w:autoSpaceDE w:val="0"/>
        <w:autoSpaceDN w:val="0"/>
        <w:adjustRightInd w:val="0"/>
        <w:spacing w:line="360" w:lineRule="auto"/>
        <w:ind w:left="540" w:hanging="540"/>
        <w:jc w:val="left"/>
        <w:rPr>
          <w:rFonts w:eastAsiaTheme="minorEastAsia"/>
        </w:rPr>
      </w:pPr>
      <w:r>
        <w:rPr>
          <w:rFonts w:hint="eastAsia" w:asciiTheme="minorEastAsia" w:hAnsiTheme="minorEastAsia" w:eastAsiaTheme="minorEastAsia" w:cstheme="minorEastAsia"/>
          <w:snapToGrid w:val="0"/>
          <w:kern w:val="0"/>
          <w:szCs w:val="21"/>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0" w:name="_Toc1303"/>
      <w:bookmarkStart w:id="61" w:name="_Toc9935"/>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60"/>
      <w:bookmarkEnd w:id="61"/>
    </w:p>
    <w:p>
      <w:pPr>
        <w:numPr>
          <w:ilvl w:val="1"/>
          <w:numId w:val="27"/>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2" w:name="_Toc27068"/>
      <w:bookmarkStart w:id="63" w:name="_Toc877"/>
      <w:r>
        <w:rPr>
          <w:rFonts w:hint="eastAsia" w:asciiTheme="minorEastAsia" w:hAnsiTheme="minorEastAsia" w:eastAsiaTheme="minorEastAsia" w:cstheme="minorEastAsia"/>
          <w:b/>
          <w:snapToGrid w:val="0"/>
          <w:kern w:val="0"/>
          <w:szCs w:val="21"/>
          <w:lang w:val="zh-CN"/>
        </w:rPr>
        <w:t>磋商保证金</w:t>
      </w:r>
      <w:bookmarkEnd w:id="62"/>
      <w:bookmarkEnd w:id="63"/>
    </w:p>
    <w:p>
      <w:pPr>
        <w:numPr>
          <w:ilvl w:val="1"/>
          <w:numId w:val="28"/>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本采购文件是否要求递交磋商保证金及保证金金额、递交方式、递交时间、接受保证金的帐户信息等详见《供应商须知前附表》。</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本采购文件要求递交磋商保证金的，磋商保证金作为竞争性磋商响应文件的组成部分，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4" w:name="_Toc15306"/>
      <w:bookmarkStart w:id="65" w:name="_Toc5668"/>
      <w:r>
        <w:rPr>
          <w:rFonts w:hint="eastAsia" w:asciiTheme="minorEastAsia" w:hAnsiTheme="minorEastAsia" w:eastAsiaTheme="minorEastAsia" w:cstheme="minorEastAsia"/>
          <w:b/>
          <w:snapToGrid w:val="0"/>
          <w:kern w:val="0"/>
          <w:szCs w:val="21"/>
          <w:lang w:val="zh-CN"/>
        </w:rPr>
        <w:t>磋商有效期</w:t>
      </w:r>
      <w:bookmarkEnd w:id="64"/>
      <w:bookmarkEnd w:id="65"/>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6" w:name="_Toc26179"/>
      <w:bookmarkStart w:id="67" w:name="_Toc8272"/>
      <w:r>
        <w:rPr>
          <w:rFonts w:hint="eastAsia" w:asciiTheme="minorEastAsia" w:hAnsiTheme="minorEastAsia" w:eastAsiaTheme="minorEastAsia" w:cstheme="minorEastAsia"/>
          <w:b/>
          <w:snapToGrid w:val="0"/>
          <w:kern w:val="0"/>
          <w:szCs w:val="21"/>
          <w:lang w:val="zh-CN"/>
        </w:rPr>
        <w:t>竞争性磋商响应文件的装订、签署和数量</w:t>
      </w:r>
      <w:bookmarkEnd w:id="66"/>
      <w:bookmarkEnd w:id="67"/>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、报价一览表、优惠声明（如有）。本次磋商供应商提交响应文件正、副本和电子文档的数量见《供应商须知前附表》。</w:t>
      </w:r>
    </w:p>
    <w:p>
      <w:pPr>
        <w:autoSpaceDE w:val="0"/>
        <w:autoSpaceDN w:val="0"/>
        <w:adjustRightInd w:val="0"/>
        <w:spacing w:line="360" w:lineRule="auto"/>
        <w:ind w:firstLine="630" w:firstLine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、报价一览表、优惠声明（如有）与响应文件正本不符，以正本为准。电子文档与纸质文件不符，以纸质文件为准。</w:t>
      </w:r>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68" w:name="_Toc25366"/>
      <w:r>
        <w:rPr>
          <w:rFonts w:hint="eastAsia" w:asciiTheme="minorEastAsia" w:hAnsiTheme="minorEastAsia" w:eastAsiaTheme="minorEastAsia" w:cstheme="minorEastAsia"/>
          <w:b/>
          <w:szCs w:val="21"/>
        </w:rPr>
        <w:t>竞争性磋商响应文件的递交</w:t>
      </w:r>
      <w:bookmarkEnd w:id="68"/>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9" w:name="_Toc21272"/>
      <w:bookmarkStart w:id="70" w:name="_Toc27305"/>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69"/>
      <w:bookmarkEnd w:id="70"/>
    </w:p>
    <w:p>
      <w:pPr>
        <w:numPr>
          <w:ilvl w:val="1"/>
          <w:numId w:val="3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rPr>
        <w:t>如有</w:t>
      </w:r>
      <w:r>
        <w:rPr>
          <w:rFonts w:hint="eastAsia" w:asciiTheme="minorEastAsia" w:hAnsiTheme="minorEastAsia" w:eastAsiaTheme="minorEastAsia" w:cstheme="minorEastAsia"/>
          <w:snapToGrid w:val="0"/>
          <w:kern w:val="0"/>
          <w:szCs w:val="21"/>
          <w:lang w:val="zh-CN"/>
        </w:rPr>
        <w:t>）（复印件）及报价优惠声明（如有）单独密封提交，除需按</w:t>
      </w:r>
      <w:r>
        <w:rPr>
          <w:rFonts w:hint="eastAsia" w:asciiTheme="minorEastAsia" w:hAnsiTheme="minorEastAsia" w:eastAsiaTheme="minorEastAsia" w:cstheme="minorEastAsia"/>
          <w:snapToGrid w:val="0"/>
          <w:kern w:val="0"/>
          <w:szCs w:val="21"/>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1" w:name="_Toc32278"/>
      <w:bookmarkStart w:id="72" w:name="_Toc17857"/>
      <w:r>
        <w:rPr>
          <w:rFonts w:hint="eastAsia" w:asciiTheme="minorEastAsia" w:hAnsiTheme="minorEastAsia" w:eastAsiaTheme="minorEastAsia" w:cstheme="minorEastAsia"/>
          <w:b/>
          <w:snapToGrid w:val="0"/>
          <w:kern w:val="0"/>
          <w:szCs w:val="21"/>
          <w:lang w:val="zh-CN"/>
        </w:rPr>
        <w:t>竞争性磋商响应文件的送达地点及截止时间</w:t>
      </w:r>
      <w:bookmarkEnd w:id="71"/>
      <w:bookmarkEnd w:id="72"/>
    </w:p>
    <w:p>
      <w:pPr>
        <w:autoSpaceDE w:val="0"/>
        <w:autoSpaceDN w:val="0"/>
        <w:adjustRightInd w:val="0"/>
        <w:spacing w:line="360" w:lineRule="auto"/>
        <w:jc w:val="left"/>
        <w:rPr>
          <w:rFonts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竞争性磋商文件</w:t>
      </w:r>
      <w:r>
        <w:rPr>
          <w:rFonts w:hint="eastAsia" w:asciiTheme="minorEastAsia" w:hAnsiTheme="minorEastAsia" w:eastAsiaTheme="minorEastAsia" w:cstheme="minorEastAsia"/>
          <w:snapToGrid w:val="0"/>
          <w:kern w:val="0"/>
          <w:szCs w:val="21"/>
          <w:lang w:val="zh-CN"/>
        </w:rPr>
        <w:t>中规定的首次送达、提交响应文件的最后时间。本次磋商响应文件的送达地点及截止时间见《供应商须知前附表》。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3" w:name="_Toc31376"/>
      <w:bookmarkStart w:id="74" w:name="_Toc16570"/>
      <w:r>
        <w:rPr>
          <w:rFonts w:hint="eastAsia" w:asciiTheme="minorEastAsia" w:hAnsiTheme="minorEastAsia" w:eastAsiaTheme="minorEastAsia" w:cstheme="minorEastAsia"/>
          <w:b/>
          <w:snapToGrid w:val="0"/>
          <w:kern w:val="0"/>
          <w:szCs w:val="21"/>
          <w:lang w:val="zh-CN"/>
        </w:rPr>
        <w:t>迟交的竞争性磋商响应文件</w:t>
      </w:r>
      <w:bookmarkEnd w:id="73"/>
      <w:bookmarkEnd w:id="74"/>
    </w:p>
    <w:p>
      <w:pPr>
        <w:numPr>
          <w:ilvl w:val="1"/>
          <w:numId w:val="33"/>
        </w:numPr>
        <w:tabs>
          <w:tab w:val="left" w:pos="540"/>
          <w:tab w:val="clear" w:pos="48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5" w:name="_Toc20447"/>
      <w:bookmarkStart w:id="76" w:name="_Toc31760"/>
      <w:r>
        <w:rPr>
          <w:rFonts w:hint="eastAsia" w:asciiTheme="minorEastAsia" w:hAnsiTheme="minorEastAsia" w:eastAsiaTheme="minorEastAsia" w:cstheme="minorEastAsia"/>
          <w:b/>
          <w:snapToGrid w:val="0"/>
          <w:kern w:val="0"/>
          <w:szCs w:val="21"/>
          <w:lang w:val="zh-CN"/>
        </w:rPr>
        <w:t>竞争性磋商响应文件的补充、修改或者撤回</w:t>
      </w:r>
      <w:bookmarkEnd w:id="75"/>
      <w:bookmarkEnd w:id="76"/>
    </w:p>
    <w:p>
      <w:pPr>
        <w:numPr>
          <w:ilvl w:val="1"/>
          <w:numId w:val="34"/>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4"/>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4"/>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77" w:name="_Toc30575"/>
      <w:r>
        <w:rPr>
          <w:rFonts w:hint="eastAsia" w:asciiTheme="minorEastAsia" w:hAnsiTheme="minorEastAsia" w:eastAsiaTheme="minorEastAsia" w:cstheme="minorEastAsia"/>
          <w:b/>
          <w:szCs w:val="21"/>
        </w:rPr>
        <w:t>磋商程序及步骤</w:t>
      </w:r>
      <w:bookmarkEnd w:id="77"/>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8" w:name="_Toc13110"/>
      <w:bookmarkStart w:id="79" w:name="_Toc22624"/>
      <w:r>
        <w:rPr>
          <w:rFonts w:hint="eastAsia" w:asciiTheme="minorEastAsia" w:hAnsiTheme="minorEastAsia" w:eastAsiaTheme="minorEastAsia" w:cstheme="minorEastAsia"/>
          <w:b/>
        </w:rPr>
        <w:t>竞争性磋商小组</w:t>
      </w:r>
      <w:bookmarkEnd w:id="78"/>
      <w:bookmarkEnd w:id="79"/>
    </w:p>
    <w:p>
      <w:pPr>
        <w:tabs>
          <w:tab w:val="left" w:pos="540"/>
        </w:tabs>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bCs/>
          <w:szCs w:val="21"/>
        </w:rPr>
        <w:t>23.1 采购人</w:t>
      </w:r>
      <w:r>
        <w:rPr>
          <w:rFonts w:hint="eastAsia" w:asciiTheme="minorEastAsia" w:hAnsiTheme="minorEastAsia" w:eastAsiaTheme="minorEastAsia" w:cstheme="minorEastAsia"/>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磋商小组由采购人代表和评审专家共3人或3人以上单数组成</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磋商小组人数详见《供应商须知前附表》。</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磋商小组中的评审专家人数不少于磋商小组成员总数的2/3。除本采购文件另有规定，评审专家将从政府采购评审专家库中随机抽取。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23.3 磋商小组所有成员按事先抽取的磋商顺序，集中与单一供应商分别进行磋商，并给予所有参加磋商的供应商平等的磋商机会。</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80" w:name="_Toc5163"/>
      <w:bookmarkStart w:id="81" w:name="_Toc21483"/>
      <w:r>
        <w:rPr>
          <w:rFonts w:hint="eastAsia" w:asciiTheme="minorEastAsia" w:hAnsiTheme="minorEastAsia" w:eastAsiaTheme="minorEastAsia" w:cstheme="minorEastAsia"/>
          <w:b/>
        </w:rPr>
        <w:t>磋商代表</w:t>
      </w:r>
      <w:bookmarkEnd w:id="80"/>
      <w:bookmarkEnd w:id="81"/>
    </w:p>
    <w:p>
      <w:pPr>
        <w:tabs>
          <w:tab w:val="left" w:pos="864"/>
          <w:tab w:val="left" w:pos="1080"/>
        </w:tabs>
        <w:spacing w:line="360" w:lineRule="auto"/>
        <w:rPr>
          <w:rFonts w:asciiTheme="minorEastAsia" w:hAnsiTheme="minorEastAsia" w:eastAsiaTheme="minorEastAsia" w:cstheme="minorEastAsia"/>
          <w:szCs w:val="21"/>
        </w:rPr>
      </w:pPr>
      <w:bookmarkStart w:id="82" w:name="_Toc9967"/>
      <w:bookmarkStart w:id="83" w:name="_Toc32662"/>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82"/>
      <w:bookmarkEnd w:id="83"/>
      <w:r>
        <w:rPr>
          <w:rFonts w:hint="eastAsia" w:asciiTheme="minorEastAsia" w:hAnsiTheme="minorEastAsia" w:eastAsiaTheme="minorEastAsia" w:cstheme="minorEastAsia"/>
          <w:szCs w:val="21"/>
        </w:rPr>
        <w:t>磋商代表的其他要求见《供应商须知前附表》。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rPr>
      </w:pPr>
      <w:bookmarkStart w:id="84" w:name="_Toc29021"/>
      <w:r>
        <w:rPr>
          <w:rFonts w:hint="eastAsia" w:asciiTheme="minorEastAsia" w:hAnsiTheme="minorEastAsia" w:eastAsiaTheme="minorEastAsia" w:cstheme="minorEastAsia"/>
          <w:b/>
        </w:rPr>
        <w:t>资格审查和符合性审查</w:t>
      </w:r>
      <w:bookmarkEnd w:id="84"/>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rPr>
      </w:pPr>
      <w:bookmarkStart w:id="85" w:name="_Toc25285"/>
      <w:r>
        <w:rPr>
          <w:rFonts w:hint="eastAsia" w:asciiTheme="minorEastAsia" w:hAnsiTheme="minorEastAsia" w:eastAsiaTheme="minorEastAsia" w:cstheme="minorEastAsia"/>
          <w:b/>
        </w:rPr>
        <w:t>磋商</w:t>
      </w:r>
      <w:bookmarkEnd w:id="85"/>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szCs w:val="21"/>
        </w:rPr>
        <w:t>26.1磋商小组将根据本磋商文件第四章规定的程序和方法与供应商进行磋商。在磋商中，磋商的任何一方不得透露与磋商有关的其他磋商供应商的技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rPr>
        <w:t>26.3供应商应当按照磋商文件的变动情况和磋商小组的要求重新提交响应文件，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rPr>
        <w:t>供应商的磋商保证金将在成交通知书发放后的五个工作日内退还。</w:t>
      </w:r>
    </w:p>
    <w:p>
      <w:pPr>
        <w:tabs>
          <w:tab w:val="left" w:pos="540"/>
        </w:tabs>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26.4最后报价</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bCs/>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rPr>
        <w:t>最后报价为本次竞争性磋商不可变动的最终价格。</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26.5</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spacing w:line="360" w:lineRule="auto"/>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26.6</w:t>
      </w:r>
      <w:r>
        <w:rPr>
          <w:rFonts w:hint="eastAsia" w:asciiTheme="minorEastAsia" w:hAnsiTheme="minorEastAsia" w:eastAsiaTheme="minorEastAsia" w:cstheme="minorEastAsia"/>
          <w:bCs/>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26.7采购代理机构对磋商过程和重要磋商内容进行记录，磋商双方在记录上签字确认。</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6" w:name="_Toc6146"/>
      <w:r>
        <w:rPr>
          <w:rFonts w:hint="eastAsia" w:asciiTheme="minorEastAsia" w:hAnsiTheme="minorEastAsia" w:eastAsiaTheme="minorEastAsia" w:cstheme="minorEastAsia"/>
          <w:b/>
          <w:lang w:val="zh-CN"/>
        </w:rPr>
        <w:t>保密</w:t>
      </w:r>
      <w:bookmarkEnd w:id="86"/>
    </w:p>
    <w:p>
      <w:pPr>
        <w:numPr>
          <w:ilvl w:val="1"/>
          <w:numId w:val="35"/>
        </w:num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5"/>
        </w:num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rPr>
        <w:t>评定办法</w:t>
      </w:r>
      <w:r>
        <w:rPr>
          <w:rFonts w:hint="eastAsia" w:asciiTheme="minorEastAsia" w:hAnsiTheme="minorEastAsia" w:eastAsiaTheme="minorEastAsia" w:cstheme="minorEastAsia"/>
          <w:snapToGrid w:val="0"/>
          <w:kern w:val="0"/>
          <w:szCs w:val="21"/>
          <w:lang w:val="zh-CN"/>
        </w:rPr>
        <w:t>”。</w:t>
      </w:r>
    </w:p>
    <w:p>
      <w:pPr>
        <w:numPr>
          <w:ilvl w:val="1"/>
          <w:numId w:val="35"/>
        </w:numPr>
        <w:autoSpaceDE w:val="0"/>
        <w:autoSpaceDN w:val="0"/>
        <w:adjustRightInd w:val="0"/>
        <w:spacing w:line="360" w:lineRule="auto"/>
        <w:jc w:val="left"/>
        <w:rPr>
          <w:lang w:val="zh-CN"/>
        </w:rPr>
      </w:pP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87" w:name="_Toc11933"/>
      <w:r>
        <w:rPr>
          <w:rFonts w:hint="eastAsia" w:asciiTheme="minorEastAsia" w:hAnsiTheme="minorEastAsia" w:eastAsiaTheme="minorEastAsia" w:cstheme="minorEastAsia"/>
          <w:b/>
          <w:szCs w:val="21"/>
        </w:rPr>
        <w:t>成交与签订合同</w:t>
      </w:r>
      <w:bookmarkEnd w:id="87"/>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8" w:name="_Toc4039"/>
      <w:r>
        <w:rPr>
          <w:rFonts w:hint="eastAsia" w:asciiTheme="minorEastAsia" w:hAnsiTheme="minorEastAsia" w:eastAsiaTheme="minorEastAsia" w:cstheme="minorEastAsia"/>
          <w:b/>
          <w:lang w:val="zh-CN"/>
        </w:rPr>
        <w:t>合同授予标准</w:t>
      </w:r>
      <w:bookmarkEnd w:id="88"/>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28.1采购人将把合同授予排名第一的供应商，特殊情况按本须知29.3的规定执行。</w:t>
      </w:r>
    </w:p>
    <w:p>
      <w:pPr>
        <w:rPr>
          <w:rFonts w:ascii="宋体" w:hAnsi="宋体" w:cs="宋体"/>
          <w:sz w:val="24"/>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2</w:t>
      </w:r>
      <w:r>
        <w:rPr>
          <w:rFonts w:hint="eastAsia" w:asciiTheme="minorEastAsia" w:hAnsiTheme="minorEastAsia" w:eastAsiaTheme="minorEastAsia" w:cstheme="minorEastAsia"/>
          <w:iCs/>
          <w:snapToGrid w:val="0"/>
          <w:kern w:val="0"/>
          <w:szCs w:val="21"/>
          <w:lang w:val="zh-CN"/>
        </w:rPr>
        <w:t>采购代理机构应当在评审结束后2个工作日内将评审报告送采购人确认。</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3</w:t>
      </w:r>
      <w:r>
        <w:rPr>
          <w:rFonts w:hint="eastAsia" w:asciiTheme="minorEastAsia" w:hAnsiTheme="minorEastAsia" w:eastAsiaTheme="minorEastAsia" w:cstheme="minorEastAsia"/>
          <w:iCs/>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4</w:t>
      </w:r>
      <w:r>
        <w:rPr>
          <w:rFonts w:hint="eastAsia" w:asciiTheme="minorEastAsia" w:hAnsiTheme="minorEastAsia" w:eastAsiaTheme="minorEastAsia" w:cstheme="minorEastAsia"/>
          <w:iCs/>
          <w:snapToGrid w:val="0"/>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5</w:t>
      </w:r>
      <w:r>
        <w:rPr>
          <w:rFonts w:hint="eastAsia" w:asciiTheme="minorEastAsia" w:hAnsiTheme="minorEastAsia" w:eastAsiaTheme="minorEastAsia" w:cstheme="minorEastAsia"/>
          <w:iCs/>
          <w:snapToGrid w:val="0"/>
          <w:kern w:val="0"/>
          <w:szCs w:val="21"/>
          <w:lang w:val="zh-CN"/>
        </w:rPr>
        <w:t>成交通知书的领取时间详见《供应商须知前附表》。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9" w:name="_Toc25990"/>
      <w:r>
        <w:rPr>
          <w:rFonts w:hint="eastAsia" w:asciiTheme="minorEastAsia" w:hAnsiTheme="minorEastAsia" w:eastAsiaTheme="minorEastAsia" w:cstheme="minorEastAsia"/>
          <w:b/>
          <w:lang w:val="zh-CN"/>
        </w:rPr>
        <w:t>签订合同</w:t>
      </w:r>
      <w:bookmarkEnd w:id="89"/>
    </w:p>
    <w:p>
      <w:pPr>
        <w:tabs>
          <w:tab w:val="left" w:pos="426"/>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29.1 竞争性磋商采购文件对履约保证金有规定的，成交供应商应按规定在签订合同前缴纳履约保证金。</w:t>
      </w:r>
    </w:p>
    <w:p>
      <w:pPr>
        <w:tabs>
          <w:tab w:val="left" w:pos="426"/>
        </w:tabs>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29.2 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firstLine="424" w:firstLineChars="202"/>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firstLine="424" w:firstLineChars="202"/>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29.6 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firstLine="435"/>
        <w:jc w:val="left"/>
        <w:rPr>
          <w:rFonts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90" w:name="_Toc13988"/>
      <w:bookmarkStart w:id="91" w:name="_Toc4883"/>
      <w:bookmarkStart w:id="92" w:name="_Toc8"/>
      <w:bookmarkStart w:id="93" w:name="_Toc14510"/>
      <w:r>
        <w:rPr>
          <w:rFonts w:hint="eastAsia" w:asciiTheme="minorEastAsia" w:hAnsiTheme="minorEastAsia" w:eastAsiaTheme="minorEastAsia" w:cstheme="minorEastAsia"/>
          <w:b/>
          <w:szCs w:val="21"/>
          <w:lang w:val="zh-CN"/>
        </w:rPr>
        <w:t>质疑和投诉</w:t>
      </w:r>
      <w:bookmarkEnd w:id="90"/>
      <w:bookmarkEnd w:id="91"/>
      <w:bookmarkEnd w:id="92"/>
      <w:bookmarkEnd w:id="93"/>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4" w:name="_Toc1780"/>
      <w:r>
        <w:rPr>
          <w:rFonts w:hint="eastAsia" w:asciiTheme="minorEastAsia" w:hAnsiTheme="minorEastAsia" w:eastAsiaTheme="minorEastAsia" w:cstheme="minorEastAsia"/>
          <w:b/>
          <w:lang w:val="zh-CN"/>
        </w:rPr>
        <w:t>质疑</w:t>
      </w:r>
      <w:bookmarkEnd w:id="94"/>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0</w:t>
      </w:r>
      <w:r>
        <w:rPr>
          <w:rFonts w:hint="eastAsia" w:ascii="宋体" w:hAnsi="宋体" w:cs="宋体"/>
          <w:snapToGrid w:val="0"/>
          <w:kern w:val="0"/>
          <w:szCs w:val="21"/>
          <w:lang w:val="zh-CN"/>
        </w:rPr>
        <w:t>.1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0</w:t>
      </w:r>
      <w:r>
        <w:rPr>
          <w:rFonts w:hint="eastAsia" w:ascii="宋体" w:hAnsi="宋体" w:cs="宋体"/>
          <w:snapToGrid w:val="0"/>
          <w:kern w:val="0"/>
          <w:szCs w:val="21"/>
          <w:lang w:val="zh-CN"/>
        </w:rPr>
        <w:t>.2质疑书应当包括下列主要内容：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（5）提出质疑的日期；</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5" w:name="_Toc12741"/>
      <w:r>
        <w:rPr>
          <w:rFonts w:hint="eastAsia" w:asciiTheme="minorEastAsia" w:hAnsiTheme="minorEastAsia" w:eastAsiaTheme="minorEastAsia" w:cstheme="minorEastAsia"/>
          <w:b/>
          <w:lang w:val="zh-CN"/>
        </w:rPr>
        <w:t>质疑回复</w:t>
      </w:r>
      <w:bookmarkEnd w:id="95"/>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1</w:t>
      </w:r>
      <w:r>
        <w:rPr>
          <w:rFonts w:hint="eastAsia" w:ascii="宋体" w:hAnsi="宋体" w:cs="宋体"/>
          <w:snapToGrid w:val="0"/>
          <w:kern w:val="0"/>
          <w:szCs w:val="21"/>
          <w:lang w:val="zh-CN"/>
        </w:rPr>
        <w:t>.1采购人或采购代理机构应当在收到供应商的书面质疑后7个工作日内作出答复，并以书面形式通知质疑供应商和其他有关供应商，但答复的内容不得涉及商业秘密。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1</w:t>
      </w:r>
      <w:r>
        <w:rPr>
          <w:rFonts w:hint="eastAsia" w:ascii="宋体" w:hAnsi="宋体" w:cs="宋体"/>
          <w:snapToGrid w:val="0"/>
          <w:kern w:val="0"/>
          <w:szCs w:val="21"/>
          <w:lang w:val="zh-CN"/>
        </w:rPr>
        <w:t>.2质疑答复应当包括下列内容：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6" w:name="_Toc27079"/>
      <w:r>
        <w:rPr>
          <w:rFonts w:hint="eastAsia" w:asciiTheme="minorEastAsia" w:hAnsiTheme="minorEastAsia" w:eastAsiaTheme="minorEastAsia" w:cstheme="minorEastAsia"/>
          <w:b/>
          <w:lang w:val="zh-CN"/>
        </w:rPr>
        <w:t>投诉</w:t>
      </w:r>
      <w:bookmarkEnd w:id="96"/>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2</w:t>
      </w:r>
      <w:r>
        <w:rPr>
          <w:rFonts w:hint="eastAsia" w:ascii="宋体" w:hAnsi="宋体" w:cs="宋体"/>
          <w:snapToGrid w:val="0"/>
          <w:kern w:val="0"/>
          <w:szCs w:val="21"/>
          <w:lang w:val="zh-CN"/>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2</w:t>
      </w:r>
      <w:r>
        <w:rPr>
          <w:rFonts w:hint="eastAsia" w:ascii="宋体" w:hAnsi="宋体" w:cs="宋体"/>
          <w:snapToGrid w:val="0"/>
          <w:kern w:val="0"/>
          <w:szCs w:val="21"/>
          <w:lang w:val="zh-CN"/>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97" w:name="_Toc14767"/>
      <w:bookmarkStart w:id="98" w:name="_Toc29396"/>
      <w:bookmarkStart w:id="99" w:name="_Toc5571"/>
      <w:bookmarkStart w:id="100" w:name="_Toc28705"/>
      <w:r>
        <w:rPr>
          <w:rFonts w:hint="eastAsia" w:asciiTheme="minorEastAsia" w:hAnsiTheme="minorEastAsia" w:eastAsiaTheme="minorEastAsia" w:cstheme="minorEastAsia"/>
          <w:b/>
          <w:szCs w:val="21"/>
          <w:lang w:val="zh-CN"/>
        </w:rPr>
        <w:t>政策</w:t>
      </w:r>
      <w:bookmarkEnd w:id="97"/>
      <w:bookmarkEnd w:id="98"/>
      <w:bookmarkEnd w:id="99"/>
      <w:bookmarkEnd w:id="100"/>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rPr>
      </w:pPr>
      <w:bookmarkStart w:id="101" w:name="_Toc29984"/>
      <w:r>
        <w:rPr>
          <w:rFonts w:hint="eastAsia" w:asciiTheme="minorEastAsia" w:hAnsiTheme="minorEastAsia" w:eastAsiaTheme="minorEastAsia" w:cstheme="minorEastAsia"/>
          <w:b/>
        </w:rPr>
        <w:t>政府采购政策</w:t>
      </w:r>
      <w:bookmarkEnd w:id="101"/>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.1</w:t>
      </w:r>
      <w:r>
        <w:rPr>
          <w:rFonts w:hint="eastAsia" w:ascii="宋体" w:hAnsi="宋体" w:cs="宋体"/>
          <w:snapToGrid w:val="0"/>
          <w:spacing w:val="-2"/>
          <w:kern w:val="0"/>
          <w:szCs w:val="21"/>
          <w:lang w:val="zh-CN"/>
        </w:rPr>
        <w:t>除非“供应商须知前附表”中有特殊规定，本项目所采购的货物应当为中华人民共和国境内提供。</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.2为促进中小企业发展，本项目供应商如符合工信部联企业【</w:t>
      </w:r>
      <w:r>
        <w:rPr>
          <w:rFonts w:hint="eastAsia" w:ascii="宋体" w:hAnsi="宋体" w:cs="宋体"/>
          <w:snapToGrid w:val="0"/>
          <w:kern w:val="0"/>
          <w:szCs w:val="21"/>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rPr>
        <w:t>33.3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rPr>
        <w:t>33.4按照《三部门联合发布关于促进残疾人就业政府采购政策的通知》（财库【2017】141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jc w:val="left"/>
        <w:rPr>
          <w:rFonts w:ascii="宋体" w:hAnsi="宋体" w:cs="宋体"/>
          <w:snapToGrid w:val="0"/>
          <w:kern w:val="0"/>
          <w:szCs w:val="21"/>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w:t>
      </w:r>
      <w:r>
        <w:rPr>
          <w:rFonts w:hint="eastAsia" w:ascii="宋体" w:hAnsi="宋体" w:cs="宋体"/>
          <w:snapToGrid w:val="0"/>
          <w:kern w:val="0"/>
          <w:szCs w:val="21"/>
        </w:rPr>
        <w:t>5按照《财政部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rPr>
        <w:t>6</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autoSpaceDE w:val="0"/>
        <w:autoSpaceDN w:val="0"/>
        <w:adjustRightInd w:val="0"/>
        <w:spacing w:line="360" w:lineRule="auto"/>
        <w:ind w:firstLine="422" w:firstLineChars="200"/>
        <w:jc w:val="left"/>
        <w:rPr>
          <w:rFonts w:ascii="宋体" w:hAnsi="宋体" w:cs="宋体"/>
          <w:b/>
          <w:bCs/>
          <w:snapToGrid w:val="0"/>
          <w:kern w:val="0"/>
          <w:szCs w:val="21"/>
          <w:lang w:val="zh-CN"/>
        </w:rPr>
      </w:pPr>
      <w:r>
        <w:rPr>
          <w:rFonts w:hint="eastAsia" w:ascii="宋体" w:hAnsi="宋体" w:cs="宋体"/>
          <w:b/>
          <w:bCs/>
          <w:snapToGrid w:val="0"/>
          <w:kern w:val="0"/>
          <w:szCs w:val="21"/>
          <w:lang w:val="zh-CN"/>
        </w:rPr>
        <w:t>供应商应当对《中小企业声明函》、监狱企业证明文件、《残疾人福利性单位声明函》的真实</w:t>
      </w:r>
    </w:p>
    <w:p>
      <w:pPr>
        <w:autoSpaceDE w:val="0"/>
        <w:autoSpaceDN w:val="0"/>
        <w:adjustRightInd w:val="0"/>
        <w:spacing w:line="360" w:lineRule="auto"/>
        <w:jc w:val="left"/>
        <w:rPr>
          <w:b/>
          <w:bCs/>
          <w:lang w:val="zh-CN"/>
        </w:rPr>
      </w:pPr>
      <w:r>
        <w:rPr>
          <w:rFonts w:hint="eastAsia" w:ascii="宋体" w:hAnsi="宋体" w:cs="宋体"/>
          <w:b/>
          <w:bCs/>
          <w:snapToGrid w:val="0"/>
          <w:kern w:val="0"/>
          <w:szCs w:val="21"/>
          <w:lang w:val="zh-CN"/>
        </w:rPr>
        <w:t>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102" w:name="_Toc17364"/>
      <w:r>
        <w:rPr>
          <w:rFonts w:hint="eastAsia" w:asciiTheme="minorEastAsia" w:hAnsiTheme="minorEastAsia" w:eastAsiaTheme="minorEastAsia" w:cstheme="minorEastAsia"/>
          <w:b/>
          <w:szCs w:val="21"/>
          <w:lang w:val="zh-CN"/>
        </w:rPr>
        <w:t>其他要求</w:t>
      </w:r>
      <w:bookmarkEnd w:id="102"/>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10"/>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103" w:name="_Toc3361"/>
      <w:r>
        <w:rPr>
          <w:rFonts w:hint="eastAsia" w:asciiTheme="minorEastAsia" w:hAnsiTheme="minorEastAsia" w:eastAsiaTheme="minorEastAsia" w:cstheme="minorEastAsia"/>
          <w:b/>
          <w:szCs w:val="21"/>
          <w:lang w:val="zh-CN"/>
        </w:rPr>
        <w:t>适用法律</w:t>
      </w:r>
      <w:bookmarkEnd w:id="103"/>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1）除本采购文件另有规定外，采购文件中出现的类似于“近三年”或“前三年”、“近五年”或“前五年”均指递交响应文件时间以前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11 月 30 日。</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8</w:t>
      </w:r>
      <w:r>
        <w:rPr>
          <w:rFonts w:hint="eastAsia" w:asciiTheme="minorEastAsia" w:hAnsiTheme="minorEastAsia" w:eastAsiaTheme="minorEastAsia" w:cstheme="minorEastAsia"/>
          <w:snapToGrid w:val="0"/>
          <w:kern w:val="0"/>
          <w:szCs w:val="21"/>
          <w:lang w:val="zh-CN"/>
        </w:rPr>
        <w:t>年度。</w:t>
      </w:r>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bookmarkStart w:id="104" w:name="_Toc11887"/>
      <w:r>
        <w:rPr>
          <w:rFonts w:hint="eastAsia" w:asciiTheme="minorEastAsia" w:hAnsiTheme="minorEastAsia" w:eastAsiaTheme="minorEastAsia" w:cstheme="minorEastAsia"/>
          <w:b/>
          <w:bCs/>
          <w:sz w:val="36"/>
          <w:szCs w:val="36"/>
        </w:rPr>
        <w:t>采购需求</w:t>
      </w:r>
      <w:bookmarkEnd w:id="104"/>
    </w:p>
    <w:p>
      <w:pPr>
        <w:autoSpaceDE w:val="0"/>
        <w:autoSpaceDN w:val="0"/>
        <w:adjustRightInd w:val="0"/>
        <w:spacing w:line="360" w:lineRule="auto"/>
        <w:outlineLvl w:val="1"/>
        <w:rPr>
          <w:rFonts w:asciiTheme="minorEastAsia" w:hAnsiTheme="minorEastAsia" w:eastAsiaTheme="minorEastAsia" w:cstheme="minorEastAsia"/>
          <w:b/>
          <w:bCs/>
          <w:sz w:val="24"/>
        </w:rPr>
      </w:pPr>
      <w:bookmarkStart w:id="105" w:name="_Toc14996"/>
      <w:r>
        <w:rPr>
          <w:rFonts w:hint="eastAsia" w:asciiTheme="minorEastAsia" w:hAnsiTheme="minorEastAsia" w:eastAsiaTheme="minorEastAsia" w:cstheme="minorEastAsia"/>
          <w:b/>
          <w:bCs/>
          <w:sz w:val="24"/>
        </w:rPr>
        <w:t>一、技术需求</w:t>
      </w:r>
      <w:bookmarkEnd w:id="105"/>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（一）项目概况：武汉职业技术学院科教园区地处鄂州市葛店经济开发区创业大道。现有师生约2500人左右,食堂为框架结构，共两层，面积1944平方米；</w:t>
      </w:r>
    </w:p>
    <w:p>
      <w:pPr>
        <w:autoSpaceDE w:val="0"/>
        <w:autoSpaceDN w:val="0"/>
        <w:adjustRightInd w:val="0"/>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（二）服务内容和要求：</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1、成交供应商聘用员工应遵守国家和当地政府的相关法规，武汉职业技术学院对成交供应商的一切用人风险与责任（包括成交供应商所聘员工的工资、社保、福利、住宿费、工装费、管理费等一切相关的费用）概不负责，均由成交供应商承担。成交供应商食堂所有从业人员须持有效健康证上岗。人员基本工资不得低于当地最低工资标准。</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2、供应商</w:t>
      </w:r>
      <w:r>
        <w:rPr>
          <w:rFonts w:hint="eastAsia" w:ascii="宋体" w:hAnsi="宋体" w:cs="宋体"/>
          <w:color w:val="000000" w:themeColor="text1"/>
          <w:kern w:val="0"/>
          <w:sz w:val="21"/>
          <w:szCs w:val="21"/>
        </w:rPr>
        <w:t>必须无条件严格遵守国家、省市和学校各项法律法规，服从学校统一管理。特别是《中华人民共和国食品安全法》、《学校食品安全与营养健康管理规定》及《湖北省学校食堂食品安全管理规范》等重要法律法规。随时接受有关部门的监督检查，并积极配合整改，如有相应的经济惩罚，应及时缴纳。</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3、成交供应商不得将食堂整体转包或分包，如有违反,武汉职业技术学院有权随时单方面终止合同，收回经营权。</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4、成交供应商必须依法缴纳食堂经营过程中的各种税费，负责办理与其经营有关的各种证件并承担办理各种经营证件的费用。</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5、成交供应商经营武汉职业技术学院科教园区一食堂所发生的一切债务或责任均由成交供应商负责，与武汉职业技术学院无关。成交供应商依法自主经营，自负盈亏，学校仅提供经营场所，不对在校生人数和学生就餐人数做出承诺。</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6、成交供应商不能改动经营场所原有结构，不得以经营场所设定担保。采购人提供经营场所和正常的水电保障。成交供应商应妥善处理好与前一期委托经营人的交接。</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7、成交供应商负责武汉职业技术学院科教园区一食堂承租期间承租范围内的秩序和消防安全，承担日常消防设备的维护和食品安全的检查，一切费用由成交供应商自理。成交供应商承租武汉职业技术学院科教园区一食堂范围内发生的一切责任事故（包括人身安全、食品卫生安全、消防安全、水电气安全等）由成交供应商承担，与武汉职业技术学院无关。针对新冠肺炎疫情的防控要求如下：</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7.1供应商派驻员工必须均持有健康绿码，均经过核酸检测和抗体检测，符合健康上岗要求。</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7.2对派驻工作人员实行早、晚两次检测体温制度，指定专人定时检测，并做好记录。若体温超过 37.3℃，立即报告，按程序处置。</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7.3所有餐饮工作人员必须全程佩戴口罩和一次性手套，不得直接手触肉禽类生鲜食材，工作结束后及时洗手消毒。</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7.4必须加强餐饮场所的清洁消毒。保持餐厅、操作间、备餐间、储藏间、卫生间，以及楼道、走廊等餐饮场所的清洁卫生，每天三次定期消毒并记录。对餐厅桌椅、餐台、餐具、出入门把手、水龙头、楼梯扶手，以及餐饮加工设备等高频接触表面，要用有效氯 250～500mg/L 的含氯消毒剂进行擦拭，实行严格的消毒措施。</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7.5必须妥善做好餐厅、操作间、备餐间、储藏间等场所的通风换气。每日通风不少于3次，每次不少于 30 分钟。</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7.6严格对餐饮原材料配送公司司乘人员的安全监管，做好配送人员进入院区体温检测和车辆消毒事项，并记录。注重检查配送原材料的质量，在卫生质量安全可靠的情况下，方可实施交接。</w:t>
      </w:r>
    </w:p>
    <w:p>
      <w:pPr>
        <w:pStyle w:val="92"/>
        <w:numPr>
          <w:ilvl w:val="0"/>
          <w:numId w:val="36"/>
        </w:numPr>
        <w:spacing w:line="360" w:lineRule="auto"/>
        <w:rPr>
          <w:rFonts w:ascii="宋体" w:hAnsi="宋体" w:cs="宋体"/>
          <w:sz w:val="21"/>
          <w:szCs w:val="21"/>
        </w:rPr>
      </w:pPr>
      <w:r>
        <w:rPr>
          <w:rFonts w:hint="eastAsia" w:ascii="宋体" w:hAnsi="宋体" w:cs="宋体"/>
          <w:sz w:val="21"/>
          <w:szCs w:val="21"/>
        </w:rPr>
        <w:t>武汉职业技术学院有权对成交供应商经营武汉职业技术学院科教园区一食堂进行监督和检查。若不配合,武汉职业技术学院有权解除合同。</w:t>
      </w:r>
    </w:p>
    <w:p>
      <w:pPr>
        <w:pStyle w:val="92"/>
        <w:spacing w:line="360" w:lineRule="auto"/>
        <w:rPr>
          <w:rFonts w:ascii="宋体" w:hAnsi="宋体" w:cs="宋体"/>
          <w:sz w:val="21"/>
          <w:szCs w:val="21"/>
        </w:rPr>
      </w:pPr>
      <w:r>
        <w:rPr>
          <w:rFonts w:hint="eastAsia" w:ascii="宋体" w:hAnsi="宋体" w:cs="宋体"/>
          <w:sz w:val="21"/>
          <w:szCs w:val="21"/>
        </w:rPr>
        <w:t>9、成交供应商应保证所售食品的卫生安全与服务的质量以及食堂的消防安全，承担其全部法律责任。武汉职业技术学院概不承担任何连带责任。</w:t>
      </w:r>
    </w:p>
    <w:p>
      <w:pPr>
        <w:pStyle w:val="92"/>
        <w:spacing w:line="360" w:lineRule="auto"/>
        <w:rPr>
          <w:rFonts w:ascii="宋体" w:hAnsi="宋体" w:cs="宋体"/>
          <w:color w:val="FF0000"/>
          <w:sz w:val="21"/>
          <w:szCs w:val="21"/>
        </w:rPr>
      </w:pPr>
      <w:r>
        <w:rPr>
          <w:rFonts w:hint="eastAsia" w:ascii="宋体" w:hAnsi="宋体" w:cs="宋体"/>
          <w:sz w:val="21"/>
          <w:szCs w:val="21"/>
        </w:rPr>
        <w:t>10、成交供应商经营的品种为初加工和深加工食品，包括白案、红案、粉面及其相关品种。同时要求成交供应商注重科学营养配餐，努力增加生产的花色品种，为武汉职业技术学院师生提供营养丰富的主副食品；要有足够的低价饭菜和免费汤供应，确保家庭贫困学生的需要；要尽可能多的提供主副食品供应，能够满足师生不同层次的需求。如需经营其他品种或项目须提前以书面材料上报学校相关管理部门，经批准备案后方可施行。</w:t>
      </w:r>
    </w:p>
    <w:p>
      <w:pPr>
        <w:pStyle w:val="92"/>
        <w:spacing w:line="360" w:lineRule="auto"/>
        <w:rPr>
          <w:rFonts w:ascii="宋体" w:hAnsi="宋体" w:cs="宋体"/>
          <w:sz w:val="21"/>
          <w:szCs w:val="21"/>
        </w:rPr>
      </w:pPr>
      <w:r>
        <w:rPr>
          <w:rFonts w:hint="eastAsia" w:ascii="宋体" w:hAnsi="宋体" w:cs="宋体"/>
          <w:sz w:val="21"/>
          <w:szCs w:val="21"/>
        </w:rPr>
        <w:t>11、成交供应商应配备相应的环保餐具及消毒设备，培训并指定专门员工按照国家星级食堂标准做好餐具清洗消毒。</w:t>
      </w:r>
    </w:p>
    <w:p>
      <w:pPr>
        <w:pStyle w:val="92"/>
        <w:spacing w:line="360" w:lineRule="auto"/>
        <w:rPr>
          <w:rFonts w:ascii="宋体" w:hAnsi="宋体" w:cs="宋体"/>
          <w:sz w:val="21"/>
          <w:szCs w:val="21"/>
        </w:rPr>
      </w:pPr>
      <w:r>
        <w:rPr>
          <w:rFonts w:hint="eastAsia" w:ascii="宋体" w:hAnsi="宋体" w:cs="宋体"/>
          <w:sz w:val="21"/>
          <w:szCs w:val="21"/>
        </w:rPr>
        <w:t>12、对经营场所的要求：必须在食堂内部营业，不得在经营场所之外从事营业活动。如确需在外经营必须经学校主管部门批准。</w:t>
      </w:r>
    </w:p>
    <w:p>
      <w:pPr>
        <w:pStyle w:val="92"/>
        <w:spacing w:line="360" w:lineRule="auto"/>
        <w:rPr>
          <w:rFonts w:ascii="宋体" w:hAnsi="宋体" w:cs="宋体"/>
          <w:sz w:val="21"/>
          <w:szCs w:val="21"/>
        </w:rPr>
      </w:pPr>
      <w:r>
        <w:rPr>
          <w:rFonts w:hint="eastAsia" w:ascii="宋体" w:hAnsi="宋体" w:cs="宋体"/>
          <w:sz w:val="21"/>
          <w:szCs w:val="21"/>
        </w:rPr>
        <w:t>13、对经营时间的规定：一般时间可根据学生需求适度延长中午和晚上就餐时间。寒暑假及其他法定节假日的停业时间必须提前书面报武汉职业技术学院科教园区主管部门批准方可执行。</w:t>
      </w:r>
    </w:p>
    <w:p>
      <w:pPr>
        <w:pStyle w:val="92"/>
        <w:spacing w:line="360" w:lineRule="auto"/>
        <w:rPr>
          <w:rFonts w:ascii="宋体" w:hAnsi="宋体" w:cs="宋体"/>
          <w:sz w:val="21"/>
          <w:szCs w:val="21"/>
        </w:rPr>
      </w:pPr>
      <w:r>
        <w:rPr>
          <w:rFonts w:hint="eastAsia" w:ascii="宋体" w:hAnsi="宋体" w:cs="宋体"/>
          <w:color w:val="000000" w:themeColor="text1"/>
          <w:sz w:val="21"/>
          <w:szCs w:val="21"/>
        </w:rPr>
        <w:t>14、成交供应商</w:t>
      </w:r>
      <w:r>
        <w:rPr>
          <w:rFonts w:hint="eastAsia" w:ascii="宋体" w:hAnsi="宋体" w:cs="宋体"/>
          <w:color w:val="000000" w:themeColor="text1"/>
          <w:kern w:val="0"/>
          <w:sz w:val="21"/>
          <w:szCs w:val="21"/>
        </w:rPr>
        <w:t>在经营过程中统一采用学校校园一卡通和指定的支付宝账户等进行结算，不得用现金消费等其他方式结算。每年按</w:t>
      </w:r>
      <w:r>
        <w:rPr>
          <w:rFonts w:hint="eastAsia" w:ascii="宋体" w:hAnsi="宋体" w:cs="宋体"/>
          <w:color w:val="000000" w:themeColor="text1"/>
          <w:sz w:val="21"/>
          <w:szCs w:val="21"/>
        </w:rPr>
        <w:t>成交供应商</w:t>
      </w:r>
      <w:r>
        <w:rPr>
          <w:rFonts w:hint="eastAsia" w:ascii="宋体" w:hAnsi="宋体" w:cs="宋体"/>
          <w:color w:val="000000" w:themeColor="text1"/>
          <w:kern w:val="0"/>
          <w:sz w:val="21"/>
          <w:szCs w:val="21"/>
        </w:rPr>
        <w:t>成交结果定额缴纳成本补偿费。</w:t>
      </w:r>
      <w:r>
        <w:rPr>
          <w:rFonts w:hint="eastAsia" w:ascii="宋体" w:hAnsi="宋体" w:cs="宋体"/>
          <w:color w:val="000000" w:themeColor="text1"/>
          <w:sz w:val="21"/>
          <w:szCs w:val="21"/>
        </w:rPr>
        <w:t>供应商</w:t>
      </w:r>
      <w:r>
        <w:rPr>
          <w:rFonts w:hint="eastAsia" w:ascii="宋体" w:hAnsi="宋体" w:cs="宋体"/>
          <w:color w:val="000000" w:themeColor="text1"/>
          <w:kern w:val="0"/>
          <w:sz w:val="21"/>
          <w:szCs w:val="21"/>
        </w:rPr>
        <w:t>必须坚持高</w:t>
      </w:r>
      <w:r>
        <w:rPr>
          <w:rFonts w:hint="eastAsia" w:ascii="宋体" w:hAnsi="宋体" w:cs="宋体"/>
          <w:kern w:val="0"/>
          <w:sz w:val="21"/>
          <w:szCs w:val="21"/>
        </w:rPr>
        <w:t>校食堂“三服务、二育人”的办伙宗旨及高校食堂的“公益性”原则，无条件承担公益性伙食任务。所售商品必须明码实价，保证商品销售价格低于同期周边社会商业网点同类商品销售价格的10%。伙食结构与售价参照《高等学校学生食堂伙食结构及成本核算指导意见》（中高学后伙〔2012〕2号）执行，投标人投标时须对服务方案做出详细说明，并提供服务承诺书。</w:t>
      </w:r>
    </w:p>
    <w:p>
      <w:pPr>
        <w:pStyle w:val="92"/>
        <w:spacing w:line="360" w:lineRule="auto"/>
        <w:rPr>
          <w:rFonts w:ascii="宋体" w:hAnsi="宋体" w:cs="宋体"/>
          <w:sz w:val="21"/>
          <w:szCs w:val="21"/>
        </w:rPr>
      </w:pPr>
      <w:r>
        <w:rPr>
          <w:rFonts w:hint="eastAsia" w:ascii="宋体" w:hAnsi="宋体" w:cs="宋体"/>
          <w:sz w:val="21"/>
          <w:szCs w:val="21"/>
        </w:rPr>
        <w:t>15、</w:t>
      </w:r>
      <w:r>
        <w:rPr>
          <w:rFonts w:hint="eastAsia" w:ascii="宋体" w:hAnsi="宋体" w:cs="宋体"/>
          <w:kern w:val="0"/>
          <w:sz w:val="21"/>
          <w:szCs w:val="21"/>
        </w:rPr>
        <w:t>食堂日常运行过程使用的所有物资、设备由</w:t>
      </w:r>
      <w:r>
        <w:rPr>
          <w:rFonts w:hint="eastAsia" w:ascii="宋体" w:hAnsi="宋体" w:cs="宋体"/>
          <w:sz w:val="21"/>
          <w:szCs w:val="21"/>
        </w:rPr>
        <w:t>成交供应商</w:t>
      </w:r>
      <w:r>
        <w:rPr>
          <w:rFonts w:hint="eastAsia" w:ascii="宋体" w:hAnsi="宋体" w:cs="宋体"/>
          <w:kern w:val="0"/>
          <w:sz w:val="21"/>
          <w:szCs w:val="21"/>
        </w:rPr>
        <w:t>采购（米、面、油、干货、调料、低耗、用具等），</w:t>
      </w:r>
      <w:r>
        <w:rPr>
          <w:rFonts w:hint="eastAsia" w:ascii="宋体" w:hAnsi="宋体" w:cs="宋体"/>
          <w:sz w:val="21"/>
          <w:szCs w:val="21"/>
        </w:rPr>
        <w:t>成交供应商</w:t>
      </w:r>
      <w:r>
        <w:rPr>
          <w:rFonts w:hint="eastAsia" w:ascii="宋体" w:hAnsi="宋体" w:cs="宋体"/>
          <w:kern w:val="0"/>
          <w:sz w:val="21"/>
          <w:szCs w:val="21"/>
        </w:rPr>
        <w:t>所选定的物资、设备供应商的资质须经采购人审核，且供货物资、设备的质量和安全须接受采购人监管，但供货物资、设备的价格及结算由</w:t>
      </w:r>
      <w:r>
        <w:rPr>
          <w:rFonts w:hint="eastAsia" w:ascii="宋体" w:hAnsi="宋体" w:cs="宋体"/>
          <w:sz w:val="21"/>
          <w:szCs w:val="21"/>
        </w:rPr>
        <w:t>成交供应商</w:t>
      </w:r>
      <w:r>
        <w:rPr>
          <w:rFonts w:hint="eastAsia" w:ascii="宋体" w:hAnsi="宋体" w:cs="宋体"/>
          <w:kern w:val="0"/>
          <w:sz w:val="21"/>
          <w:szCs w:val="21"/>
        </w:rPr>
        <w:t>管理并负责，</w:t>
      </w:r>
      <w:r>
        <w:rPr>
          <w:rFonts w:hint="eastAsia" w:ascii="宋体" w:hAnsi="宋体" w:cs="宋体"/>
          <w:sz w:val="21"/>
          <w:szCs w:val="21"/>
        </w:rPr>
        <w:t>成交供应商</w:t>
      </w:r>
      <w:r>
        <w:rPr>
          <w:rFonts w:hint="eastAsia" w:ascii="宋体" w:hAnsi="宋体" w:cs="宋体"/>
          <w:kern w:val="0"/>
          <w:sz w:val="21"/>
          <w:szCs w:val="21"/>
        </w:rPr>
        <w:t>须确保不与物资、设备供应商产生任何纠纷，如出现纠纷均由</w:t>
      </w:r>
      <w:r>
        <w:rPr>
          <w:rFonts w:hint="eastAsia" w:ascii="宋体" w:hAnsi="宋体" w:cs="宋体"/>
          <w:sz w:val="21"/>
          <w:szCs w:val="21"/>
        </w:rPr>
        <w:t>成交供应商</w:t>
      </w:r>
      <w:r>
        <w:rPr>
          <w:rFonts w:hint="eastAsia" w:ascii="宋体" w:hAnsi="宋体" w:cs="宋体"/>
          <w:kern w:val="0"/>
          <w:sz w:val="21"/>
          <w:szCs w:val="21"/>
        </w:rPr>
        <w:t>负责并妥善处理，采购人不负责任。</w:t>
      </w:r>
      <w:r>
        <w:rPr>
          <w:rFonts w:hint="eastAsia" w:ascii="宋体" w:hAnsi="宋体" w:cs="宋体"/>
          <w:sz w:val="21"/>
          <w:szCs w:val="21"/>
        </w:rPr>
        <w:t>严禁“三无”“五毛”产品和腐烂变质物资进入食堂。</w:t>
      </w:r>
    </w:p>
    <w:p>
      <w:pPr>
        <w:pStyle w:val="92"/>
        <w:spacing w:line="360" w:lineRule="auto"/>
        <w:rPr>
          <w:rFonts w:ascii="宋体" w:hAnsi="宋体" w:cs="宋体"/>
          <w:kern w:val="0"/>
          <w:sz w:val="21"/>
          <w:szCs w:val="21"/>
          <w:highlight w:val="yellow"/>
        </w:rPr>
      </w:pPr>
      <w:r>
        <w:rPr>
          <w:rFonts w:hint="eastAsia" w:ascii="宋体" w:hAnsi="宋体" w:cs="宋体"/>
          <w:sz w:val="21"/>
          <w:szCs w:val="21"/>
        </w:rPr>
        <w:t>16、</w:t>
      </w:r>
      <w:r>
        <w:rPr>
          <w:rFonts w:hint="eastAsia" w:ascii="宋体" w:hAnsi="宋体" w:cs="宋体"/>
          <w:kern w:val="0"/>
          <w:sz w:val="21"/>
          <w:szCs w:val="21"/>
        </w:rPr>
        <w:t>食堂经营产生的水、电、气费用由成交供应商负责（按当地物价部门公示的价格标准执行），按表据实按月结算。</w:t>
      </w:r>
    </w:p>
    <w:p>
      <w:pPr>
        <w:pStyle w:val="92"/>
        <w:spacing w:line="360" w:lineRule="auto"/>
        <w:rPr>
          <w:rFonts w:ascii="宋体" w:hAnsi="宋体" w:cs="宋体"/>
          <w:kern w:val="0"/>
          <w:sz w:val="21"/>
          <w:szCs w:val="21"/>
        </w:rPr>
      </w:pPr>
      <w:r>
        <w:rPr>
          <w:rFonts w:hint="eastAsia" w:ascii="宋体" w:hAnsi="宋体" w:cs="宋体"/>
          <w:sz w:val="21"/>
          <w:szCs w:val="21"/>
        </w:rPr>
        <w:t>1</w:t>
      </w:r>
      <w:r>
        <w:rPr>
          <w:rFonts w:hint="eastAsia" w:ascii="宋体" w:hAnsi="宋体" w:cs="宋体"/>
          <w:sz w:val="21"/>
          <w:szCs w:val="21"/>
          <w:lang w:val="en-US" w:eastAsia="zh-CN"/>
        </w:rPr>
        <w:t>7</w:t>
      </w:r>
      <w:r>
        <w:rPr>
          <w:rFonts w:hint="eastAsia" w:ascii="宋体" w:hAnsi="宋体" w:cs="宋体"/>
          <w:sz w:val="21"/>
          <w:szCs w:val="21"/>
        </w:rPr>
        <w:t>、成交供应商投入约定：成交供应商开业前与经营过程中按需要对食堂装修与改造（含水、电、燃气报装），同时也需要添置相应的设施设备（施工和添置前必须向学校书面上报申请并附详细方案，经学校批准同意后方可实施），其费用由成交供应商单方面承担。</w:t>
      </w:r>
      <w:r>
        <w:rPr>
          <w:rFonts w:hint="eastAsia" w:ascii="宋体" w:hAnsi="宋体" w:cs="宋体"/>
          <w:kern w:val="0"/>
          <w:sz w:val="21"/>
          <w:szCs w:val="21"/>
        </w:rPr>
        <w:t>成交供应商必须保护好食堂所有财产，对食堂设施、设备、装修应及时进行保养、维修，延长其使用年限，因此产生的费用由成交供应商承担。</w:t>
      </w:r>
    </w:p>
    <w:p>
      <w:pPr>
        <w:pStyle w:val="92"/>
        <w:spacing w:line="360" w:lineRule="auto"/>
        <w:rPr>
          <w:rFonts w:ascii="宋体" w:hAnsi="宋体" w:cs="宋体"/>
          <w:sz w:val="21"/>
          <w:szCs w:val="21"/>
        </w:rPr>
      </w:pPr>
      <w:r>
        <w:rPr>
          <w:rFonts w:hint="eastAsia" w:ascii="宋体" w:hAnsi="宋体" w:cs="宋体"/>
          <w:sz w:val="21"/>
          <w:szCs w:val="21"/>
        </w:rPr>
        <w:t>1</w:t>
      </w:r>
      <w:r>
        <w:rPr>
          <w:rFonts w:hint="eastAsia" w:ascii="宋体" w:hAnsi="宋体" w:cs="宋体"/>
          <w:sz w:val="21"/>
          <w:szCs w:val="21"/>
          <w:lang w:val="en-US" w:eastAsia="zh-CN"/>
        </w:rPr>
        <w:t>8</w:t>
      </w:r>
      <w:r>
        <w:rPr>
          <w:rFonts w:hint="eastAsia" w:ascii="宋体" w:hAnsi="宋体" w:cs="宋体"/>
          <w:sz w:val="21"/>
          <w:szCs w:val="21"/>
        </w:rPr>
        <w:t>、上述相关要求和规定将在合同中体现，如果成交供应商违约将承担违约责任。</w:t>
      </w:r>
    </w:p>
    <w:p>
      <w:pPr>
        <w:pStyle w:val="92"/>
        <w:spacing w:line="360" w:lineRule="auto"/>
        <w:rPr>
          <w:rFonts w:ascii="宋体" w:hAnsi="宋体" w:cs="宋体"/>
          <w:sz w:val="21"/>
          <w:szCs w:val="21"/>
        </w:rPr>
      </w:pPr>
      <w:r>
        <w:rPr>
          <w:rFonts w:hint="eastAsia" w:ascii="宋体" w:hAnsi="宋体" w:cs="宋体"/>
          <w:sz w:val="21"/>
          <w:szCs w:val="21"/>
          <w:lang w:val="en-US" w:eastAsia="zh-CN"/>
        </w:rPr>
        <w:t>19</w:t>
      </w:r>
      <w:r>
        <w:rPr>
          <w:rFonts w:hint="eastAsia" w:ascii="宋体" w:hAnsi="宋体" w:cs="宋体"/>
          <w:sz w:val="21"/>
          <w:szCs w:val="21"/>
        </w:rPr>
        <w:t>、成交供应商在经营过程中，应严格接受当地食品安全监督管理部门的管理。</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lang w:val="en-US" w:eastAsia="zh-CN"/>
        </w:rPr>
        <w:t>20</w:t>
      </w:r>
      <w:r>
        <w:rPr>
          <w:rFonts w:hint="eastAsia" w:ascii="宋体" w:hAnsi="宋体" w:cs="宋体"/>
          <w:color w:val="000000" w:themeColor="text1"/>
          <w:sz w:val="21"/>
          <w:szCs w:val="21"/>
        </w:rPr>
        <w:t>、成交供应商要建立留样制度并坚持每日按要求留样。留样冷藏冰箱应专用，标志明显；每个品种留样量不少于200g，每餐留样时间不少于 48小时。</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lang w:val="en-US" w:eastAsia="zh-CN"/>
        </w:rPr>
        <w:t>21</w:t>
      </w:r>
      <w:r>
        <w:rPr>
          <w:rFonts w:hint="eastAsia" w:ascii="宋体" w:hAnsi="宋体" w:cs="宋体"/>
          <w:color w:val="000000" w:themeColor="text1"/>
          <w:sz w:val="21"/>
          <w:szCs w:val="21"/>
        </w:rPr>
        <w:t>、成交供应商应严格执行餐用具清洗消毒程序。热力消毒应按除渣、洗涤、清洗、消毒的程序进行，保持100度 10分钟以上；化学方法消毒应按除渣、洗涤、消毒、清洗的程序进行，使用消毒液应含有效氯浓度 250mg/L 以上，餐用具全部浸泡入液体中，作用 5 分钟以上，消毒后应用流动洁净水清洗；消毒后的餐用具应立即倒置贮存在专用保洁柜内备用，保洁柜有明显标记。</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2</w:t>
      </w:r>
      <w:r>
        <w:rPr>
          <w:rFonts w:hint="eastAsia" w:ascii="宋体" w:hAnsi="宋体" w:cs="宋体"/>
          <w:color w:val="000000" w:themeColor="text1"/>
          <w:sz w:val="21"/>
          <w:szCs w:val="21"/>
          <w:lang w:val="en-US" w:eastAsia="zh-CN"/>
        </w:rPr>
        <w:t>2</w:t>
      </w:r>
      <w:r>
        <w:rPr>
          <w:rFonts w:hint="eastAsia" w:ascii="宋体" w:hAnsi="宋体" w:cs="宋体"/>
          <w:color w:val="000000" w:themeColor="text1"/>
          <w:sz w:val="21"/>
          <w:szCs w:val="21"/>
        </w:rPr>
        <w:t>、成交供应商要制定室内卫生管理制度，将各功能区及功能区内的水池、操作台、冰柜（箱）、灶台、货架等硬件设施卫生保洁工作分解落实到人，确保每区域、每个工具、设施都有责任人，并在责任区域内或硬件设施上加贴责任人姓名，制定定期检查制度，按标准要求检查，检查结果与（员工）利益挂钩，确保卫生保洁制度真正落实到位。</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2</w:t>
      </w:r>
      <w:r>
        <w:rPr>
          <w:rFonts w:hint="eastAsia" w:ascii="宋体" w:hAnsi="宋体" w:cs="宋体"/>
          <w:color w:val="000000" w:themeColor="text1"/>
          <w:sz w:val="21"/>
          <w:szCs w:val="21"/>
          <w:lang w:val="en-US" w:eastAsia="zh-CN"/>
        </w:rPr>
        <w:t>3</w:t>
      </w:r>
      <w:r>
        <w:rPr>
          <w:rFonts w:hint="eastAsia" w:ascii="宋体" w:hAnsi="宋体" w:cs="宋体"/>
          <w:color w:val="000000" w:themeColor="text1"/>
          <w:sz w:val="21"/>
          <w:szCs w:val="21"/>
        </w:rPr>
        <w:t>、成交供应商应建立食品安全管理档案，及时收集相关资料，每年汇总整理并装订成册后上交饮食管理部门存档保存，部分临时资料要提前上交。主要内容：食堂食品安全管理员名单及上级（市食药监局）有关文件，食品安全工作制度，食堂人员组成及分工情况，食堂食品经营许可证、从业人员健康证、食品安全知识培训合格证复印件，食品安全知识培训教材、资料，人员学习记录，学校食堂食品安全年度工作计划、总结，监督意见书，各类台账资料等。</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2</w:t>
      </w:r>
      <w:r>
        <w:rPr>
          <w:rFonts w:hint="eastAsia" w:ascii="宋体" w:hAnsi="宋体" w:cs="宋体"/>
          <w:color w:val="000000" w:themeColor="text1"/>
          <w:sz w:val="21"/>
          <w:szCs w:val="21"/>
          <w:lang w:val="en-US" w:eastAsia="zh-CN"/>
        </w:rPr>
        <w:t>4</w:t>
      </w:r>
      <w:r>
        <w:rPr>
          <w:rFonts w:hint="eastAsia" w:ascii="宋体" w:hAnsi="宋体" w:cs="宋体"/>
          <w:color w:val="000000" w:themeColor="text1"/>
          <w:sz w:val="21"/>
          <w:szCs w:val="21"/>
        </w:rPr>
        <w:t>、台账资料管理的具体内容包括服务商资格审核记录、食品原料采购索证索票进货查验和采购记录、过程控制记录、餐用具消毒情况记录、从业人员管理记录、食品安全检查记录、食品留样记录、投诉处理记录、不合格食品及废弃油脂处理记录、食品添加剂采购及使用记录等。</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2</w:t>
      </w:r>
      <w:r>
        <w:rPr>
          <w:rFonts w:hint="eastAsia" w:ascii="宋体" w:hAnsi="宋体" w:cs="宋体"/>
          <w:color w:val="000000" w:themeColor="text1"/>
          <w:sz w:val="21"/>
          <w:szCs w:val="21"/>
          <w:lang w:val="en-US" w:eastAsia="zh-CN"/>
        </w:rPr>
        <w:t>5</w:t>
      </w:r>
      <w:r>
        <w:rPr>
          <w:rFonts w:hint="eastAsia" w:ascii="宋体" w:hAnsi="宋体" w:cs="宋体"/>
          <w:color w:val="000000" w:themeColor="text1"/>
          <w:sz w:val="21"/>
          <w:szCs w:val="21"/>
        </w:rPr>
        <w:t>、成交供应商建立应急处置管理机制，要根据食堂实际情况建立处置方案，并将其纳入员工培训内容，采取多种形式开展应急知识教育培训，应每学年至少组织从业人员进行事故处置演练一次，使从业人员熟练掌握应急处置程序。凡在食堂就餐后发生的食品安全事故或疑似食品安全事故，对人体健康已产生危害或者可能产生危害时应按照应急处置程序及时启动处置方案。</w:t>
      </w:r>
      <w:r>
        <w:rPr>
          <w:rFonts w:hint="eastAsia" w:ascii="宋体" w:hAnsi="宋体" w:cs="宋体"/>
          <w:color w:val="000000" w:themeColor="text1"/>
          <w:sz w:val="21"/>
          <w:szCs w:val="21"/>
        </w:rPr>
        <w:br w:type="textWrapping"/>
      </w:r>
      <w:r>
        <w:rPr>
          <w:rFonts w:hint="eastAsia" w:ascii="宋体" w:hAnsi="宋体" w:cs="宋体"/>
          <w:b/>
          <w:bCs/>
          <w:color w:val="000000" w:themeColor="text1"/>
          <w:sz w:val="21"/>
          <w:szCs w:val="21"/>
        </w:rPr>
        <w:t>（三）、成交供应商强制退出机制（提供承诺书）：</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成交供应商承诺因自身原因出现下列情况之一的，采购人可立即终止合同，投资风险自负：</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1、发生食物中毒或安全责任事故造成严重后果的；</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2、发生因伙食质量、食品卫生、服务质量等问题而引起学生罢餐等群体事件，包括如员工罢工造成恶劣影响的；</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3、发生弄虚作假、不按合同约定范围经营、有整体转包和超范围分包行为，经学校规劝整改无效且情节严重的；</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4、学生满意度低于60%，且经整改无显著成效的；</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5、因乙方破产或乙方法定代表人因严重违法违纪行为受到严重刑事处罚导致不能正常营业；</w:t>
      </w:r>
    </w:p>
    <w:p>
      <w:pPr>
        <w:pStyle w:val="92"/>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6、如遇学校整体搬迁或不可抗力因素等导致无法履行合同的情况，则合同自动终止。</w:t>
      </w:r>
    </w:p>
    <w:p>
      <w:pPr>
        <w:pStyle w:val="92"/>
        <w:spacing w:line="360" w:lineRule="auto"/>
        <w:rPr>
          <w:color w:val="000000" w:themeColor="text1"/>
        </w:rPr>
      </w:pPr>
      <w:r>
        <w:rPr>
          <w:rFonts w:hint="eastAsia" w:ascii="宋体" w:hAnsi="宋体" w:cs="宋体"/>
          <w:color w:val="000000" w:themeColor="text1"/>
          <w:sz w:val="21"/>
          <w:szCs w:val="21"/>
        </w:rPr>
        <w:t>7、合同期满。</w:t>
      </w:r>
      <w:r>
        <w:rPr>
          <w:rFonts w:hint="eastAsia" w:asciiTheme="minorEastAsia" w:hAnsiTheme="minorEastAsia" w:eastAsiaTheme="minorEastAsia" w:cstheme="minorEastAsia"/>
          <w:color w:val="000000" w:themeColor="text1"/>
          <w:szCs w:val="21"/>
        </w:rPr>
        <w:br w:type="textWrapping"/>
      </w:r>
    </w:p>
    <w:p>
      <w:pP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br w:type="page"/>
      </w:r>
    </w:p>
    <w:p>
      <w:pPr>
        <w:autoSpaceDE w:val="0"/>
        <w:autoSpaceDN w:val="0"/>
        <w:adjustRightInd w:val="0"/>
        <w:spacing w:line="360" w:lineRule="auto"/>
        <w:outlineLvl w:val="1"/>
        <w:rPr>
          <w:rFonts w:asciiTheme="minorEastAsia" w:hAnsiTheme="minorEastAsia" w:eastAsiaTheme="minorEastAsia" w:cstheme="minorEastAsia"/>
          <w:b/>
          <w:bCs/>
          <w:sz w:val="24"/>
        </w:rPr>
      </w:pPr>
      <w:bookmarkStart w:id="106" w:name="_Toc20203"/>
      <w:r>
        <w:rPr>
          <w:rFonts w:hint="eastAsia" w:asciiTheme="minorEastAsia" w:hAnsiTheme="minorEastAsia" w:eastAsiaTheme="minorEastAsia" w:cstheme="minorEastAsia"/>
          <w:b/>
          <w:bCs/>
          <w:sz w:val="24"/>
        </w:rPr>
        <w:t>二、商务需求</w:t>
      </w:r>
      <w:bookmarkEnd w:id="106"/>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1、违约责任：</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所有拟派服务人员及设备均需按照磋商文件指标要求及竞标响应情况进行检查核对后方可签订合同，不满足磋商文件要求的，采购人有权不对其进行验收；同时采购人有权对成交供应商进行双倍罚款或取消合同。</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1.2若非采购人原因，成交供应商逾期签订合同的，成交供应商向采购人支付逾期违约金，逾期违约金为每天1000.00元人民币，但其最终累计金额不超过合同价款的10%。</w:t>
      </w:r>
    </w:p>
    <w:p>
      <w:pPr>
        <w:autoSpaceDE w:val="0"/>
        <w:autoSpaceDN w:val="0"/>
        <w:adjustRightInd w:val="0"/>
        <w:spacing w:line="360" w:lineRule="auto"/>
        <w:ind w:firstLine="420" w:firstLineChars="200"/>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szCs w:val="21"/>
        </w:rPr>
        <w:t>1.3因成交供应商原因服务质量及诚信要求达不到约定的标准，由成交供应商向采购人支付合同价款10%的违约金。</w:t>
      </w:r>
    </w:p>
    <w:p>
      <w:pPr>
        <w:autoSpaceDE w:val="0"/>
        <w:autoSpaceDN w:val="0"/>
        <w:adjustRightInd w:val="0"/>
        <w:spacing w:line="360" w:lineRule="auto"/>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2、履约保证金：拾万元整（￥100000.00）,签订合同前5个工作日递交，以支票、汇票、本票或者金融机构、担保机构出具的保函等非现金形式提交。履约保证金作为食堂正常经营期间的食品安全和经营安全保证金。在食堂发生安全事故或经营者逃单时，用此款垫付相关处理费用。待事故原因调查清楚以后，根据事故调查结果，再行决定此款的归还或加收。此款为专项基金，不得挪用，由学校财务部门专款管理，此费用的使用须经过学校领导批准。合同到期后，在食堂经营者完成合同所有条款规定义务的前提下，若无争议，在撤离之日起十日内退回无息退还履约保证金。</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themeColor="text1"/>
          <w:szCs w:val="21"/>
        </w:rPr>
        <w:t>3、付款方式：服务期内年度合同签订后，成交供应商应缴纳本年度的定额成本补偿费一次性支付给采购人；营业收益采购人按月支付，每月末成交供应商提供足额的增值税发票后，采购人一次性支付本月营业额全部收入至成交供应商账户。</w:t>
      </w:r>
      <w:r>
        <w:rPr>
          <w:rFonts w:hint="eastAsia" w:asciiTheme="minorEastAsia" w:hAnsiTheme="minorEastAsia" w:eastAsiaTheme="minorEastAsia" w:cstheme="minorEastAsia"/>
          <w:color w:val="000000" w:themeColor="text1"/>
          <w:szCs w:val="21"/>
        </w:rPr>
        <w:br w:type="textWrapping"/>
      </w:r>
      <w:r>
        <w:rPr>
          <w:rFonts w:hint="eastAsia" w:asciiTheme="minorEastAsia" w:hAnsiTheme="minorEastAsia" w:eastAsiaTheme="minorEastAsia" w:cstheme="minorEastAsia"/>
          <w:szCs w:val="21"/>
        </w:rPr>
        <w:t>4、其它：</w:t>
      </w:r>
      <w:r>
        <w:rPr>
          <w:rFonts w:hint="eastAsia" w:ascii="宋体" w:hAnsi="宋体" w:cs="宋体"/>
          <w:szCs w:val="21"/>
        </w:rPr>
        <w:t>2020年9月1日成交供应商要具备全部软硬件开业条件，并顺利开业。</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注：</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1、资格审查因素等证明材料须提供网上图片或查询方式以供磋商小组核查，响应文件内附相关证书真彩扫描件。</w:t>
      </w:r>
    </w:p>
    <w:p>
      <w:pPr>
        <w:autoSpaceDE w:val="0"/>
        <w:autoSpaceDN w:val="0"/>
        <w:adjustRightInd w:val="0"/>
        <w:spacing w:line="360" w:lineRule="auto"/>
      </w:pPr>
      <w:r>
        <w:rPr>
          <w:rFonts w:hint="eastAsia" w:asciiTheme="minorEastAsia" w:hAnsiTheme="minorEastAsia" w:eastAsiaTheme="minorEastAsia" w:cstheme="minorEastAsia"/>
          <w:szCs w:val="21"/>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color w:val="FF0000"/>
          <w:szCs w:val="21"/>
        </w:rPr>
        <w:br w:type="textWrapping"/>
      </w:r>
      <w:r>
        <w:rPr>
          <w:rFonts w:hint="eastAsia" w:asciiTheme="minorEastAsia" w:hAnsiTheme="minorEastAsia" w:eastAsiaTheme="minorEastAsia" w:cstheme="minorEastAsia"/>
          <w:b/>
          <w:bCs/>
          <w:color w:val="FF0000"/>
          <w:szCs w:val="21"/>
        </w:rPr>
        <w:br w:type="textWrapping"/>
      </w:r>
    </w:p>
    <w:p>
      <w:pPr>
        <w:autoSpaceDE w:val="0"/>
        <w:autoSpaceDN w:val="0"/>
        <w:adjustRightInd w:val="0"/>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br w:type="textWrapping"/>
      </w:r>
    </w:p>
    <w:p>
      <w:pPr>
        <w:pStyle w:val="3"/>
        <w:numPr>
          <w:ilvl w:val="0"/>
          <w:numId w:val="4"/>
        </w:numPr>
        <w:jc w:val="center"/>
        <w:rPr>
          <w:rFonts w:asciiTheme="minorEastAsia" w:hAnsiTheme="minorEastAsia" w:eastAsiaTheme="minorEastAsia" w:cstheme="minorEastAsia"/>
          <w:szCs w:val="21"/>
        </w:rPr>
      </w:pPr>
      <w:bookmarkStart w:id="107" w:name="_Toc3264"/>
      <w:r>
        <w:rPr>
          <w:rFonts w:hint="eastAsia" w:asciiTheme="minorEastAsia" w:hAnsiTheme="minorEastAsia" w:eastAsiaTheme="minorEastAsia" w:cstheme="minorEastAsia"/>
          <w:sz w:val="36"/>
          <w:szCs w:val="36"/>
        </w:rPr>
        <w:t>竞争性磋商采购评定办法</w:t>
      </w:r>
      <w:bookmarkEnd w:id="107"/>
    </w:p>
    <w:p>
      <w:pPr>
        <w:spacing w:line="360" w:lineRule="auto"/>
        <w:outlineLvl w:val="1"/>
        <w:rPr>
          <w:rFonts w:asciiTheme="minorEastAsia" w:hAnsiTheme="minorEastAsia" w:eastAsiaTheme="minorEastAsia" w:cstheme="minorEastAsia"/>
          <w:b/>
          <w:szCs w:val="21"/>
        </w:rPr>
      </w:pPr>
      <w:bookmarkStart w:id="108" w:name="_Toc13093"/>
      <w:r>
        <w:rPr>
          <w:rFonts w:hint="eastAsia" w:asciiTheme="minorEastAsia" w:hAnsiTheme="minorEastAsia" w:eastAsiaTheme="minorEastAsia" w:cstheme="minorEastAsia"/>
          <w:b/>
          <w:szCs w:val="21"/>
        </w:rPr>
        <w:t>一、评定办法前附表</w:t>
      </w:r>
      <w:bookmarkEnd w:id="108"/>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szCs w:val="21"/>
              </w:rPr>
            </w:pPr>
          </w:p>
        </w:tc>
        <w:tc>
          <w:tcPr>
            <w:tcW w:w="3101" w:type="dxa"/>
            <w:vAlign w:val="center"/>
          </w:tcPr>
          <w:p>
            <w:pPr>
              <w:widowControl/>
              <w:spacing w:line="28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没有重大违法记录的书面声明</w:t>
            </w:r>
          </w:p>
        </w:tc>
        <w:tc>
          <w:tcPr>
            <w:tcW w:w="4730" w:type="dxa"/>
            <w:vAlign w:val="center"/>
          </w:tcPr>
          <w:p>
            <w:pPr>
              <w:widowControl/>
              <w:spacing w:line="280" w:lineRule="exac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szCs w:val="21"/>
              </w:rPr>
            </w:pPr>
          </w:p>
        </w:tc>
        <w:tc>
          <w:tcPr>
            <w:tcW w:w="3101" w:type="dxa"/>
            <w:vAlign w:val="center"/>
          </w:tcPr>
          <w:p>
            <w:pPr>
              <w:widowControl/>
              <w:spacing w:line="280" w:lineRule="exact"/>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供应商不得存在的其他情形</w:t>
            </w:r>
          </w:p>
        </w:tc>
        <w:tc>
          <w:tcPr>
            <w:tcW w:w="4730" w:type="dxa"/>
            <w:vAlign w:val="center"/>
          </w:tcPr>
          <w:p>
            <w:pPr>
              <w:widowControl/>
              <w:spacing w:line="280" w:lineRule="exact"/>
              <w:jc w:val="left"/>
              <w:rPr>
                <w:lang w:val="zh-CN"/>
              </w:rPr>
            </w:pPr>
            <w:r>
              <w:rPr>
                <w:rFonts w:hint="eastAsia"/>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lang w:val="zh-CN"/>
              </w:rPr>
            </w:pPr>
            <w:r>
              <w:rPr>
                <w:rFonts w:hint="eastAsia"/>
                <w:lang w:val="zh-CN"/>
              </w:rPr>
              <w:t>2、参与本项目采购活动前，已为本项目提供过整体设计、规范编制或者项目管理、监理、检测等服务的供应商。</w:t>
            </w:r>
          </w:p>
          <w:p>
            <w:pPr>
              <w:widowControl/>
              <w:spacing w:line="280" w:lineRule="exact"/>
              <w:jc w:val="left"/>
              <w:rPr>
                <w:lang w:val="zh-CN"/>
              </w:rPr>
            </w:pPr>
            <w:r>
              <w:rPr>
                <w:rFonts w:hint="eastAsia"/>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asciiTheme="minorEastAsia" w:hAnsiTheme="minorEastAsia" w:eastAsiaTheme="minorEastAsia" w:cstheme="minorEastAsia"/>
                <w:szCs w:val="21"/>
              </w:rPr>
            </w:pPr>
          </w:p>
        </w:tc>
        <w:tc>
          <w:tcPr>
            <w:tcW w:w="310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磋商保证金（如有）</w:t>
            </w:r>
          </w:p>
        </w:tc>
        <w:tc>
          <w:tcPr>
            <w:tcW w:w="4730" w:type="dxa"/>
            <w:vAlign w:val="center"/>
          </w:tcPr>
          <w:p>
            <w:pPr>
              <w:widowControl/>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6"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经营范围</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是否未超出经营范围竞标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5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磋商书签字盖章</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信誉情况</w:t>
            </w:r>
          </w:p>
        </w:tc>
        <w:tc>
          <w:tcPr>
            <w:tcW w:w="4730" w:type="dxa"/>
            <w:vAlign w:val="center"/>
          </w:tcPr>
          <w:p>
            <w:pPr>
              <w:widowControl/>
              <w:rPr>
                <w:rFonts w:asciiTheme="minorEastAsia" w:hAnsiTheme="minorEastAsia" w:eastAsiaTheme="minorEastAsia" w:cstheme="minorEastAsia"/>
                <w:kern w:val="0"/>
                <w:szCs w:val="21"/>
              </w:rPr>
            </w:pPr>
            <w:r>
              <w:rPr>
                <w:rFonts w:hint="eastAsia" w:ascii="宋体" w:hAnsi="宋体" w:cs="宋体"/>
                <w:kern w:val="0"/>
                <w:szCs w:val="21"/>
              </w:rPr>
              <w:t>参加本</w:t>
            </w:r>
            <w:r>
              <w:rPr>
                <w:rFonts w:hint="eastAsia" w:ascii="宋体" w:hAnsi="宋体" w:cs="宋体"/>
                <w:kern w:val="0"/>
                <w:szCs w:val="21"/>
                <w:shd w:val="clear" w:color="auto" w:fill="FFFFFF"/>
              </w:rPr>
              <w:t>次政府采购活动前三年内，是否有不良经济纠纷记录和违法行为（供应商提供声明或承诺书，格式自拟）；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采购需求响应</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技术参数及商务需求是否实质性响应磋商文件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Merge w:val="continue"/>
            <w:vAlign w:val="center"/>
          </w:tcPr>
          <w:p>
            <w:pPr>
              <w:widowControl/>
              <w:jc w:val="center"/>
              <w:rPr>
                <w:rFonts w:asciiTheme="minorEastAsia" w:hAnsiTheme="minorEastAsia" w:eastAsiaTheme="minorEastAsia" w:cstheme="minorEastAsia"/>
                <w:kern w:val="0"/>
                <w:szCs w:val="21"/>
              </w:rPr>
            </w:pP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ascii="宋体" w:hAnsi="宋体"/>
                <w:szCs w:val="21"/>
              </w:rPr>
            </w:pPr>
            <w:r>
              <w:rPr>
                <w:rFonts w:hint="eastAsia" w:ascii="宋体" w:hAnsi="宋体"/>
                <w:szCs w:val="21"/>
              </w:rPr>
              <w:t>其他要求（一）</w:t>
            </w:r>
          </w:p>
        </w:tc>
        <w:tc>
          <w:tcPr>
            <w:tcW w:w="4730" w:type="dxa"/>
            <w:vAlign w:val="center"/>
          </w:tcPr>
          <w:p>
            <w:pPr>
              <w:autoSpaceDE w:val="0"/>
              <w:autoSpaceDN w:val="0"/>
              <w:adjustRightInd w:val="0"/>
              <w:snapToGrid w:val="0"/>
              <w:rPr>
                <w:rFonts w:ascii="宋体" w:hAnsi="宋体"/>
                <w:szCs w:val="21"/>
              </w:rPr>
            </w:pPr>
            <w:r>
              <w:rPr>
                <w:rFonts w:hint="eastAsia" w:ascii="宋体" w:hAnsi="宋体"/>
                <w:szCs w:val="21"/>
              </w:rPr>
              <w:t>供应商未有下列任一情形：</w:t>
            </w:r>
          </w:p>
          <w:p>
            <w:pPr>
              <w:autoSpaceDE w:val="0"/>
              <w:autoSpaceDN w:val="0"/>
              <w:adjustRightInd w:val="0"/>
              <w:snapToGrid w:val="0"/>
              <w:rPr>
                <w:rFonts w:ascii="宋体" w:hAnsi="宋体"/>
                <w:szCs w:val="21"/>
              </w:rPr>
            </w:pPr>
            <w:r>
              <w:rPr>
                <w:rFonts w:hint="eastAsia" w:ascii="宋体" w:hAnsi="宋体"/>
                <w:szCs w:val="21"/>
              </w:rPr>
              <w:t>（1）不同供应商的响应文件由同一单位或者个人编制；</w:t>
            </w:r>
          </w:p>
          <w:p>
            <w:pPr>
              <w:autoSpaceDE w:val="0"/>
              <w:autoSpaceDN w:val="0"/>
              <w:adjustRightInd w:val="0"/>
              <w:snapToGrid w:val="0"/>
              <w:rPr>
                <w:rFonts w:ascii="宋体" w:hAnsi="宋体"/>
                <w:szCs w:val="21"/>
              </w:rPr>
            </w:pPr>
            <w:r>
              <w:rPr>
                <w:rFonts w:hint="eastAsia" w:ascii="宋体" w:hAnsi="宋体"/>
                <w:szCs w:val="21"/>
              </w:rPr>
              <w:t>（2）不同供应商委托同一单位或者个人办理投标事宜；</w:t>
            </w:r>
          </w:p>
          <w:p>
            <w:pPr>
              <w:autoSpaceDE w:val="0"/>
              <w:autoSpaceDN w:val="0"/>
              <w:adjustRightInd w:val="0"/>
              <w:snapToGrid w:val="0"/>
              <w:rPr>
                <w:rFonts w:ascii="宋体" w:hAnsi="宋体"/>
                <w:szCs w:val="21"/>
              </w:rPr>
            </w:pPr>
            <w:r>
              <w:rPr>
                <w:rFonts w:hint="eastAsia" w:ascii="宋体" w:hAnsi="宋体"/>
                <w:szCs w:val="21"/>
              </w:rPr>
              <w:t>（3）不同供应商的响应文件载明的项目管理成员或者联系人员为同一人；</w:t>
            </w:r>
          </w:p>
          <w:p>
            <w:pPr>
              <w:autoSpaceDE w:val="0"/>
              <w:autoSpaceDN w:val="0"/>
              <w:adjustRightInd w:val="0"/>
              <w:snapToGrid w:val="0"/>
              <w:rPr>
                <w:rFonts w:ascii="宋体" w:hAnsi="宋体"/>
                <w:szCs w:val="21"/>
              </w:rPr>
            </w:pPr>
            <w:r>
              <w:rPr>
                <w:rFonts w:hint="eastAsia" w:ascii="宋体" w:hAnsi="宋体"/>
                <w:szCs w:val="21"/>
              </w:rPr>
              <w:t>（4）不同供应商的响应文件异常一致或者投标报价呈规律性差异；</w:t>
            </w:r>
          </w:p>
          <w:p>
            <w:pPr>
              <w:autoSpaceDE w:val="0"/>
              <w:autoSpaceDN w:val="0"/>
              <w:adjustRightInd w:val="0"/>
              <w:snapToGrid w:val="0"/>
              <w:rPr>
                <w:rFonts w:ascii="宋体" w:hAnsi="宋体"/>
                <w:szCs w:val="21"/>
              </w:rPr>
            </w:pPr>
            <w:r>
              <w:rPr>
                <w:rFonts w:hint="eastAsia" w:ascii="宋体" w:hAnsi="宋体"/>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其他要求（二）</w:t>
            </w:r>
          </w:p>
        </w:tc>
        <w:tc>
          <w:tcPr>
            <w:tcW w:w="4730" w:type="dxa"/>
            <w:vAlign w:val="center"/>
          </w:tcPr>
          <w:p>
            <w:pPr>
              <w:widowControl/>
              <w:rPr>
                <w:rFonts w:asciiTheme="minorEastAsia" w:hAnsiTheme="minorEastAsia" w:eastAsiaTheme="minorEastAsia" w:cstheme="minorEastAsia"/>
                <w:kern w:val="0"/>
                <w:szCs w:val="21"/>
              </w:rPr>
            </w:pPr>
            <w:r>
              <w:rPr>
                <w:rFonts w:hint="eastAsia" w:ascii="宋体" w:hAnsi="宋体" w:cs="宋体"/>
                <w:kern w:val="0"/>
                <w:szCs w:val="21"/>
              </w:rPr>
              <w:t>磋商文件中规定被视为无效投标其它条款的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1.4</w:t>
            </w:r>
          </w:p>
        </w:tc>
        <w:tc>
          <w:tcPr>
            <w:tcW w:w="851"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磋商文件能完整、明确列明采购需求，无需要供应商提供最终设计方案或者解决方案的</w:t>
            </w:r>
          </w:p>
        </w:tc>
        <w:tc>
          <w:tcPr>
            <w:tcW w:w="4730" w:type="dxa"/>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在磋商结束后，磋商小组向所有通过资格性和符合性审查的磋商供应商发出报价书，并要求其在规定时间内提交最后报价。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asciiTheme="minorEastAsia" w:hAnsiTheme="minorEastAsia" w:eastAsiaTheme="minorEastAsia" w:cstheme="minorEastAsia"/>
                <w:kern w:val="0"/>
                <w:szCs w:val="21"/>
              </w:rPr>
            </w:pPr>
          </w:p>
        </w:tc>
        <w:tc>
          <w:tcPr>
            <w:tcW w:w="851" w:type="dxa"/>
            <w:vMerge w:val="continue"/>
            <w:vAlign w:val="center"/>
          </w:tcPr>
          <w:p>
            <w:pPr>
              <w:widowControl/>
              <w:jc w:val="center"/>
              <w:rPr>
                <w:rFonts w:asciiTheme="minorEastAsia" w:hAnsiTheme="minorEastAsia" w:eastAsiaTheme="minorEastAsia" w:cstheme="minorEastAsia"/>
                <w:kern w:val="0"/>
                <w:szCs w:val="21"/>
              </w:rPr>
            </w:pPr>
          </w:p>
        </w:tc>
        <w:tc>
          <w:tcPr>
            <w:tcW w:w="3101"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磋商文件不能完整、明确列明采购需求，需要由供应商提供最终设计方案或者解决方案的</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85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评定</w:t>
            </w:r>
          </w:p>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办法</w:t>
            </w:r>
          </w:p>
        </w:tc>
        <w:tc>
          <w:tcPr>
            <w:tcW w:w="3101"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kern w:val="0"/>
                <w:szCs w:val="21"/>
              </w:rPr>
              <w:t>综合评分法</w:t>
            </w:r>
          </w:p>
        </w:tc>
        <w:tc>
          <w:tcPr>
            <w:tcW w:w="473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类型：工业 制造业……（查询划型标准）</w:t>
            </w:r>
          </w:p>
          <w:p>
            <w:pPr>
              <w:widowControl/>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小型：营业收入从业人员资产总额</w:t>
            </w:r>
          </w:p>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微型：营业收入从业人员资产总额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如符合工信部联企业【2011】300号文中对中小企业划型标准的， 需提供本单位的 《中小企业声明函》（格式见第六章）及企业相关数据资料。代理商竞标需同时提供制造商及代理商双方的数据资料（制造商直接竞标的仅需提供制造商数据资料），如果数据资料与声明函不一致的，由磋商小组判定。经磋商小组审核确认供应商符合工信部联企业【2011】300 号文中对中小企业划型标准的，将根据财库【2011】181号文的相关规定在评定时对小型和微型企业产品的价格给予6%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ascii="宋体" w:hAnsi="宋体" w:cs="宋体"/>
                <w:snapToGrid w:val="0"/>
                <w:kern w:val="0"/>
                <w:szCs w:val="21"/>
                <w:lang w:val="zh-CN"/>
              </w:rPr>
            </w:pPr>
          </w:p>
          <w:p>
            <w:pPr>
              <w:autoSpaceDE w:val="0"/>
              <w:autoSpaceDN w:val="0"/>
              <w:adjustRightInd w:val="0"/>
              <w:jc w:val="center"/>
              <w:rPr>
                <w:rFonts w:asciiTheme="minorEastAsia" w:hAnsiTheme="minorEastAsia" w:cstheme="minorEastAsia"/>
                <w:kern w:val="0"/>
                <w:szCs w:val="21"/>
              </w:rPr>
            </w:pPr>
            <w:r>
              <w:rPr>
                <w:rFonts w:hint="eastAsia" w:ascii="宋体" w:hAnsi="宋体" w:cs="宋体"/>
                <w:snapToGrid w:val="0"/>
                <w:kern w:val="0"/>
                <w:szCs w:val="21"/>
                <w:lang w:val="zh-CN"/>
              </w:rPr>
              <w:t>节能</w:t>
            </w:r>
            <w:r>
              <w:rPr>
                <w:rFonts w:hint="eastAsia" w:ascii="宋体" w:hAnsi="宋体" w:cs="宋体"/>
                <w:snapToGrid w:val="0"/>
                <w:kern w:val="0"/>
                <w:szCs w:val="21"/>
              </w:rPr>
              <w:t>环保</w:t>
            </w:r>
          </w:p>
        </w:tc>
        <w:tc>
          <w:tcPr>
            <w:tcW w:w="7831" w:type="dxa"/>
            <w:gridSpan w:val="2"/>
            <w:vAlign w:val="center"/>
          </w:tcPr>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asciiTheme="minorEastAsia" w:hAnsiTheme="minorEastAsia" w:eastAsiaTheme="minorEastAsia" w:cstheme="minorEastAsia"/>
          <w:b/>
          <w:szCs w:val="21"/>
        </w:rPr>
      </w:pPr>
      <w:bookmarkStart w:id="109" w:name="_Toc28410"/>
      <w:r>
        <w:rPr>
          <w:rFonts w:hint="eastAsia" w:asciiTheme="minorEastAsia" w:hAnsiTheme="minorEastAsia" w:eastAsiaTheme="minorEastAsia" w:cstheme="minorEastAsia"/>
          <w:b/>
          <w:szCs w:val="21"/>
        </w:rPr>
        <w:t>二、计算办法</w:t>
      </w:r>
      <w:bookmarkEnd w:id="109"/>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得分相同的供应商，按竞标报价由高到低顺序排列。得分且报价相同的，按技术指标优劣顺序排列。</w:t>
            </w:r>
          </w:p>
        </w:tc>
      </w:tr>
    </w:tbl>
    <w:p>
      <w:pPr>
        <w:spacing w:line="360" w:lineRule="auto"/>
        <w:rPr>
          <w:rFonts w:asciiTheme="minorEastAsia" w:hAnsiTheme="minorEastAsia" w:eastAsiaTheme="minorEastAsia" w:cstheme="minorEastAsia"/>
          <w:b/>
          <w:szCs w:val="21"/>
        </w:rPr>
      </w:pPr>
    </w:p>
    <w:p>
      <w:pPr>
        <w:pStyle w:val="20"/>
        <w:rPr>
          <w:rFonts w:asciiTheme="minorEastAsia" w:hAnsiTheme="minorEastAsia" w:eastAsiaTheme="minorEastAsia" w:cstheme="minorEastAsia"/>
        </w:rPr>
      </w:pPr>
    </w:p>
    <w:p>
      <w:pP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page"/>
      </w:r>
    </w:p>
    <w:p>
      <w:pPr>
        <w:spacing w:line="360" w:lineRule="auto"/>
        <w:outlineLvl w:val="1"/>
        <w:rPr>
          <w:rFonts w:asciiTheme="minorEastAsia" w:hAnsiTheme="minorEastAsia" w:eastAsiaTheme="minorEastAsia" w:cstheme="minorEastAsia"/>
          <w:b/>
          <w:szCs w:val="21"/>
        </w:rPr>
      </w:pPr>
      <w:bookmarkStart w:id="110" w:name="_Toc607"/>
      <w:r>
        <w:rPr>
          <w:rFonts w:hint="eastAsia" w:asciiTheme="minorEastAsia" w:hAnsiTheme="minorEastAsia" w:eastAsiaTheme="minorEastAsia" w:cstheme="minorEastAsia"/>
          <w:b/>
          <w:szCs w:val="21"/>
        </w:rPr>
        <w:t>三、评分细则</w:t>
      </w:r>
      <w:bookmarkEnd w:id="110"/>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376"/>
        <w:gridCol w:w="6512"/>
        <w:gridCol w:w="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3" w:hRule="atLeast"/>
        </w:trPr>
        <w:tc>
          <w:tcPr>
            <w:tcW w:w="736" w:type="dxa"/>
            <w:tcBorders>
              <w:top w:val="single" w:color="auto" w:sz="12" w:space="0"/>
            </w:tcBorders>
            <w:vAlign w:val="center"/>
          </w:tcPr>
          <w:p>
            <w:pPr>
              <w:spacing w:line="360" w:lineRule="atLeast"/>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类别</w:t>
            </w:r>
          </w:p>
        </w:tc>
        <w:tc>
          <w:tcPr>
            <w:tcW w:w="1376" w:type="dxa"/>
            <w:tcBorders>
              <w:top w:val="single" w:color="auto" w:sz="12" w:space="0"/>
            </w:tcBorders>
            <w:vAlign w:val="center"/>
          </w:tcPr>
          <w:p>
            <w:pPr>
              <w:spacing w:line="360" w:lineRule="atLeast"/>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评审因素</w:t>
            </w:r>
          </w:p>
        </w:tc>
        <w:tc>
          <w:tcPr>
            <w:tcW w:w="6512" w:type="dxa"/>
            <w:tcBorders>
              <w:top w:val="single" w:color="auto" w:sz="12" w:space="0"/>
            </w:tcBorders>
            <w:vAlign w:val="center"/>
          </w:tcPr>
          <w:p>
            <w:pPr>
              <w:spacing w:line="360" w:lineRule="atLeast"/>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评审标准</w:t>
            </w:r>
          </w:p>
        </w:tc>
        <w:tc>
          <w:tcPr>
            <w:tcW w:w="664" w:type="dxa"/>
            <w:tcBorders>
              <w:top w:val="single" w:color="auto" w:sz="12" w:space="0"/>
            </w:tcBorders>
            <w:vAlign w:val="center"/>
          </w:tcPr>
          <w:p>
            <w:pPr>
              <w:spacing w:line="36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736" w:type="dxa"/>
            <w:vAlign w:val="center"/>
          </w:tcPr>
          <w:p>
            <w:pPr>
              <w:widowControl/>
              <w:spacing w:line="260" w:lineRule="exact"/>
              <w:jc w:val="center"/>
              <w:textAlignment w:val="center"/>
              <w:rPr>
                <w:rFonts w:asciiTheme="minorEastAsia" w:hAnsiTheme="minorEastAsia" w:eastAsiaTheme="minorEastAsia" w:cstheme="minorEastAsia"/>
                <w:color w:val="000000" w:themeColor="text1"/>
                <w:spacing w:val="-6"/>
                <w:szCs w:val="21"/>
              </w:rPr>
            </w:pPr>
            <w:r>
              <w:rPr>
                <w:rFonts w:hint="eastAsia" w:asciiTheme="minorEastAsia" w:hAnsiTheme="minorEastAsia" w:eastAsiaTheme="minorEastAsia" w:cstheme="minorEastAsia"/>
                <w:color w:val="000000" w:themeColor="text1"/>
                <w:kern w:val="0"/>
                <w:szCs w:val="21"/>
              </w:rPr>
              <w:t>竞标报价</w:t>
            </w:r>
            <w:r>
              <w:rPr>
                <w:rFonts w:hint="eastAsia" w:asciiTheme="minorEastAsia" w:hAnsiTheme="minorEastAsia" w:eastAsiaTheme="minorEastAsia" w:cstheme="minorEastAsia"/>
                <w:color w:val="000000" w:themeColor="text1"/>
                <w:kern w:val="0"/>
                <w:szCs w:val="21"/>
              </w:rPr>
              <w:br w:type="textWrapping"/>
            </w:r>
            <w:r>
              <w:rPr>
                <w:rFonts w:hint="eastAsia" w:asciiTheme="minorEastAsia" w:hAnsiTheme="minorEastAsia" w:eastAsiaTheme="minorEastAsia" w:cstheme="minorEastAsia"/>
                <w:color w:val="000000" w:themeColor="text1"/>
                <w:kern w:val="0"/>
                <w:szCs w:val="21"/>
              </w:rPr>
              <w:t>15分</w:t>
            </w:r>
          </w:p>
        </w:tc>
        <w:tc>
          <w:tcPr>
            <w:tcW w:w="1376" w:type="dxa"/>
            <w:vAlign w:val="center"/>
          </w:tcPr>
          <w:p>
            <w:pPr>
              <w:widowControl/>
              <w:spacing w:line="260" w:lineRule="exact"/>
              <w:jc w:val="center"/>
              <w:textAlignment w:val="center"/>
              <w:rPr>
                <w:rFonts w:asciiTheme="minorEastAsia" w:hAnsiTheme="minorEastAsia" w:eastAsiaTheme="minorEastAsia" w:cstheme="minorEastAsia"/>
                <w:color w:val="000000" w:themeColor="text1"/>
                <w:spacing w:val="-6"/>
                <w:szCs w:val="21"/>
              </w:rPr>
            </w:pPr>
            <w:r>
              <w:rPr>
                <w:rFonts w:hint="eastAsia" w:asciiTheme="minorEastAsia" w:hAnsiTheme="minorEastAsia" w:eastAsiaTheme="minorEastAsia" w:cstheme="minorEastAsia"/>
                <w:color w:val="000000" w:themeColor="text1"/>
                <w:kern w:val="0"/>
                <w:szCs w:val="21"/>
              </w:rPr>
              <w:t>最后报价</w:t>
            </w:r>
          </w:p>
        </w:tc>
        <w:tc>
          <w:tcPr>
            <w:tcW w:w="6512" w:type="dxa"/>
            <w:vAlign w:val="center"/>
          </w:tcPr>
          <w:p>
            <w:pPr>
              <w:widowControl/>
              <w:spacing w:line="260" w:lineRule="exact"/>
              <w:jc w:val="left"/>
              <w:textAlignment w:val="center"/>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供应商响应文件的报价为2.5万元/年的得4分，每增加0.5万元加1分，最高得15分。</w:t>
            </w:r>
          </w:p>
        </w:tc>
        <w:tc>
          <w:tcPr>
            <w:tcW w:w="664" w:type="dxa"/>
            <w:vAlign w:val="center"/>
          </w:tcPr>
          <w:p>
            <w:pPr>
              <w:widowControl/>
              <w:spacing w:line="260" w:lineRule="exact"/>
              <w:jc w:val="center"/>
              <w:textAlignment w:val="center"/>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kern w:val="0"/>
                <w:szCs w:val="21"/>
              </w:rPr>
              <w:t>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jc w:val="center"/>
              <w:rPr>
                <w:rFonts w:ascii="宋体" w:hAnsi="宋体" w:cs="宋体"/>
                <w:spacing w:val="-6"/>
                <w:szCs w:val="21"/>
              </w:rPr>
            </w:pPr>
            <w:r>
              <w:rPr>
                <w:rFonts w:hint="eastAsia" w:ascii="宋体" w:hAnsi="宋体" w:cs="宋体"/>
                <w:spacing w:val="-6"/>
                <w:szCs w:val="21"/>
              </w:rPr>
              <w:t>商务30分</w:t>
            </w:r>
          </w:p>
        </w:tc>
        <w:tc>
          <w:tcPr>
            <w:tcW w:w="1376" w:type="dxa"/>
            <w:vAlign w:val="center"/>
          </w:tcPr>
          <w:p>
            <w:pPr>
              <w:jc w:val="center"/>
              <w:rPr>
                <w:rFonts w:ascii="宋体" w:hAnsi="宋体" w:cs="宋体"/>
                <w:szCs w:val="21"/>
              </w:rPr>
            </w:pPr>
            <w:r>
              <w:rPr>
                <w:rFonts w:hint="eastAsia" w:ascii="宋体" w:hAnsi="宋体" w:cs="宋体"/>
                <w:szCs w:val="21"/>
              </w:rPr>
              <w:t>企业信誉</w:t>
            </w:r>
          </w:p>
        </w:tc>
        <w:tc>
          <w:tcPr>
            <w:tcW w:w="6512" w:type="dxa"/>
            <w:vAlign w:val="center"/>
          </w:tcPr>
          <w:p>
            <w:pPr>
              <w:jc w:val="left"/>
              <w:rPr>
                <w:rFonts w:ascii="宋体" w:hAnsi="宋体" w:cs="宋体"/>
                <w:szCs w:val="21"/>
              </w:rPr>
            </w:pPr>
            <w:r>
              <w:rPr>
                <w:rFonts w:hint="eastAsia" w:ascii="宋体" w:hAnsi="宋体" w:cs="宋体"/>
                <w:szCs w:val="21"/>
              </w:rPr>
              <w:t>获得信用管理服务中心信用等级、银行信用等级或第三方服务中心，ＡＡＡ级的得2 分；ＡＡ级的得1分；Ａ级的不得分；</w:t>
            </w:r>
          </w:p>
        </w:tc>
        <w:tc>
          <w:tcPr>
            <w:tcW w:w="664" w:type="dxa"/>
            <w:vAlign w:val="center"/>
          </w:tcPr>
          <w:p>
            <w:pPr>
              <w:jc w:val="center"/>
              <w:rPr>
                <w:rFonts w:ascii="宋体" w:hAnsi="宋体" w:cs="宋体"/>
                <w:szCs w:val="21"/>
              </w:rPr>
            </w:pPr>
            <w:r>
              <w:rPr>
                <w:rFonts w:hint="eastAsia" w:ascii="宋体" w:hAnsi="宋体" w:cs="宋体"/>
                <w:szCs w:val="21"/>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jc w:val="center"/>
              <w:rPr>
                <w:rFonts w:ascii="宋体" w:hAnsi="宋体" w:cs="宋体"/>
                <w:spacing w:val="-6"/>
                <w:szCs w:val="21"/>
              </w:rPr>
            </w:pPr>
          </w:p>
        </w:tc>
        <w:tc>
          <w:tcPr>
            <w:tcW w:w="1376" w:type="dxa"/>
            <w:vAlign w:val="center"/>
          </w:tcPr>
          <w:p>
            <w:pPr>
              <w:jc w:val="center"/>
              <w:rPr>
                <w:rFonts w:ascii="宋体" w:hAnsi="宋体" w:cs="宋体"/>
                <w:color w:val="000000" w:themeColor="text1"/>
                <w:spacing w:val="-6"/>
                <w:kern w:val="0"/>
                <w:szCs w:val="21"/>
              </w:rPr>
            </w:pPr>
            <w:r>
              <w:rPr>
                <w:rFonts w:hint="eastAsia" w:ascii="宋体" w:hAnsi="宋体" w:cs="宋体"/>
                <w:szCs w:val="21"/>
              </w:rPr>
              <w:t>类似业绩</w:t>
            </w:r>
          </w:p>
        </w:tc>
        <w:tc>
          <w:tcPr>
            <w:tcW w:w="6512" w:type="dxa"/>
            <w:vAlign w:val="center"/>
          </w:tcPr>
          <w:p>
            <w:pPr>
              <w:jc w:val="left"/>
              <w:rPr>
                <w:rFonts w:ascii="宋体" w:hAnsi="宋体" w:cs="宋体"/>
                <w:color w:val="000000" w:themeColor="text1"/>
                <w:spacing w:val="-6"/>
                <w:szCs w:val="21"/>
              </w:rPr>
            </w:pPr>
            <w:r>
              <w:rPr>
                <w:rFonts w:hint="eastAsia" w:ascii="宋体" w:hAnsi="宋体" w:cs="宋体"/>
                <w:szCs w:val="21"/>
              </w:rPr>
              <w:t>近三年（磋商截止时间往前推算36个月）承担过的类似餐饮服务承包业一个得1分，最高得5分。（须提供中标通知书(或验收报告）及合同复印件加盖公章）</w:t>
            </w:r>
          </w:p>
        </w:tc>
        <w:tc>
          <w:tcPr>
            <w:tcW w:w="664" w:type="dxa"/>
            <w:vAlign w:val="center"/>
          </w:tcPr>
          <w:p>
            <w:pPr>
              <w:jc w:val="center"/>
              <w:rPr>
                <w:rFonts w:ascii="宋体" w:hAnsi="宋体" w:cs="宋体"/>
                <w:color w:val="000000" w:themeColor="text1"/>
                <w:spacing w:val="-6"/>
                <w:szCs w:val="21"/>
              </w:rPr>
            </w:pPr>
            <w:r>
              <w:rPr>
                <w:rFonts w:hint="eastAsia" w:ascii="宋体" w:hAnsi="宋体" w:cs="宋体"/>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宋体" w:hAnsi="宋体" w:cs="宋体"/>
                <w:szCs w:val="21"/>
              </w:rPr>
            </w:pPr>
          </w:p>
        </w:tc>
        <w:tc>
          <w:tcPr>
            <w:tcW w:w="1376" w:type="dxa"/>
            <w:vAlign w:val="center"/>
          </w:tcPr>
          <w:p>
            <w:pPr>
              <w:jc w:val="center"/>
              <w:rPr>
                <w:rFonts w:ascii="宋体" w:hAnsi="宋体" w:cs="宋体"/>
                <w:spacing w:val="-6"/>
                <w:kern w:val="0"/>
                <w:szCs w:val="21"/>
              </w:rPr>
            </w:pPr>
            <w:r>
              <w:rPr>
                <w:rFonts w:hint="eastAsia" w:ascii="宋体" w:hAnsi="宋体" w:cs="宋体"/>
                <w:szCs w:val="21"/>
              </w:rPr>
              <w:t>用户反馈</w:t>
            </w:r>
          </w:p>
        </w:tc>
        <w:tc>
          <w:tcPr>
            <w:tcW w:w="6512" w:type="dxa"/>
            <w:vAlign w:val="center"/>
          </w:tcPr>
          <w:p>
            <w:pPr>
              <w:jc w:val="left"/>
              <w:rPr>
                <w:rFonts w:ascii="宋体" w:hAnsi="宋体" w:cs="宋体"/>
                <w:spacing w:val="-6"/>
                <w:kern w:val="0"/>
                <w:szCs w:val="21"/>
              </w:rPr>
            </w:pPr>
            <w:r>
              <w:rPr>
                <w:rFonts w:hint="eastAsia" w:ascii="宋体" w:hAnsi="宋体" w:cs="宋体"/>
                <w:szCs w:val="21"/>
              </w:rPr>
              <w:t>近3年内（磋商截止时间往前推算36个月）以来业主出具的服务良好评价证明（就餐人数在2500人以上规模的用户评价），每提供1个业主单位的评价得1分，最高得4分（需提供盖用户单位公章相关证明，未提供不得分）</w:t>
            </w:r>
          </w:p>
        </w:tc>
        <w:tc>
          <w:tcPr>
            <w:tcW w:w="664" w:type="dxa"/>
            <w:vAlign w:val="center"/>
          </w:tcPr>
          <w:p>
            <w:pPr>
              <w:jc w:val="center"/>
              <w:rPr>
                <w:rFonts w:ascii="宋体" w:hAnsi="宋体" w:cs="宋体"/>
                <w:spacing w:val="-6"/>
                <w:kern w:val="0"/>
                <w:szCs w:val="21"/>
              </w:rPr>
            </w:pPr>
            <w:r>
              <w:rPr>
                <w:rFonts w:hint="eastAsia" w:ascii="宋体" w:hAnsi="宋体" w:cs="宋体"/>
                <w:szCs w:val="21"/>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宋体" w:hAnsi="宋体" w:cs="宋体"/>
                <w:szCs w:val="21"/>
              </w:rPr>
            </w:pPr>
          </w:p>
        </w:tc>
        <w:tc>
          <w:tcPr>
            <w:tcW w:w="1376" w:type="dxa"/>
            <w:vAlign w:val="center"/>
          </w:tcPr>
          <w:p>
            <w:pPr>
              <w:jc w:val="center"/>
              <w:rPr>
                <w:rFonts w:ascii="宋体" w:hAnsi="宋体" w:cs="宋体"/>
                <w:szCs w:val="21"/>
              </w:rPr>
            </w:pPr>
            <w:r>
              <w:rPr>
                <w:rFonts w:hint="eastAsia" w:ascii="宋体" w:hAnsi="宋体" w:cs="宋体"/>
                <w:szCs w:val="21"/>
              </w:rPr>
              <w:t>财务状况</w:t>
            </w:r>
          </w:p>
        </w:tc>
        <w:tc>
          <w:tcPr>
            <w:tcW w:w="6512" w:type="dxa"/>
            <w:vAlign w:val="center"/>
          </w:tcPr>
          <w:p>
            <w:pPr>
              <w:widowControl/>
              <w:jc w:val="left"/>
              <w:rPr>
                <w:rFonts w:ascii="宋体" w:hAnsi="宋体" w:cs="宋体"/>
                <w:szCs w:val="21"/>
              </w:rPr>
            </w:pPr>
            <w:r>
              <w:rPr>
                <w:rFonts w:hint="eastAsia" w:ascii="宋体" w:hAnsi="宋体" w:cs="宋体"/>
                <w:szCs w:val="21"/>
              </w:rPr>
              <w:t>根据投标人提供的近三年（2017、2018、2019）财务报告，对其经营状况、财务状况相互比较：</w:t>
            </w:r>
          </w:p>
          <w:p>
            <w:pPr>
              <w:widowControl/>
              <w:jc w:val="left"/>
              <w:rPr>
                <w:rFonts w:ascii="宋体" w:hAnsi="宋体" w:cs="宋体"/>
                <w:szCs w:val="21"/>
              </w:rPr>
            </w:pPr>
            <w:r>
              <w:rPr>
                <w:rFonts w:hint="eastAsia" w:ascii="宋体" w:hAnsi="宋体" w:cs="宋体"/>
                <w:szCs w:val="21"/>
              </w:rPr>
              <w:t>连续盈利，偿债能力、盈利能力和抗风险能力强的，得3分；</w:t>
            </w:r>
          </w:p>
          <w:p>
            <w:pPr>
              <w:widowControl/>
              <w:jc w:val="left"/>
              <w:rPr>
                <w:rFonts w:ascii="宋体" w:hAnsi="宋体" w:cs="宋体"/>
                <w:szCs w:val="21"/>
              </w:rPr>
            </w:pPr>
            <w:r>
              <w:rPr>
                <w:rFonts w:hint="eastAsia" w:ascii="宋体" w:hAnsi="宋体" w:cs="宋体"/>
                <w:szCs w:val="21"/>
              </w:rPr>
              <w:t>盈利情况一般，偿债能力和抗风险能力较弱的，得2分；</w:t>
            </w:r>
          </w:p>
          <w:p>
            <w:pPr>
              <w:widowControl/>
              <w:jc w:val="left"/>
              <w:rPr>
                <w:rFonts w:ascii="宋体" w:hAnsi="宋体" w:cs="宋体"/>
                <w:szCs w:val="21"/>
              </w:rPr>
            </w:pPr>
            <w:r>
              <w:rPr>
                <w:rFonts w:hint="eastAsia" w:ascii="宋体" w:hAnsi="宋体" w:cs="宋体"/>
                <w:szCs w:val="21"/>
              </w:rPr>
              <w:t>无盈利，偿债能力和抗风险能力差的，得0分；</w:t>
            </w:r>
          </w:p>
          <w:p>
            <w:pPr>
              <w:widowControl/>
              <w:jc w:val="left"/>
              <w:rPr>
                <w:rFonts w:ascii="宋体" w:hAnsi="宋体" w:cs="宋体"/>
                <w:szCs w:val="21"/>
              </w:rPr>
            </w:pPr>
            <w:r>
              <w:rPr>
                <w:rFonts w:hint="eastAsia" w:ascii="宋体" w:hAnsi="宋体" w:cs="宋体"/>
                <w:szCs w:val="21"/>
              </w:rPr>
              <w:t>（成立不足三年的按公司成立时间起算）</w:t>
            </w:r>
          </w:p>
        </w:tc>
        <w:tc>
          <w:tcPr>
            <w:tcW w:w="664" w:type="dxa"/>
            <w:vAlign w:val="center"/>
          </w:tcPr>
          <w:p>
            <w:pPr>
              <w:widowControl/>
              <w:jc w:val="center"/>
              <w:rPr>
                <w:rFonts w:ascii="宋体" w:hAnsi="宋体" w:cs="宋体"/>
                <w:szCs w:val="21"/>
              </w:rPr>
            </w:pPr>
            <w:r>
              <w:rPr>
                <w:rFonts w:hint="eastAsia" w:ascii="宋体" w:hAnsi="宋体" w:cs="宋体"/>
                <w:spacing w:val="-10"/>
                <w:kern w:val="0"/>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6" w:hRule="atLeast"/>
        </w:trPr>
        <w:tc>
          <w:tcPr>
            <w:tcW w:w="736" w:type="dxa"/>
            <w:vMerge w:val="continue"/>
            <w:vAlign w:val="center"/>
          </w:tcPr>
          <w:p>
            <w:pPr>
              <w:rPr>
                <w:rFonts w:ascii="宋体" w:hAnsi="宋体" w:cs="宋体"/>
                <w:szCs w:val="21"/>
              </w:rPr>
            </w:pPr>
          </w:p>
        </w:tc>
        <w:tc>
          <w:tcPr>
            <w:tcW w:w="1376" w:type="dxa"/>
            <w:vAlign w:val="center"/>
          </w:tcPr>
          <w:p>
            <w:pPr>
              <w:jc w:val="center"/>
              <w:rPr>
                <w:rFonts w:ascii="宋体" w:hAnsi="宋体" w:cs="宋体"/>
                <w:spacing w:val="-6"/>
                <w:kern w:val="0"/>
                <w:szCs w:val="21"/>
              </w:rPr>
            </w:pPr>
            <w:r>
              <w:rPr>
                <w:rFonts w:hint="eastAsia" w:ascii="宋体" w:hAnsi="宋体" w:cs="宋体"/>
                <w:spacing w:val="-6"/>
                <w:kern w:val="0"/>
                <w:szCs w:val="21"/>
              </w:rPr>
              <w:t>认证证书</w:t>
            </w:r>
          </w:p>
        </w:tc>
        <w:tc>
          <w:tcPr>
            <w:tcW w:w="6512" w:type="dxa"/>
            <w:vAlign w:val="center"/>
          </w:tcPr>
          <w:p>
            <w:pPr>
              <w:widowControl/>
              <w:jc w:val="left"/>
              <w:textAlignment w:val="center"/>
              <w:rPr>
                <w:rFonts w:ascii="宋体" w:hAnsi="宋体" w:cs="宋体"/>
              </w:rPr>
            </w:pPr>
            <w:r>
              <w:rPr>
                <w:rFonts w:hint="eastAsia" w:ascii="宋体" w:hAnsi="宋体" w:cs="宋体"/>
                <w:szCs w:val="21"/>
              </w:rPr>
              <w:t>投标人提供ISO9001质量管理体系认证证书得1分；没有不得分；</w:t>
            </w:r>
          </w:p>
        </w:tc>
        <w:tc>
          <w:tcPr>
            <w:tcW w:w="664" w:type="dxa"/>
            <w:tcBorders>
              <w:bottom w:val="single" w:color="auto" w:sz="4" w:space="0"/>
            </w:tcBorders>
            <w:vAlign w:val="center"/>
          </w:tcPr>
          <w:p>
            <w:pPr>
              <w:widowControl/>
              <w:jc w:val="center"/>
              <w:textAlignment w:val="center"/>
              <w:rPr>
                <w:rFonts w:ascii="宋体" w:hAnsi="宋体" w:cs="宋体"/>
                <w:szCs w:val="21"/>
              </w:rPr>
            </w:pPr>
            <w:r>
              <w:rPr>
                <w:rFonts w:hint="eastAsia" w:ascii="宋体" w:hAnsi="宋体" w:cs="宋体"/>
                <w:szCs w:val="21"/>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5" w:hRule="atLeast"/>
        </w:trPr>
        <w:tc>
          <w:tcPr>
            <w:tcW w:w="736" w:type="dxa"/>
            <w:vMerge w:val="continue"/>
            <w:vAlign w:val="center"/>
          </w:tcPr>
          <w:p>
            <w:pPr>
              <w:autoSpaceDE w:val="0"/>
              <w:autoSpaceDN w:val="0"/>
              <w:adjustRightInd w:val="0"/>
              <w:ind w:right="71" w:rightChars="34"/>
              <w:rPr>
                <w:rFonts w:ascii="宋体" w:hAnsi="宋体" w:cs="宋体"/>
                <w:spacing w:val="-6"/>
                <w:kern w:val="0"/>
                <w:szCs w:val="21"/>
              </w:rPr>
            </w:pPr>
          </w:p>
        </w:tc>
        <w:tc>
          <w:tcPr>
            <w:tcW w:w="1376" w:type="dxa"/>
            <w:tcBorders>
              <w:bottom w:val="single" w:color="auto" w:sz="4" w:space="0"/>
            </w:tcBorders>
            <w:vAlign w:val="center"/>
          </w:tcPr>
          <w:p>
            <w:pPr>
              <w:autoSpaceDE w:val="0"/>
              <w:autoSpaceDN w:val="0"/>
              <w:adjustRightInd w:val="0"/>
              <w:ind w:right="71" w:rightChars="34"/>
              <w:jc w:val="center"/>
              <w:rPr>
                <w:rFonts w:ascii="宋体" w:hAnsi="宋体" w:cs="宋体"/>
                <w:spacing w:val="-6"/>
                <w:kern w:val="0"/>
                <w:szCs w:val="21"/>
              </w:rPr>
            </w:pPr>
            <w:r>
              <w:rPr>
                <w:rFonts w:hint="eastAsia" w:ascii="宋体" w:hAnsi="宋体" w:cs="宋体"/>
                <w:spacing w:val="-6"/>
                <w:kern w:val="0"/>
                <w:szCs w:val="21"/>
              </w:rPr>
              <w:t>企业资质</w:t>
            </w:r>
          </w:p>
        </w:tc>
        <w:tc>
          <w:tcPr>
            <w:tcW w:w="6512" w:type="dxa"/>
            <w:tcBorders>
              <w:bottom w:val="single" w:color="auto" w:sz="4" w:space="0"/>
            </w:tcBorders>
            <w:vAlign w:val="center"/>
          </w:tcPr>
          <w:p>
            <w:pPr>
              <w:widowControl/>
              <w:jc w:val="left"/>
              <w:rPr>
                <w:rFonts w:ascii="宋体" w:hAnsi="宋体" w:cs="宋体"/>
                <w:szCs w:val="21"/>
              </w:rPr>
            </w:pPr>
            <w:r>
              <w:rPr>
                <w:rFonts w:hint="eastAsia" w:ascii="宋体" w:hAnsi="宋体" w:cs="宋体"/>
                <w:szCs w:val="21"/>
              </w:rPr>
              <w:t>供应商具有《食品经营许可证》或《餐饮服务许可证》的得2分。</w:t>
            </w:r>
          </w:p>
        </w:tc>
        <w:tc>
          <w:tcPr>
            <w:tcW w:w="664" w:type="dxa"/>
            <w:tcBorders>
              <w:bottom w:val="single" w:color="auto" w:sz="4" w:space="0"/>
            </w:tcBorders>
            <w:vAlign w:val="center"/>
          </w:tcPr>
          <w:p>
            <w:pPr>
              <w:widowControl/>
              <w:jc w:val="center"/>
              <w:textAlignment w:val="center"/>
              <w:rPr>
                <w:rFonts w:ascii="宋体" w:hAnsi="宋体" w:cs="宋体"/>
                <w:szCs w:val="21"/>
              </w:rPr>
            </w:pPr>
            <w:r>
              <w:rPr>
                <w:rFonts w:hint="eastAsia" w:ascii="宋体" w:hAnsi="宋体" w:cs="宋体"/>
                <w:szCs w:val="21"/>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宋体" w:hAnsi="宋体" w:cs="宋体"/>
                <w:szCs w:val="21"/>
              </w:rPr>
            </w:pPr>
          </w:p>
        </w:tc>
        <w:tc>
          <w:tcPr>
            <w:tcW w:w="1376" w:type="dxa"/>
            <w:vMerge w:val="restart"/>
            <w:tcBorders>
              <w:top w:val="single" w:color="auto" w:sz="4" w:space="0"/>
            </w:tcBorders>
            <w:vAlign w:val="center"/>
          </w:tcPr>
          <w:p>
            <w:pPr>
              <w:widowControl/>
              <w:jc w:val="center"/>
              <w:rPr>
                <w:rFonts w:ascii="宋体" w:hAnsi="宋体" w:cs="宋体"/>
                <w:szCs w:val="21"/>
              </w:rPr>
            </w:pPr>
            <w:r>
              <w:rPr>
                <w:rFonts w:hint="eastAsia" w:ascii="宋体" w:hAnsi="宋体" w:cs="宋体"/>
                <w:szCs w:val="21"/>
              </w:rPr>
              <w:t>人员配备</w:t>
            </w:r>
          </w:p>
        </w:tc>
        <w:tc>
          <w:tcPr>
            <w:tcW w:w="6512" w:type="dxa"/>
            <w:tcBorders>
              <w:top w:val="single" w:color="auto" w:sz="4" w:space="0"/>
            </w:tcBorders>
            <w:vAlign w:val="center"/>
          </w:tcPr>
          <w:p>
            <w:pPr>
              <w:widowControl/>
              <w:jc w:val="left"/>
              <w:rPr>
                <w:rFonts w:ascii="宋体" w:hAnsi="宋体" w:cs="宋体"/>
                <w:szCs w:val="21"/>
              </w:rPr>
            </w:pPr>
            <w:r>
              <w:rPr>
                <w:rFonts w:hint="eastAsia" w:ascii="宋体" w:hAnsi="宋体" w:cs="宋体"/>
                <w:szCs w:val="21"/>
              </w:rPr>
              <w:t>所有投入人员必须持有医疗部门出具的完整核酸检测报告（含咽试纸、IgM、IgG）。每提供一个得1分，最高 8 分；</w:t>
            </w:r>
          </w:p>
        </w:tc>
        <w:tc>
          <w:tcPr>
            <w:tcW w:w="664" w:type="dxa"/>
            <w:tcBorders>
              <w:top w:val="single" w:color="auto" w:sz="4" w:space="0"/>
            </w:tcBorders>
            <w:vAlign w:val="center"/>
          </w:tcPr>
          <w:p>
            <w:pPr>
              <w:autoSpaceDE w:val="0"/>
              <w:autoSpaceDN w:val="0"/>
              <w:adjustRightInd w:val="0"/>
              <w:ind w:right="71" w:rightChars="34"/>
              <w:jc w:val="center"/>
              <w:rPr>
                <w:rFonts w:ascii="宋体" w:hAnsi="宋体" w:cs="宋体"/>
                <w:spacing w:val="-6"/>
                <w:kern w:val="0"/>
                <w:szCs w:val="21"/>
              </w:rPr>
            </w:pPr>
            <w:r>
              <w:rPr>
                <w:rFonts w:hint="eastAsia" w:ascii="宋体" w:hAnsi="宋体" w:cs="宋体"/>
                <w:spacing w:val="-6"/>
                <w:kern w:val="0"/>
                <w:szCs w:val="21"/>
              </w:rPr>
              <w:t>8分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宋体" w:hAnsi="宋体" w:cs="宋体"/>
                <w:szCs w:val="21"/>
              </w:rPr>
            </w:pPr>
          </w:p>
        </w:tc>
        <w:tc>
          <w:tcPr>
            <w:tcW w:w="1376" w:type="dxa"/>
            <w:vMerge w:val="continue"/>
            <w:vAlign w:val="center"/>
          </w:tcPr>
          <w:p>
            <w:pPr>
              <w:widowControl/>
              <w:jc w:val="left"/>
              <w:rPr>
                <w:rFonts w:ascii="宋体" w:hAnsi="宋体" w:cs="宋体"/>
                <w:szCs w:val="21"/>
              </w:rPr>
            </w:pPr>
          </w:p>
        </w:tc>
        <w:tc>
          <w:tcPr>
            <w:tcW w:w="6512" w:type="dxa"/>
            <w:tcBorders>
              <w:top w:val="single" w:color="auto" w:sz="4" w:space="0"/>
            </w:tcBorders>
            <w:vAlign w:val="center"/>
          </w:tcPr>
          <w:p>
            <w:pPr>
              <w:widowControl/>
              <w:jc w:val="left"/>
              <w:rPr>
                <w:rFonts w:ascii="宋体" w:hAnsi="宋体" w:cs="宋体"/>
                <w:szCs w:val="21"/>
              </w:rPr>
            </w:pPr>
            <w:r>
              <w:rPr>
                <w:rFonts w:hint="eastAsia" w:ascii="宋体" w:hAnsi="宋体" w:cs="宋体"/>
                <w:szCs w:val="21"/>
              </w:rPr>
              <w:t>供应商投入厨师须持有国家职业资格等级证书，8人以上得5分，5-7 人得3分，3-4 人得1分，1-2 人不得分。</w:t>
            </w:r>
          </w:p>
        </w:tc>
        <w:tc>
          <w:tcPr>
            <w:tcW w:w="664" w:type="dxa"/>
            <w:tcBorders>
              <w:top w:val="single" w:color="auto" w:sz="4" w:space="0"/>
            </w:tcBorders>
            <w:vAlign w:val="center"/>
          </w:tcPr>
          <w:p>
            <w:pPr>
              <w:autoSpaceDE w:val="0"/>
              <w:autoSpaceDN w:val="0"/>
              <w:adjustRightInd w:val="0"/>
              <w:ind w:right="71" w:rightChars="34"/>
              <w:jc w:val="center"/>
              <w:rPr>
                <w:rFonts w:ascii="宋体" w:hAnsi="宋体" w:cs="宋体"/>
                <w:spacing w:val="-6"/>
                <w:kern w:val="0"/>
                <w:szCs w:val="21"/>
              </w:rPr>
            </w:pPr>
            <w:r>
              <w:rPr>
                <w:rFonts w:hint="eastAsia" w:ascii="宋体" w:hAnsi="宋体" w:cs="宋体"/>
                <w:spacing w:val="-6"/>
                <w:kern w:val="0"/>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jc w:val="center"/>
              <w:rPr>
                <w:rFonts w:ascii="宋体" w:hAnsi="宋体" w:cs="宋体"/>
                <w:spacing w:val="-6"/>
                <w:szCs w:val="21"/>
              </w:rPr>
            </w:pPr>
            <w:r>
              <w:rPr>
                <w:rFonts w:hint="eastAsia" w:ascii="宋体" w:hAnsi="宋体" w:cs="宋体"/>
                <w:spacing w:val="-6"/>
                <w:szCs w:val="21"/>
              </w:rPr>
              <w:t>技术服务55分</w:t>
            </w:r>
          </w:p>
        </w:tc>
        <w:tc>
          <w:tcPr>
            <w:tcW w:w="1376" w:type="dxa"/>
            <w:vAlign w:val="center"/>
          </w:tcPr>
          <w:p>
            <w:pPr>
              <w:jc w:val="center"/>
              <w:rPr>
                <w:rFonts w:ascii="宋体" w:hAnsi="宋体" w:cs="宋体"/>
                <w:spacing w:val="-6"/>
                <w:szCs w:val="21"/>
              </w:rPr>
            </w:pPr>
            <w:r>
              <w:rPr>
                <w:rFonts w:hint="eastAsia" w:ascii="宋体" w:hAnsi="宋体" w:cs="宋体"/>
                <w:spacing w:val="-6"/>
                <w:szCs w:val="21"/>
              </w:rPr>
              <w:t>服务管理</w:t>
            </w:r>
          </w:p>
        </w:tc>
        <w:tc>
          <w:tcPr>
            <w:tcW w:w="6512" w:type="dxa"/>
            <w:vAlign w:val="center"/>
          </w:tcPr>
          <w:p>
            <w:pPr>
              <w:ind w:left="-4" w:leftChars="-2" w:firstLine="1" w:firstLineChars="1"/>
              <w:rPr>
                <w:rFonts w:ascii="宋体" w:hAnsi="宋体" w:cs="宋体"/>
                <w:spacing w:val="-6"/>
                <w:szCs w:val="21"/>
              </w:rPr>
            </w:pPr>
            <w:r>
              <w:rPr>
                <w:rFonts w:hint="eastAsia" w:ascii="宋体" w:hAnsi="宋体" w:cs="宋体"/>
                <w:spacing w:val="-6"/>
                <w:szCs w:val="21"/>
              </w:rPr>
              <w:t>根据供应商提供对本项目的服务管理整体设想及策划方案进行评议：</w:t>
            </w:r>
          </w:p>
          <w:p>
            <w:pPr>
              <w:ind w:left="-4" w:leftChars="-2" w:firstLine="1" w:firstLineChars="1"/>
              <w:rPr>
                <w:rFonts w:ascii="宋体" w:hAnsi="宋体" w:cs="宋体"/>
                <w:spacing w:val="-6"/>
                <w:szCs w:val="21"/>
              </w:rPr>
            </w:pPr>
            <w:r>
              <w:rPr>
                <w:rFonts w:hint="eastAsia" w:ascii="宋体" w:hAnsi="宋体" w:cs="宋体"/>
                <w:spacing w:val="-6"/>
                <w:szCs w:val="21"/>
              </w:rPr>
              <w:t>针对性和可操作性完整可行的 5分；</w:t>
            </w:r>
          </w:p>
          <w:p>
            <w:pPr>
              <w:ind w:left="-4" w:leftChars="-2" w:firstLine="1" w:firstLineChars="1"/>
              <w:rPr>
                <w:rFonts w:ascii="宋体" w:hAnsi="宋体" w:cs="宋体"/>
                <w:spacing w:val="-6"/>
                <w:szCs w:val="21"/>
              </w:rPr>
            </w:pPr>
            <w:r>
              <w:rPr>
                <w:rFonts w:hint="eastAsia" w:ascii="宋体" w:hAnsi="宋体" w:cs="宋体"/>
                <w:spacing w:val="-6"/>
                <w:szCs w:val="21"/>
              </w:rPr>
              <w:t>针对性和可操作性不全面或有缺失的得3 分；</w:t>
            </w:r>
          </w:p>
          <w:p>
            <w:pPr>
              <w:ind w:left="-4" w:leftChars="-2" w:firstLine="1" w:firstLineChars="1"/>
              <w:rPr>
                <w:rFonts w:ascii="宋体" w:hAnsi="宋体" w:cs="宋体"/>
                <w:spacing w:val="-6"/>
                <w:szCs w:val="21"/>
              </w:rPr>
            </w:pPr>
            <w:r>
              <w:rPr>
                <w:rFonts w:hint="eastAsia" w:ascii="宋体" w:hAnsi="宋体" w:cs="宋体"/>
                <w:spacing w:val="-6"/>
                <w:szCs w:val="21"/>
              </w:rPr>
              <w:t>无针对性、不可操作的、未提供的不得分。</w:t>
            </w:r>
          </w:p>
        </w:tc>
        <w:tc>
          <w:tcPr>
            <w:tcW w:w="664" w:type="dxa"/>
            <w:vAlign w:val="center"/>
          </w:tcPr>
          <w:p>
            <w:pPr>
              <w:ind w:left="-4" w:leftChars="-2" w:firstLine="1" w:firstLineChars="1"/>
              <w:jc w:val="center"/>
              <w:rPr>
                <w:rFonts w:ascii="宋体" w:hAnsi="宋体" w:cs="宋体"/>
                <w:spacing w:val="-6"/>
                <w:szCs w:val="21"/>
              </w:rPr>
            </w:pPr>
            <w:r>
              <w:rPr>
                <w:rFonts w:hint="eastAsia" w:ascii="宋体" w:hAnsi="宋体" w:cs="宋体"/>
                <w:spacing w:val="-6"/>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ind w:left="-4" w:leftChars="-2" w:firstLine="2" w:firstLineChars="1"/>
              <w:rPr>
                <w:rFonts w:ascii="宋体" w:hAnsi="宋体" w:cs="宋体"/>
                <w:szCs w:val="21"/>
              </w:rPr>
            </w:pPr>
          </w:p>
        </w:tc>
        <w:tc>
          <w:tcPr>
            <w:tcW w:w="1376" w:type="dxa"/>
            <w:vMerge w:val="restart"/>
            <w:vAlign w:val="center"/>
          </w:tcPr>
          <w:p>
            <w:pPr>
              <w:ind w:left="-4" w:leftChars="-2" w:firstLine="2" w:firstLineChars="1"/>
              <w:jc w:val="center"/>
              <w:rPr>
                <w:rFonts w:ascii="宋体" w:hAnsi="宋体" w:cs="宋体"/>
                <w:szCs w:val="21"/>
              </w:rPr>
            </w:pPr>
            <w:r>
              <w:rPr>
                <w:rFonts w:hint="eastAsia" w:ascii="宋体" w:hAnsi="宋体" w:cs="宋体"/>
                <w:szCs w:val="21"/>
              </w:rPr>
              <w:t>内部管理</w:t>
            </w:r>
          </w:p>
        </w:tc>
        <w:tc>
          <w:tcPr>
            <w:tcW w:w="6512" w:type="dxa"/>
            <w:vAlign w:val="center"/>
          </w:tcPr>
          <w:p>
            <w:pPr>
              <w:ind w:left="-4" w:leftChars="-2" w:firstLine="2" w:firstLineChars="1"/>
              <w:rPr>
                <w:rFonts w:ascii="宋体" w:hAnsi="宋体" w:cs="宋体"/>
                <w:szCs w:val="21"/>
              </w:rPr>
            </w:pPr>
            <w:r>
              <w:rPr>
                <w:rFonts w:hint="eastAsia" w:ascii="宋体" w:hAnsi="宋体" w:cs="宋体"/>
                <w:szCs w:val="21"/>
              </w:rPr>
              <w:t>根据供应商提供的人员配备、职能分工、岗位职责等进行评议：</w:t>
            </w:r>
          </w:p>
          <w:p>
            <w:pPr>
              <w:ind w:left="-4" w:leftChars="-2" w:firstLine="2" w:firstLineChars="1"/>
              <w:rPr>
                <w:rFonts w:ascii="宋体" w:hAnsi="宋体" w:cs="宋体"/>
                <w:szCs w:val="21"/>
              </w:rPr>
            </w:pPr>
            <w:r>
              <w:rPr>
                <w:rFonts w:hint="eastAsia" w:ascii="宋体" w:hAnsi="宋体" w:cs="宋体"/>
                <w:szCs w:val="21"/>
              </w:rPr>
              <w:t>针对性和可操作性完整可行的 5分；</w:t>
            </w:r>
          </w:p>
          <w:p>
            <w:pPr>
              <w:ind w:left="-4" w:leftChars="-2" w:firstLine="2" w:firstLineChars="1"/>
              <w:rPr>
                <w:rFonts w:ascii="宋体" w:hAnsi="宋体" w:cs="宋体"/>
                <w:szCs w:val="21"/>
              </w:rPr>
            </w:pPr>
            <w:r>
              <w:rPr>
                <w:rFonts w:hint="eastAsia" w:ascii="宋体" w:hAnsi="宋体" w:cs="宋体"/>
                <w:szCs w:val="21"/>
              </w:rPr>
              <w:t>针对性和可操作性不全面或有缺失的得3 分；</w:t>
            </w:r>
          </w:p>
          <w:p>
            <w:pPr>
              <w:ind w:left="-4" w:leftChars="-2" w:firstLine="2" w:firstLineChars="1"/>
              <w:rPr>
                <w:rFonts w:ascii="宋体" w:hAnsi="宋体" w:cs="宋体"/>
                <w:szCs w:val="21"/>
              </w:rPr>
            </w:pPr>
            <w:r>
              <w:rPr>
                <w:rFonts w:hint="eastAsia" w:ascii="宋体" w:hAnsi="宋体" w:cs="宋体"/>
                <w:szCs w:val="21"/>
              </w:rPr>
              <w:t>无针对性、不可操作的、未提供的不得分。</w:t>
            </w:r>
          </w:p>
        </w:tc>
        <w:tc>
          <w:tcPr>
            <w:tcW w:w="664" w:type="dxa"/>
            <w:vAlign w:val="center"/>
          </w:tcPr>
          <w:p>
            <w:pPr>
              <w:ind w:left="-4" w:leftChars="-2" w:firstLine="2" w:firstLineChars="1"/>
              <w:jc w:val="center"/>
              <w:rPr>
                <w:rFonts w:ascii="宋体" w:hAnsi="宋体" w:cs="宋体"/>
                <w:szCs w:val="21"/>
              </w:rPr>
            </w:pPr>
            <w:r>
              <w:rPr>
                <w:rFonts w:hint="eastAsia" w:ascii="宋体" w:hAnsi="宋体" w:cs="宋体"/>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47" w:hRule="atLeast"/>
        </w:trPr>
        <w:tc>
          <w:tcPr>
            <w:tcW w:w="736" w:type="dxa"/>
            <w:vMerge w:val="continue"/>
            <w:vAlign w:val="center"/>
          </w:tcPr>
          <w:p>
            <w:pPr>
              <w:rPr>
                <w:rFonts w:ascii="宋体" w:hAnsi="宋体" w:cs="宋体"/>
                <w:szCs w:val="21"/>
              </w:rPr>
            </w:pPr>
          </w:p>
        </w:tc>
        <w:tc>
          <w:tcPr>
            <w:tcW w:w="1376" w:type="dxa"/>
            <w:vMerge w:val="continue"/>
            <w:vAlign w:val="center"/>
          </w:tcPr>
          <w:p>
            <w:pPr>
              <w:rPr>
                <w:rFonts w:ascii="宋体" w:hAnsi="宋体" w:cs="宋体"/>
                <w:spacing w:val="-6"/>
                <w:kern w:val="0"/>
                <w:szCs w:val="21"/>
              </w:rPr>
            </w:pPr>
          </w:p>
        </w:tc>
        <w:tc>
          <w:tcPr>
            <w:tcW w:w="6512" w:type="dxa"/>
            <w:vAlign w:val="center"/>
          </w:tcPr>
          <w:p>
            <w:pPr>
              <w:autoSpaceDE w:val="0"/>
              <w:autoSpaceDN w:val="0"/>
              <w:adjustRightInd w:val="0"/>
              <w:rPr>
                <w:rFonts w:ascii="宋体" w:hAnsi="宋体" w:cs="宋体"/>
                <w:spacing w:val="-6"/>
                <w:kern w:val="0"/>
                <w:szCs w:val="21"/>
              </w:rPr>
            </w:pPr>
            <w:r>
              <w:rPr>
                <w:rFonts w:hint="eastAsia" w:ascii="宋体" w:hAnsi="宋体" w:cs="宋体"/>
                <w:spacing w:val="-6"/>
                <w:kern w:val="0"/>
                <w:szCs w:val="21"/>
              </w:rPr>
              <w:t>根据供应商提供的规章制度规范实用性进行评议：</w:t>
            </w:r>
          </w:p>
          <w:p>
            <w:pPr>
              <w:autoSpaceDE w:val="0"/>
              <w:autoSpaceDN w:val="0"/>
              <w:adjustRightInd w:val="0"/>
              <w:rPr>
                <w:rFonts w:ascii="宋体" w:hAnsi="宋体" w:cs="宋体"/>
                <w:spacing w:val="-6"/>
                <w:kern w:val="0"/>
                <w:szCs w:val="21"/>
              </w:rPr>
            </w:pPr>
            <w:r>
              <w:rPr>
                <w:rFonts w:hint="eastAsia" w:ascii="宋体" w:hAnsi="宋体" w:cs="宋体"/>
                <w:spacing w:val="-6"/>
                <w:kern w:val="0"/>
                <w:szCs w:val="21"/>
              </w:rPr>
              <w:t>针对性和可操作性完整可行的5分；</w:t>
            </w:r>
          </w:p>
          <w:p>
            <w:pPr>
              <w:autoSpaceDE w:val="0"/>
              <w:autoSpaceDN w:val="0"/>
              <w:adjustRightInd w:val="0"/>
              <w:rPr>
                <w:rFonts w:ascii="宋体" w:hAnsi="宋体" w:cs="宋体"/>
                <w:spacing w:val="-6"/>
                <w:kern w:val="0"/>
                <w:szCs w:val="21"/>
              </w:rPr>
            </w:pPr>
            <w:r>
              <w:rPr>
                <w:rFonts w:hint="eastAsia" w:ascii="宋体" w:hAnsi="宋体" w:cs="宋体"/>
                <w:spacing w:val="-6"/>
                <w:kern w:val="0"/>
                <w:szCs w:val="21"/>
              </w:rPr>
              <w:t>针对性和可操作性不全面或有缺失的得3分；</w:t>
            </w:r>
          </w:p>
          <w:p>
            <w:pPr>
              <w:autoSpaceDE w:val="0"/>
              <w:autoSpaceDN w:val="0"/>
              <w:adjustRightInd w:val="0"/>
              <w:rPr>
                <w:rFonts w:ascii="宋体" w:hAnsi="宋体" w:cs="宋体"/>
                <w:spacing w:val="-6"/>
                <w:kern w:val="0"/>
                <w:szCs w:val="21"/>
              </w:rPr>
            </w:pPr>
            <w:r>
              <w:rPr>
                <w:rFonts w:hint="eastAsia" w:ascii="宋体" w:hAnsi="宋体" w:cs="宋体"/>
                <w:spacing w:val="-6"/>
                <w:kern w:val="0"/>
                <w:szCs w:val="21"/>
              </w:rPr>
              <w:t>无针对性、不可操作的、未提供的不得分。</w:t>
            </w:r>
          </w:p>
        </w:tc>
        <w:tc>
          <w:tcPr>
            <w:tcW w:w="664" w:type="dxa"/>
            <w:vAlign w:val="center"/>
          </w:tcPr>
          <w:p>
            <w:pPr>
              <w:autoSpaceDE w:val="0"/>
              <w:autoSpaceDN w:val="0"/>
              <w:adjustRightInd w:val="0"/>
              <w:jc w:val="center"/>
              <w:rPr>
                <w:rFonts w:ascii="宋体" w:hAnsi="宋体" w:cs="宋体"/>
              </w:rPr>
            </w:pPr>
            <w:r>
              <w:rPr>
                <w:rFonts w:hint="eastAsia" w:ascii="宋体" w:hAnsi="宋体" w:cs="宋体"/>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47" w:hRule="atLeast"/>
        </w:trPr>
        <w:tc>
          <w:tcPr>
            <w:tcW w:w="736" w:type="dxa"/>
            <w:vMerge w:val="continue"/>
            <w:vAlign w:val="center"/>
          </w:tcPr>
          <w:p>
            <w:pPr>
              <w:rPr>
                <w:rFonts w:ascii="宋体" w:hAnsi="宋体" w:cs="宋体"/>
                <w:szCs w:val="21"/>
              </w:rPr>
            </w:pPr>
          </w:p>
        </w:tc>
        <w:tc>
          <w:tcPr>
            <w:tcW w:w="1376" w:type="dxa"/>
            <w:vAlign w:val="center"/>
          </w:tcPr>
          <w:p>
            <w:pPr>
              <w:jc w:val="center"/>
              <w:rPr>
                <w:rFonts w:ascii="宋体" w:hAnsi="宋体" w:cs="宋体"/>
                <w:spacing w:val="-6"/>
                <w:kern w:val="0"/>
                <w:szCs w:val="21"/>
              </w:rPr>
            </w:pPr>
            <w:r>
              <w:rPr>
                <w:rFonts w:hint="eastAsia" w:ascii="宋体" w:hAnsi="宋体" w:cs="宋体"/>
                <w:spacing w:val="-6"/>
                <w:kern w:val="0"/>
                <w:szCs w:val="21"/>
              </w:rPr>
              <w:t>供餐保障</w:t>
            </w:r>
          </w:p>
        </w:tc>
        <w:tc>
          <w:tcPr>
            <w:tcW w:w="6512" w:type="dxa"/>
            <w:vAlign w:val="center"/>
          </w:tcPr>
          <w:p>
            <w:pPr>
              <w:autoSpaceDE w:val="0"/>
              <w:autoSpaceDN w:val="0"/>
              <w:adjustRightInd w:val="0"/>
              <w:rPr>
                <w:rFonts w:ascii="宋体" w:hAnsi="宋体" w:cs="宋体"/>
                <w:spacing w:val="-6"/>
                <w:kern w:val="0"/>
                <w:szCs w:val="21"/>
              </w:rPr>
            </w:pPr>
            <w:r>
              <w:rPr>
                <w:rFonts w:hint="eastAsia" w:ascii="宋体" w:hAnsi="宋体" w:cs="宋体"/>
                <w:spacing w:val="-6"/>
                <w:kern w:val="0"/>
                <w:szCs w:val="21"/>
              </w:rPr>
              <w:t>根据供应商提供所供餐品种多样化的保障措施进行评议：</w:t>
            </w:r>
          </w:p>
          <w:p>
            <w:pPr>
              <w:autoSpaceDE w:val="0"/>
              <w:autoSpaceDN w:val="0"/>
              <w:adjustRightInd w:val="0"/>
              <w:rPr>
                <w:rFonts w:ascii="宋体" w:hAnsi="宋体" w:cs="宋体"/>
                <w:spacing w:val="-6"/>
                <w:kern w:val="0"/>
                <w:szCs w:val="21"/>
              </w:rPr>
            </w:pPr>
            <w:r>
              <w:rPr>
                <w:rFonts w:hint="eastAsia" w:ascii="宋体" w:hAnsi="宋体" w:cs="宋体"/>
                <w:spacing w:val="-6"/>
                <w:kern w:val="0"/>
                <w:szCs w:val="21"/>
              </w:rPr>
              <w:t>针对性和可操作性完整可行的5分；</w:t>
            </w:r>
          </w:p>
          <w:p>
            <w:pPr>
              <w:autoSpaceDE w:val="0"/>
              <w:autoSpaceDN w:val="0"/>
              <w:adjustRightInd w:val="0"/>
              <w:rPr>
                <w:rFonts w:ascii="宋体" w:hAnsi="宋体" w:cs="宋体"/>
                <w:spacing w:val="-6"/>
                <w:kern w:val="0"/>
                <w:szCs w:val="21"/>
              </w:rPr>
            </w:pPr>
            <w:r>
              <w:rPr>
                <w:rFonts w:hint="eastAsia" w:ascii="宋体" w:hAnsi="宋体" w:cs="宋体"/>
                <w:spacing w:val="-6"/>
                <w:kern w:val="0"/>
                <w:szCs w:val="21"/>
              </w:rPr>
              <w:t>针对性和可操作性不全面或有缺失的得3分；</w:t>
            </w:r>
          </w:p>
          <w:p>
            <w:pPr>
              <w:autoSpaceDE w:val="0"/>
              <w:autoSpaceDN w:val="0"/>
              <w:adjustRightInd w:val="0"/>
              <w:rPr>
                <w:rFonts w:ascii="宋体" w:hAnsi="宋体" w:cs="宋体"/>
                <w:spacing w:val="-6"/>
                <w:kern w:val="0"/>
                <w:szCs w:val="21"/>
              </w:rPr>
            </w:pPr>
            <w:r>
              <w:rPr>
                <w:rFonts w:hint="eastAsia" w:ascii="宋体" w:hAnsi="宋体" w:cs="宋体"/>
                <w:spacing w:val="-6"/>
                <w:kern w:val="0"/>
                <w:szCs w:val="21"/>
              </w:rPr>
              <w:t>无针对性、不可操作的、未提供的均不得分。</w:t>
            </w:r>
          </w:p>
        </w:tc>
        <w:tc>
          <w:tcPr>
            <w:tcW w:w="664" w:type="dxa"/>
            <w:vAlign w:val="center"/>
          </w:tcPr>
          <w:p>
            <w:pPr>
              <w:autoSpaceDE w:val="0"/>
              <w:autoSpaceDN w:val="0"/>
              <w:adjustRightInd w:val="0"/>
              <w:jc w:val="center"/>
              <w:rPr>
                <w:rFonts w:ascii="宋体" w:hAnsi="宋体" w:cs="宋体"/>
              </w:rPr>
            </w:pPr>
            <w:r>
              <w:rPr>
                <w:rFonts w:hint="eastAsia" w:ascii="宋体" w:hAnsi="宋体" w:cs="宋体"/>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宋体" w:hAnsi="宋体" w:cs="宋体"/>
                <w:szCs w:val="21"/>
              </w:rPr>
            </w:pPr>
          </w:p>
        </w:tc>
        <w:tc>
          <w:tcPr>
            <w:tcW w:w="1376" w:type="dxa"/>
            <w:vMerge w:val="restart"/>
            <w:vAlign w:val="center"/>
          </w:tcPr>
          <w:p>
            <w:pPr>
              <w:jc w:val="center"/>
              <w:rPr>
                <w:rFonts w:ascii="宋体" w:hAnsi="宋体" w:cs="宋体"/>
                <w:spacing w:val="-6"/>
                <w:szCs w:val="21"/>
              </w:rPr>
            </w:pPr>
            <w:r>
              <w:rPr>
                <w:rFonts w:hint="eastAsia" w:ascii="宋体" w:hAnsi="宋体" w:cs="宋体"/>
                <w:spacing w:val="-6"/>
                <w:szCs w:val="21"/>
              </w:rPr>
              <w:t>卫生安全管理</w:t>
            </w:r>
          </w:p>
        </w:tc>
        <w:tc>
          <w:tcPr>
            <w:tcW w:w="6512" w:type="dxa"/>
            <w:vAlign w:val="center"/>
          </w:tcPr>
          <w:p>
            <w:pPr>
              <w:ind w:left="-4" w:leftChars="-2" w:firstLine="1" w:firstLineChars="1"/>
              <w:rPr>
                <w:rFonts w:ascii="宋体" w:hAnsi="宋体" w:cs="宋体"/>
                <w:spacing w:val="-6"/>
                <w:szCs w:val="21"/>
              </w:rPr>
            </w:pPr>
            <w:r>
              <w:rPr>
                <w:rFonts w:hint="eastAsia" w:ascii="宋体" w:hAnsi="宋体" w:cs="宋体"/>
                <w:spacing w:val="-6"/>
                <w:szCs w:val="21"/>
              </w:rPr>
              <w:t>根据供应商提供的疫情防控措施</w:t>
            </w:r>
            <w:r>
              <w:rPr>
                <w:rFonts w:hint="eastAsia" w:ascii="宋体" w:hAnsi="宋体" w:cs="宋体"/>
                <w:spacing w:val="-6"/>
                <w:kern w:val="0"/>
                <w:szCs w:val="21"/>
              </w:rPr>
              <w:t>进行</w:t>
            </w:r>
            <w:r>
              <w:rPr>
                <w:rFonts w:hint="eastAsia" w:ascii="宋体" w:hAnsi="宋体" w:cs="宋体"/>
                <w:spacing w:val="-6"/>
                <w:szCs w:val="21"/>
              </w:rPr>
              <w:t>评议：</w:t>
            </w:r>
          </w:p>
          <w:p>
            <w:pPr>
              <w:ind w:left="-4" w:leftChars="-2" w:firstLine="1" w:firstLineChars="1"/>
              <w:rPr>
                <w:rFonts w:ascii="宋体" w:hAnsi="宋体" w:cs="宋体"/>
                <w:spacing w:val="-6"/>
                <w:szCs w:val="21"/>
              </w:rPr>
            </w:pPr>
            <w:r>
              <w:rPr>
                <w:rFonts w:hint="eastAsia" w:ascii="宋体" w:hAnsi="宋体" w:cs="宋体"/>
                <w:spacing w:val="-6"/>
                <w:szCs w:val="21"/>
              </w:rPr>
              <w:t>针对性和可操作性完整可行的5分；</w:t>
            </w:r>
          </w:p>
          <w:p>
            <w:pPr>
              <w:ind w:left="-4" w:leftChars="-2" w:firstLine="1" w:firstLineChars="1"/>
              <w:rPr>
                <w:rFonts w:ascii="宋体" w:hAnsi="宋体" w:cs="宋体"/>
                <w:spacing w:val="-6"/>
                <w:szCs w:val="21"/>
              </w:rPr>
            </w:pPr>
            <w:r>
              <w:rPr>
                <w:rFonts w:hint="eastAsia" w:ascii="宋体" w:hAnsi="宋体" w:cs="宋体"/>
                <w:spacing w:val="-6"/>
                <w:szCs w:val="21"/>
              </w:rPr>
              <w:t>针对性和可操作性不全面或有缺失的得3分；</w:t>
            </w:r>
          </w:p>
          <w:p>
            <w:pPr>
              <w:ind w:left="-4" w:leftChars="-2" w:firstLine="1" w:firstLineChars="1"/>
              <w:rPr>
                <w:rFonts w:ascii="宋体" w:hAnsi="宋体" w:cs="宋体"/>
                <w:spacing w:val="-6"/>
                <w:szCs w:val="21"/>
              </w:rPr>
            </w:pPr>
            <w:r>
              <w:rPr>
                <w:rFonts w:hint="eastAsia" w:ascii="宋体" w:hAnsi="宋体" w:cs="宋体"/>
                <w:spacing w:val="-6"/>
                <w:szCs w:val="21"/>
              </w:rPr>
              <w:t>无针对性、不可操作的、未提供的不得分。</w:t>
            </w:r>
          </w:p>
        </w:tc>
        <w:tc>
          <w:tcPr>
            <w:tcW w:w="664" w:type="dxa"/>
            <w:vAlign w:val="center"/>
          </w:tcPr>
          <w:p>
            <w:pPr>
              <w:ind w:left="-4" w:leftChars="-2" w:firstLine="1" w:firstLineChars="1"/>
              <w:jc w:val="center"/>
              <w:rPr>
                <w:rFonts w:ascii="宋体" w:hAnsi="宋体" w:cs="宋体"/>
                <w:spacing w:val="-6"/>
                <w:szCs w:val="21"/>
              </w:rPr>
            </w:pPr>
            <w:r>
              <w:rPr>
                <w:rFonts w:hint="eastAsia" w:ascii="宋体" w:hAnsi="宋体" w:cs="宋体"/>
                <w:spacing w:val="-6"/>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宋体" w:hAnsi="宋体" w:cs="宋体"/>
                <w:szCs w:val="21"/>
              </w:rPr>
            </w:pPr>
          </w:p>
        </w:tc>
        <w:tc>
          <w:tcPr>
            <w:tcW w:w="1376" w:type="dxa"/>
            <w:vMerge w:val="continue"/>
            <w:vAlign w:val="center"/>
          </w:tcPr>
          <w:p>
            <w:pPr>
              <w:rPr>
                <w:rFonts w:ascii="宋体" w:hAnsi="宋体" w:cs="宋体"/>
                <w:spacing w:val="-6"/>
                <w:szCs w:val="21"/>
              </w:rPr>
            </w:pPr>
          </w:p>
        </w:tc>
        <w:tc>
          <w:tcPr>
            <w:tcW w:w="6512" w:type="dxa"/>
            <w:vAlign w:val="center"/>
          </w:tcPr>
          <w:p>
            <w:pPr>
              <w:rPr>
                <w:rFonts w:ascii="宋体" w:hAnsi="宋体" w:cs="宋体"/>
                <w:spacing w:val="-6"/>
                <w:szCs w:val="21"/>
              </w:rPr>
            </w:pPr>
            <w:r>
              <w:rPr>
                <w:rFonts w:hint="eastAsia" w:ascii="宋体" w:hAnsi="宋体" w:cs="宋体"/>
                <w:spacing w:val="-6"/>
                <w:szCs w:val="21"/>
              </w:rPr>
              <w:t>根据供应商提供的食品卫生应急处置预案</w:t>
            </w:r>
            <w:r>
              <w:rPr>
                <w:rFonts w:hint="eastAsia" w:ascii="宋体" w:hAnsi="宋体" w:cs="宋体"/>
                <w:spacing w:val="-6"/>
                <w:kern w:val="0"/>
                <w:szCs w:val="21"/>
              </w:rPr>
              <w:t>进行</w:t>
            </w:r>
            <w:r>
              <w:rPr>
                <w:rFonts w:hint="eastAsia" w:ascii="宋体" w:hAnsi="宋体" w:cs="宋体"/>
                <w:spacing w:val="-6"/>
                <w:szCs w:val="21"/>
              </w:rPr>
              <w:t>评议：</w:t>
            </w:r>
          </w:p>
          <w:p>
            <w:pPr>
              <w:rPr>
                <w:rFonts w:ascii="宋体" w:hAnsi="宋体" w:cs="宋体"/>
                <w:spacing w:val="-6"/>
                <w:szCs w:val="21"/>
              </w:rPr>
            </w:pPr>
            <w:r>
              <w:rPr>
                <w:rFonts w:hint="eastAsia" w:ascii="宋体" w:hAnsi="宋体" w:cs="宋体"/>
                <w:spacing w:val="-6"/>
                <w:szCs w:val="21"/>
              </w:rPr>
              <w:t>针对性和可操作性完整可行的5分；</w:t>
            </w:r>
          </w:p>
          <w:p>
            <w:pPr>
              <w:rPr>
                <w:rFonts w:ascii="宋体" w:hAnsi="宋体" w:cs="宋体"/>
                <w:spacing w:val="-6"/>
                <w:szCs w:val="21"/>
              </w:rPr>
            </w:pPr>
            <w:r>
              <w:rPr>
                <w:rFonts w:hint="eastAsia" w:ascii="宋体" w:hAnsi="宋体" w:cs="宋体"/>
                <w:spacing w:val="-6"/>
                <w:szCs w:val="21"/>
              </w:rPr>
              <w:t>针对性和可操作性不全面或有缺失的得 3分；</w:t>
            </w:r>
          </w:p>
          <w:p>
            <w:pPr>
              <w:rPr>
                <w:rFonts w:ascii="宋体" w:hAnsi="宋体" w:cs="宋体"/>
                <w:spacing w:val="-6"/>
                <w:szCs w:val="21"/>
              </w:rPr>
            </w:pPr>
            <w:r>
              <w:rPr>
                <w:rFonts w:hint="eastAsia" w:ascii="宋体" w:hAnsi="宋体" w:cs="宋体"/>
                <w:spacing w:val="-6"/>
                <w:szCs w:val="21"/>
              </w:rPr>
              <w:t>无针对性、不可操作的、未提供的不得分。</w:t>
            </w:r>
          </w:p>
        </w:tc>
        <w:tc>
          <w:tcPr>
            <w:tcW w:w="664" w:type="dxa"/>
            <w:vAlign w:val="center"/>
          </w:tcPr>
          <w:p>
            <w:pPr>
              <w:jc w:val="center"/>
              <w:rPr>
                <w:rFonts w:ascii="宋体" w:hAnsi="宋体" w:cs="宋体"/>
                <w:spacing w:val="-6"/>
                <w:szCs w:val="21"/>
              </w:rPr>
            </w:pPr>
            <w:r>
              <w:rPr>
                <w:rFonts w:hint="eastAsia" w:ascii="宋体" w:hAnsi="宋体" w:cs="宋体"/>
                <w:spacing w:val="-6"/>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18" w:hRule="atLeast"/>
        </w:trPr>
        <w:tc>
          <w:tcPr>
            <w:tcW w:w="736" w:type="dxa"/>
            <w:vMerge w:val="continue"/>
            <w:vAlign w:val="center"/>
          </w:tcPr>
          <w:p>
            <w:pPr>
              <w:rPr>
                <w:rFonts w:ascii="宋体" w:hAnsi="宋体" w:cs="宋体"/>
                <w:szCs w:val="21"/>
              </w:rPr>
            </w:pPr>
          </w:p>
        </w:tc>
        <w:tc>
          <w:tcPr>
            <w:tcW w:w="1376" w:type="dxa"/>
            <w:vMerge w:val="continue"/>
            <w:vAlign w:val="center"/>
          </w:tcPr>
          <w:p>
            <w:pPr>
              <w:rPr>
                <w:rFonts w:ascii="宋体" w:hAnsi="宋体" w:cs="宋体"/>
                <w:spacing w:val="-6"/>
                <w:szCs w:val="21"/>
              </w:rPr>
            </w:pPr>
          </w:p>
        </w:tc>
        <w:tc>
          <w:tcPr>
            <w:tcW w:w="6512" w:type="dxa"/>
            <w:vAlign w:val="center"/>
          </w:tcPr>
          <w:p>
            <w:pPr>
              <w:rPr>
                <w:rFonts w:ascii="宋体" w:hAnsi="宋体" w:cs="宋体"/>
                <w:spacing w:val="-6"/>
                <w:szCs w:val="21"/>
              </w:rPr>
            </w:pPr>
            <w:r>
              <w:rPr>
                <w:rFonts w:hint="eastAsia" w:ascii="宋体" w:hAnsi="宋体" w:cs="宋体"/>
                <w:spacing w:val="-6"/>
                <w:szCs w:val="21"/>
              </w:rPr>
              <w:t>根据供应商提供的消毒、除“四害”保障措施</w:t>
            </w:r>
            <w:r>
              <w:rPr>
                <w:rFonts w:hint="eastAsia" w:ascii="宋体" w:hAnsi="宋体" w:cs="宋体"/>
                <w:spacing w:val="-6"/>
                <w:kern w:val="0"/>
                <w:szCs w:val="21"/>
              </w:rPr>
              <w:t>进行</w:t>
            </w:r>
            <w:r>
              <w:rPr>
                <w:rFonts w:hint="eastAsia" w:ascii="宋体" w:hAnsi="宋体" w:cs="宋体"/>
                <w:spacing w:val="-6"/>
                <w:szCs w:val="21"/>
              </w:rPr>
              <w:t>评议：</w:t>
            </w:r>
          </w:p>
          <w:p>
            <w:pPr>
              <w:rPr>
                <w:rFonts w:ascii="宋体" w:hAnsi="宋体" w:cs="宋体"/>
                <w:spacing w:val="-6"/>
                <w:szCs w:val="21"/>
              </w:rPr>
            </w:pPr>
            <w:r>
              <w:rPr>
                <w:rFonts w:hint="eastAsia" w:ascii="宋体" w:hAnsi="宋体" w:cs="宋体"/>
                <w:spacing w:val="-6"/>
                <w:szCs w:val="21"/>
              </w:rPr>
              <w:t>针对性和可操作性完整可行的5分；</w:t>
            </w:r>
          </w:p>
          <w:p>
            <w:pPr>
              <w:rPr>
                <w:rFonts w:ascii="宋体" w:hAnsi="宋体" w:cs="宋体"/>
                <w:spacing w:val="-6"/>
                <w:szCs w:val="21"/>
              </w:rPr>
            </w:pPr>
            <w:r>
              <w:rPr>
                <w:rFonts w:hint="eastAsia" w:ascii="宋体" w:hAnsi="宋体" w:cs="宋体"/>
                <w:spacing w:val="-6"/>
                <w:szCs w:val="21"/>
              </w:rPr>
              <w:t>针对性和可操作性不全面或有缺失的得 3分；</w:t>
            </w:r>
          </w:p>
          <w:p>
            <w:pPr>
              <w:rPr>
                <w:rFonts w:ascii="宋体" w:hAnsi="宋体" w:cs="宋体"/>
                <w:spacing w:val="-6"/>
                <w:szCs w:val="21"/>
              </w:rPr>
            </w:pPr>
            <w:r>
              <w:rPr>
                <w:rFonts w:hint="eastAsia" w:ascii="宋体" w:hAnsi="宋体" w:cs="宋体"/>
                <w:spacing w:val="-6"/>
                <w:szCs w:val="21"/>
              </w:rPr>
              <w:t>无针对性、不可操作的、未提供的不得分。</w:t>
            </w:r>
          </w:p>
        </w:tc>
        <w:tc>
          <w:tcPr>
            <w:tcW w:w="664" w:type="dxa"/>
            <w:vAlign w:val="center"/>
          </w:tcPr>
          <w:p>
            <w:pPr>
              <w:jc w:val="center"/>
              <w:rPr>
                <w:rFonts w:ascii="宋体" w:hAnsi="宋体" w:cs="宋体"/>
                <w:spacing w:val="-6"/>
                <w:szCs w:val="21"/>
              </w:rPr>
            </w:pPr>
            <w:r>
              <w:rPr>
                <w:rFonts w:hint="eastAsia" w:ascii="宋体" w:hAnsi="宋体" w:cs="宋体"/>
                <w:spacing w:val="-6"/>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宋体" w:hAnsi="宋体" w:cs="宋体"/>
                <w:szCs w:val="21"/>
              </w:rPr>
            </w:pPr>
          </w:p>
        </w:tc>
        <w:tc>
          <w:tcPr>
            <w:tcW w:w="1376" w:type="dxa"/>
            <w:vMerge w:val="continue"/>
            <w:vAlign w:val="center"/>
          </w:tcPr>
          <w:p>
            <w:pPr>
              <w:rPr>
                <w:rFonts w:ascii="宋体" w:hAnsi="宋体" w:cs="宋体"/>
                <w:spacing w:val="-6"/>
                <w:szCs w:val="21"/>
              </w:rPr>
            </w:pPr>
          </w:p>
        </w:tc>
        <w:tc>
          <w:tcPr>
            <w:tcW w:w="6512" w:type="dxa"/>
            <w:vAlign w:val="center"/>
          </w:tcPr>
          <w:p>
            <w:pPr>
              <w:rPr>
                <w:rFonts w:ascii="宋体" w:hAnsi="宋体" w:cs="宋体"/>
                <w:spacing w:val="-6"/>
                <w:szCs w:val="21"/>
              </w:rPr>
            </w:pPr>
            <w:r>
              <w:rPr>
                <w:rFonts w:hint="eastAsia" w:ascii="宋体" w:hAnsi="宋体" w:cs="宋体"/>
                <w:spacing w:val="-6"/>
                <w:szCs w:val="21"/>
              </w:rPr>
              <w:t>根据供应商提供的防火、防盗、防食物中毒安全防范保障措施</w:t>
            </w:r>
            <w:r>
              <w:rPr>
                <w:rFonts w:hint="eastAsia" w:ascii="宋体" w:hAnsi="宋体" w:cs="宋体"/>
                <w:spacing w:val="-6"/>
                <w:kern w:val="0"/>
                <w:szCs w:val="21"/>
              </w:rPr>
              <w:t>进行</w:t>
            </w:r>
            <w:r>
              <w:rPr>
                <w:rFonts w:hint="eastAsia" w:ascii="宋体" w:hAnsi="宋体" w:cs="宋体"/>
                <w:spacing w:val="-6"/>
                <w:szCs w:val="21"/>
              </w:rPr>
              <w:t>评议：</w:t>
            </w:r>
          </w:p>
          <w:p>
            <w:pPr>
              <w:rPr>
                <w:rFonts w:ascii="宋体" w:hAnsi="宋体" w:cs="宋体"/>
                <w:spacing w:val="-6"/>
                <w:szCs w:val="21"/>
              </w:rPr>
            </w:pPr>
            <w:r>
              <w:rPr>
                <w:rFonts w:hint="eastAsia" w:ascii="宋体" w:hAnsi="宋体" w:cs="宋体"/>
                <w:spacing w:val="-6"/>
                <w:szCs w:val="21"/>
              </w:rPr>
              <w:t>针对性和可操作性完整可行的5分；</w:t>
            </w:r>
          </w:p>
          <w:p>
            <w:pPr>
              <w:rPr>
                <w:rFonts w:ascii="宋体" w:hAnsi="宋体" w:cs="宋体"/>
                <w:spacing w:val="-6"/>
                <w:szCs w:val="21"/>
              </w:rPr>
            </w:pPr>
            <w:r>
              <w:rPr>
                <w:rFonts w:hint="eastAsia" w:ascii="宋体" w:hAnsi="宋体" w:cs="宋体"/>
                <w:spacing w:val="-6"/>
                <w:szCs w:val="21"/>
              </w:rPr>
              <w:t>针对性和可操作性不全面或有缺失的得3分；</w:t>
            </w:r>
          </w:p>
          <w:p>
            <w:pPr>
              <w:rPr>
                <w:rFonts w:ascii="宋体" w:hAnsi="宋体" w:cs="宋体"/>
                <w:spacing w:val="-6"/>
                <w:szCs w:val="21"/>
              </w:rPr>
            </w:pPr>
            <w:r>
              <w:rPr>
                <w:rFonts w:hint="eastAsia" w:ascii="宋体" w:hAnsi="宋体" w:cs="宋体"/>
                <w:spacing w:val="-6"/>
                <w:szCs w:val="21"/>
              </w:rPr>
              <w:t>无针对性、不可操作的、未提供的不得分。</w:t>
            </w:r>
          </w:p>
        </w:tc>
        <w:tc>
          <w:tcPr>
            <w:tcW w:w="664" w:type="dxa"/>
            <w:vAlign w:val="center"/>
          </w:tcPr>
          <w:p>
            <w:pPr>
              <w:jc w:val="center"/>
              <w:rPr>
                <w:rFonts w:ascii="宋体" w:hAnsi="宋体" w:cs="宋体"/>
                <w:spacing w:val="-6"/>
                <w:szCs w:val="21"/>
              </w:rPr>
            </w:pPr>
            <w:r>
              <w:rPr>
                <w:rFonts w:hint="eastAsia" w:ascii="宋体" w:hAnsi="宋体" w:cs="宋体"/>
                <w:spacing w:val="-6"/>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宋体" w:hAnsi="宋体" w:cs="宋体"/>
                <w:szCs w:val="21"/>
              </w:rPr>
            </w:pPr>
          </w:p>
        </w:tc>
        <w:tc>
          <w:tcPr>
            <w:tcW w:w="1376" w:type="dxa"/>
            <w:vMerge w:val="restart"/>
            <w:vAlign w:val="center"/>
          </w:tcPr>
          <w:p>
            <w:pPr>
              <w:jc w:val="center"/>
              <w:rPr>
                <w:rFonts w:ascii="宋体" w:hAnsi="宋体" w:cs="宋体"/>
                <w:spacing w:val="-6"/>
                <w:szCs w:val="21"/>
              </w:rPr>
            </w:pPr>
            <w:r>
              <w:rPr>
                <w:rFonts w:hint="eastAsia" w:ascii="宋体" w:hAnsi="宋体" w:cs="宋体"/>
                <w:spacing w:val="-6"/>
                <w:szCs w:val="21"/>
              </w:rPr>
              <w:t>成本管理</w:t>
            </w:r>
          </w:p>
        </w:tc>
        <w:tc>
          <w:tcPr>
            <w:tcW w:w="6512" w:type="dxa"/>
            <w:vAlign w:val="center"/>
          </w:tcPr>
          <w:p>
            <w:pPr>
              <w:rPr>
                <w:rFonts w:ascii="宋体" w:hAnsi="宋体" w:cs="宋体"/>
                <w:spacing w:val="-6"/>
                <w:szCs w:val="21"/>
              </w:rPr>
            </w:pPr>
            <w:r>
              <w:rPr>
                <w:rFonts w:hint="eastAsia" w:ascii="宋体" w:hAnsi="宋体" w:cs="宋体"/>
                <w:spacing w:val="-6"/>
                <w:szCs w:val="21"/>
              </w:rPr>
              <w:t>根据供应商提供的能耗成本控制（水、电、气）措施</w:t>
            </w:r>
            <w:r>
              <w:rPr>
                <w:rFonts w:hint="eastAsia" w:ascii="宋体" w:hAnsi="宋体" w:cs="宋体"/>
                <w:spacing w:val="-6"/>
                <w:kern w:val="0"/>
                <w:szCs w:val="21"/>
              </w:rPr>
              <w:t>进行</w:t>
            </w:r>
            <w:r>
              <w:rPr>
                <w:rFonts w:hint="eastAsia" w:ascii="宋体" w:hAnsi="宋体" w:cs="宋体"/>
                <w:spacing w:val="-6"/>
                <w:szCs w:val="21"/>
              </w:rPr>
              <w:t>评议：</w:t>
            </w:r>
          </w:p>
          <w:p>
            <w:pPr>
              <w:rPr>
                <w:rFonts w:ascii="宋体" w:hAnsi="宋体" w:cs="宋体"/>
                <w:spacing w:val="-6"/>
                <w:szCs w:val="21"/>
              </w:rPr>
            </w:pPr>
            <w:r>
              <w:rPr>
                <w:rFonts w:hint="eastAsia" w:ascii="宋体" w:hAnsi="宋体" w:cs="宋体"/>
                <w:spacing w:val="-6"/>
                <w:szCs w:val="21"/>
              </w:rPr>
              <w:t>针对性和可操作性完整可行的5分；</w:t>
            </w:r>
          </w:p>
          <w:p>
            <w:pPr>
              <w:rPr>
                <w:rFonts w:ascii="宋体" w:hAnsi="宋体" w:cs="宋体"/>
                <w:spacing w:val="-6"/>
                <w:szCs w:val="21"/>
              </w:rPr>
            </w:pPr>
            <w:r>
              <w:rPr>
                <w:rFonts w:hint="eastAsia" w:ascii="宋体" w:hAnsi="宋体" w:cs="宋体"/>
                <w:spacing w:val="-6"/>
                <w:szCs w:val="21"/>
              </w:rPr>
              <w:t>针对性和可操作性不全面或有缺失的得3分；</w:t>
            </w:r>
          </w:p>
          <w:p>
            <w:pPr>
              <w:rPr>
                <w:rFonts w:ascii="宋体" w:hAnsi="宋体" w:cs="宋体"/>
                <w:spacing w:val="-6"/>
                <w:szCs w:val="21"/>
              </w:rPr>
            </w:pPr>
            <w:r>
              <w:rPr>
                <w:rFonts w:hint="eastAsia" w:ascii="宋体" w:hAnsi="宋体" w:cs="宋体"/>
                <w:spacing w:val="-6"/>
                <w:szCs w:val="21"/>
              </w:rPr>
              <w:t>无针对性、不可操作的、未提供的均不得分。</w:t>
            </w:r>
          </w:p>
        </w:tc>
        <w:tc>
          <w:tcPr>
            <w:tcW w:w="664" w:type="dxa"/>
            <w:vAlign w:val="center"/>
          </w:tcPr>
          <w:p>
            <w:pPr>
              <w:jc w:val="center"/>
              <w:rPr>
                <w:rFonts w:ascii="宋体" w:hAnsi="宋体" w:cs="宋体"/>
                <w:spacing w:val="-6"/>
                <w:szCs w:val="21"/>
              </w:rPr>
            </w:pPr>
            <w:r>
              <w:rPr>
                <w:rFonts w:hint="eastAsia" w:ascii="宋体" w:hAnsi="宋体" w:cs="宋体"/>
                <w:spacing w:val="-6"/>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宋体" w:hAnsi="宋体" w:cs="宋体"/>
                <w:szCs w:val="21"/>
              </w:rPr>
            </w:pPr>
          </w:p>
        </w:tc>
        <w:tc>
          <w:tcPr>
            <w:tcW w:w="1376" w:type="dxa"/>
            <w:vMerge w:val="continue"/>
            <w:vAlign w:val="center"/>
          </w:tcPr>
          <w:p>
            <w:pPr>
              <w:rPr>
                <w:rFonts w:ascii="宋体" w:hAnsi="宋体" w:cs="宋体"/>
                <w:spacing w:val="-6"/>
                <w:szCs w:val="21"/>
              </w:rPr>
            </w:pPr>
          </w:p>
        </w:tc>
        <w:tc>
          <w:tcPr>
            <w:tcW w:w="6512" w:type="dxa"/>
            <w:vAlign w:val="center"/>
          </w:tcPr>
          <w:p>
            <w:pPr>
              <w:rPr>
                <w:rFonts w:ascii="宋体" w:hAnsi="宋体" w:cs="宋体"/>
                <w:spacing w:val="-6"/>
                <w:szCs w:val="21"/>
              </w:rPr>
            </w:pPr>
            <w:r>
              <w:rPr>
                <w:rFonts w:hint="eastAsia" w:ascii="宋体" w:hAnsi="宋体" w:cs="宋体"/>
                <w:spacing w:val="-6"/>
                <w:szCs w:val="21"/>
              </w:rPr>
              <w:t>根据供应商提供的各类厨具设施设备维护措</w:t>
            </w:r>
            <w:r>
              <w:rPr>
                <w:rFonts w:hint="eastAsia" w:ascii="宋体" w:hAnsi="宋体" w:cs="宋体"/>
                <w:spacing w:val="-6"/>
                <w:kern w:val="0"/>
                <w:szCs w:val="21"/>
              </w:rPr>
              <w:t>进行</w:t>
            </w:r>
            <w:r>
              <w:rPr>
                <w:rFonts w:hint="eastAsia" w:ascii="宋体" w:hAnsi="宋体" w:cs="宋体"/>
                <w:spacing w:val="-6"/>
                <w:szCs w:val="21"/>
              </w:rPr>
              <w:t>施评议：</w:t>
            </w:r>
          </w:p>
          <w:p>
            <w:pPr>
              <w:rPr>
                <w:rFonts w:ascii="宋体" w:hAnsi="宋体" w:cs="宋体"/>
                <w:spacing w:val="-6"/>
                <w:szCs w:val="21"/>
              </w:rPr>
            </w:pPr>
            <w:r>
              <w:rPr>
                <w:rFonts w:hint="eastAsia" w:ascii="宋体" w:hAnsi="宋体" w:cs="宋体"/>
                <w:spacing w:val="-6"/>
                <w:szCs w:val="21"/>
              </w:rPr>
              <w:t>针对性和可操作性完整可行的得5分</w:t>
            </w:r>
          </w:p>
          <w:p>
            <w:pPr>
              <w:rPr>
                <w:rFonts w:ascii="宋体" w:hAnsi="宋体" w:cs="宋体"/>
                <w:spacing w:val="-6"/>
                <w:szCs w:val="21"/>
              </w:rPr>
            </w:pPr>
            <w:r>
              <w:rPr>
                <w:rFonts w:hint="eastAsia" w:ascii="宋体" w:hAnsi="宋体" w:cs="宋体"/>
                <w:spacing w:val="-6"/>
                <w:szCs w:val="21"/>
              </w:rPr>
              <w:t>针对性和可操作性不全面或有缺失的得3分</w:t>
            </w:r>
          </w:p>
          <w:p>
            <w:pPr>
              <w:rPr>
                <w:rFonts w:ascii="宋体" w:hAnsi="宋体" w:cs="宋体"/>
                <w:spacing w:val="-6"/>
                <w:szCs w:val="21"/>
              </w:rPr>
            </w:pPr>
            <w:r>
              <w:rPr>
                <w:rFonts w:hint="eastAsia" w:ascii="宋体" w:hAnsi="宋体" w:cs="宋体"/>
                <w:spacing w:val="-6"/>
                <w:szCs w:val="21"/>
              </w:rPr>
              <w:t>无针对性、不可操作的、未提供的均不得分。</w:t>
            </w:r>
          </w:p>
        </w:tc>
        <w:tc>
          <w:tcPr>
            <w:tcW w:w="664" w:type="dxa"/>
            <w:vAlign w:val="center"/>
          </w:tcPr>
          <w:p>
            <w:pPr>
              <w:jc w:val="center"/>
              <w:rPr>
                <w:rFonts w:ascii="宋体" w:hAnsi="宋体" w:cs="宋体"/>
                <w:spacing w:val="-6"/>
                <w:szCs w:val="21"/>
              </w:rPr>
            </w:pPr>
            <w:r>
              <w:rPr>
                <w:rFonts w:hint="eastAsia" w:ascii="宋体" w:hAnsi="宋体" w:cs="宋体"/>
                <w:spacing w:val="-6"/>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ascii="宋体" w:hAnsi="宋体" w:cs="宋体"/>
                <w:szCs w:val="21"/>
              </w:rPr>
            </w:pPr>
          </w:p>
        </w:tc>
        <w:tc>
          <w:tcPr>
            <w:tcW w:w="1376" w:type="dxa"/>
            <w:vAlign w:val="center"/>
          </w:tcPr>
          <w:p>
            <w:pPr>
              <w:jc w:val="center"/>
              <w:rPr>
                <w:rFonts w:ascii="宋体" w:hAnsi="宋体" w:cs="宋体"/>
                <w:spacing w:val="-6"/>
                <w:szCs w:val="21"/>
              </w:rPr>
            </w:pPr>
            <w:r>
              <w:rPr>
                <w:rFonts w:hint="eastAsia" w:ascii="宋体" w:hAnsi="宋体" w:cs="宋体"/>
                <w:spacing w:val="-6"/>
                <w:szCs w:val="21"/>
              </w:rPr>
              <w:t>服务承诺</w:t>
            </w:r>
          </w:p>
        </w:tc>
        <w:tc>
          <w:tcPr>
            <w:tcW w:w="6512" w:type="dxa"/>
            <w:vAlign w:val="center"/>
          </w:tcPr>
          <w:p>
            <w:pPr>
              <w:rPr>
                <w:rFonts w:ascii="宋体" w:hAnsi="宋体" w:cs="宋体"/>
                <w:spacing w:val="-6"/>
                <w:szCs w:val="21"/>
              </w:rPr>
            </w:pPr>
            <w:r>
              <w:rPr>
                <w:rFonts w:hint="eastAsia" w:ascii="宋体" w:hAnsi="宋体" w:cs="宋体"/>
                <w:spacing w:val="-6"/>
                <w:szCs w:val="21"/>
              </w:rPr>
              <w:t>根据供应商提供的优质服务承诺</w:t>
            </w:r>
            <w:r>
              <w:rPr>
                <w:rFonts w:hint="eastAsia" w:ascii="宋体" w:hAnsi="宋体" w:cs="宋体"/>
                <w:spacing w:val="-6"/>
                <w:kern w:val="0"/>
                <w:szCs w:val="21"/>
              </w:rPr>
              <w:t>进行</w:t>
            </w:r>
            <w:r>
              <w:rPr>
                <w:rFonts w:hint="eastAsia" w:ascii="宋体" w:hAnsi="宋体" w:cs="宋体"/>
                <w:spacing w:val="-6"/>
                <w:szCs w:val="21"/>
              </w:rPr>
              <w:t>评议：</w:t>
            </w:r>
          </w:p>
          <w:p>
            <w:pPr>
              <w:rPr>
                <w:rFonts w:ascii="宋体" w:hAnsi="宋体" w:cs="宋体"/>
                <w:spacing w:val="-6"/>
                <w:szCs w:val="21"/>
              </w:rPr>
            </w:pPr>
            <w:r>
              <w:rPr>
                <w:rFonts w:hint="eastAsia" w:ascii="宋体" w:hAnsi="宋体" w:cs="宋体"/>
                <w:spacing w:val="-6"/>
                <w:szCs w:val="21"/>
              </w:rPr>
              <w:t>针对性和可操作性完整可行的5分；</w:t>
            </w:r>
          </w:p>
          <w:p>
            <w:pPr>
              <w:rPr>
                <w:rFonts w:ascii="宋体" w:hAnsi="宋体" w:cs="宋体"/>
                <w:spacing w:val="-6"/>
                <w:szCs w:val="21"/>
              </w:rPr>
            </w:pPr>
            <w:r>
              <w:rPr>
                <w:rFonts w:hint="eastAsia" w:ascii="宋体" w:hAnsi="宋体" w:cs="宋体"/>
                <w:spacing w:val="-6"/>
                <w:szCs w:val="21"/>
              </w:rPr>
              <w:t>针对性和可操作性不全面或有缺失的得3分；</w:t>
            </w:r>
          </w:p>
          <w:p>
            <w:pPr>
              <w:rPr>
                <w:rFonts w:ascii="宋体" w:hAnsi="宋体" w:cs="宋体"/>
                <w:spacing w:val="-6"/>
                <w:szCs w:val="21"/>
              </w:rPr>
            </w:pPr>
            <w:r>
              <w:rPr>
                <w:rFonts w:hint="eastAsia" w:ascii="宋体" w:hAnsi="宋体" w:cs="宋体"/>
                <w:spacing w:val="-6"/>
                <w:szCs w:val="21"/>
              </w:rPr>
              <w:t>无针对性、不可操作的、未提供的均不得分</w:t>
            </w:r>
          </w:p>
        </w:tc>
        <w:tc>
          <w:tcPr>
            <w:tcW w:w="664" w:type="dxa"/>
            <w:vAlign w:val="center"/>
          </w:tcPr>
          <w:p>
            <w:pPr>
              <w:jc w:val="center"/>
              <w:rPr>
                <w:rFonts w:ascii="宋体" w:hAnsi="宋体" w:cs="宋体"/>
                <w:spacing w:val="-6"/>
                <w:szCs w:val="21"/>
              </w:rPr>
            </w:pPr>
            <w:r>
              <w:rPr>
                <w:rFonts w:hint="eastAsia" w:ascii="宋体" w:hAnsi="宋体" w:cs="宋体"/>
                <w:spacing w:val="-6"/>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总分</w:t>
            </w:r>
          </w:p>
        </w:tc>
        <w:tc>
          <w:tcPr>
            <w:tcW w:w="8552" w:type="dxa"/>
            <w:gridSpan w:val="3"/>
            <w:vAlign w:val="center"/>
          </w:tcPr>
          <w:p>
            <w:pPr>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100</w:t>
            </w:r>
          </w:p>
        </w:tc>
      </w:tr>
    </w:tbl>
    <w:p>
      <w:pP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page"/>
      </w:r>
    </w:p>
    <w:p>
      <w:pPr>
        <w:spacing w:line="360" w:lineRule="auto"/>
        <w:outlineLvl w:val="1"/>
        <w:rPr>
          <w:rFonts w:asciiTheme="minorEastAsia" w:hAnsiTheme="minorEastAsia" w:eastAsiaTheme="minorEastAsia" w:cstheme="minorEastAsia"/>
          <w:b/>
          <w:szCs w:val="21"/>
        </w:rPr>
      </w:pPr>
      <w:bookmarkStart w:id="111" w:name="_Toc14263"/>
      <w:r>
        <w:rPr>
          <w:rFonts w:hint="eastAsia" w:asciiTheme="minorEastAsia" w:hAnsiTheme="minorEastAsia" w:eastAsiaTheme="minorEastAsia" w:cstheme="minorEastAsia"/>
          <w:b/>
          <w:szCs w:val="21"/>
        </w:rPr>
        <w:t>四、评定办法</w:t>
      </w:r>
      <w:bookmarkEnd w:id="111"/>
    </w:p>
    <w:p>
      <w:pPr>
        <w:numPr>
          <w:ilvl w:val="3"/>
          <w:numId w:val="37"/>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8"/>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38"/>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38"/>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37"/>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2.2.1 分值构成</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2.2.2 评标基准价计算</w:t>
      </w:r>
    </w:p>
    <w:p>
      <w:pPr>
        <w:spacing w:line="360" w:lineRule="auto"/>
        <w:ind w:firstLine="840" w:firstLineChars="4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2.2.3 评分标准</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37"/>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3.1磋商小组严格按照本章要求对最终报价进行评定。</w:t>
      </w:r>
    </w:p>
    <w:p>
      <w:pPr>
        <w:tabs>
          <w:tab w:val="left" w:pos="540"/>
        </w:tab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7"/>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ind w:firstLine="420"/>
        <w:jc w:val="left"/>
        <w:rPr>
          <w:rFonts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
    <w:p/>
    <w:p/>
    <w:p>
      <w:pPr>
        <w:spacing w:line="360" w:lineRule="auto"/>
        <w:outlineLvl w:val="1"/>
        <w:rPr>
          <w:rFonts w:asciiTheme="minorEastAsia" w:hAnsiTheme="minorEastAsia" w:eastAsiaTheme="minorEastAsia" w:cstheme="minorEastAsia"/>
          <w:b/>
          <w:szCs w:val="21"/>
        </w:rPr>
      </w:pPr>
      <w:bookmarkStart w:id="112" w:name="_Toc15499"/>
      <w:r>
        <w:rPr>
          <w:rFonts w:hint="eastAsia" w:asciiTheme="minorEastAsia" w:hAnsiTheme="minorEastAsia" w:eastAsiaTheme="minorEastAsia" w:cstheme="minorEastAsia"/>
          <w:b/>
          <w:szCs w:val="21"/>
        </w:rPr>
        <w:t>五、磋商及评审步骤</w:t>
      </w:r>
      <w:bookmarkEnd w:id="112"/>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1.验证委托代理人身份、响应文件密封检查</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①宣布会场纪律。</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③检查响应文件密封情况。</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2.1磋商小组审查每份响应文件是否实质上响应了采购文件的要求。磋商小组决定其是否响应只根据响应文件本身的内容，而不依据外部的证据，但响应文件有不真实不正确的内容时除外。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4.1磋商小组所有成员应当集中与单一供应商分别进行磋商，并按照磋商会随机抽签的顺序给予所有参加磋商的供应商平等的磋商机会。</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在磋商过程中，若磋商小组无法联系上供应商代表或者供应商代表在接到磋商小组通知后15分钟内不能抵达磋商会现场的，视为该供应商自动退出磋商。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firstLine="420" w:firstLineChars="200"/>
        <w:rPr>
          <w:rFonts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4.5磋商结束后，磋商小组将要求所有实质性响应的供应商在规定时间内提交最后报价，最后报价是供应商响应文件的有效组成部分。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4.7符合下列情形，在采购过程中符合要求的供应商可以为2家：</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5.1经磋商确定最终采购需求和提交最后报价的供应商后，由磋商小组采用综合评分法对提交最后报价的供应商的响应文件和最后报价进行综合评分。具体详见“评分细则”。</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5.5在评审期间，供应商不得干扰和阻碍评审工作，供应商不得向磋商小组询问评审情况，任何影响和干扰评审工作的行为都可能导致被取消本次评审的资格，并承担相应的法律责任。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8"/>
        </w:rPr>
        <w:t>5.6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pStyle w:val="3"/>
        <w:numPr>
          <w:ilvl w:val="0"/>
          <w:numId w:val="4"/>
        </w:numPr>
        <w:spacing w:line="240" w:lineRule="auto"/>
        <w:jc w:val="center"/>
        <w:rPr>
          <w:rFonts w:asciiTheme="minorEastAsia" w:hAnsiTheme="minorEastAsia" w:eastAsiaTheme="minorEastAsia" w:cstheme="minorEastAsia"/>
          <w:b w:val="0"/>
          <w:kern w:val="0"/>
          <w:szCs w:val="21"/>
        </w:rPr>
      </w:pPr>
      <w:bookmarkStart w:id="113" w:name="_Toc211783328"/>
      <w:bookmarkStart w:id="114" w:name="_Toc318643471"/>
      <w:bookmarkStart w:id="115" w:name="_Toc9509"/>
      <w:r>
        <w:rPr>
          <w:rFonts w:hint="eastAsia" w:asciiTheme="minorEastAsia" w:hAnsiTheme="minorEastAsia" w:eastAsiaTheme="minorEastAsia" w:cstheme="minorEastAsia"/>
          <w:sz w:val="36"/>
          <w:szCs w:val="36"/>
        </w:rPr>
        <w:t>合同书</w:t>
      </w:r>
      <w:bookmarkEnd w:id="113"/>
      <w:bookmarkEnd w:id="114"/>
      <w:r>
        <w:rPr>
          <w:rFonts w:hint="eastAsia" w:asciiTheme="minorEastAsia" w:hAnsiTheme="minorEastAsia" w:eastAsiaTheme="minorEastAsia" w:cstheme="minorEastAsia"/>
          <w:sz w:val="36"/>
          <w:szCs w:val="36"/>
        </w:rPr>
        <w:t>格式</w:t>
      </w:r>
      <w:bookmarkEnd w:id="115"/>
    </w:p>
    <w:p>
      <w:pPr>
        <w:ind w:firstLine="420"/>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autoSpaceDE w:val="0"/>
        <w:autoSpaceDN w:val="0"/>
        <w:adjustRightInd w:val="0"/>
        <w:spacing w:line="360" w:lineRule="auto"/>
        <w:jc w:val="center"/>
        <w:rPr>
          <w:rFonts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协    议   书</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合同编号：</w:t>
      </w: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签订日期：</w:t>
      </w:r>
    </w:p>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签订合同地点：</w:t>
      </w:r>
    </w:p>
    <w:p>
      <w:pPr>
        <w:pStyle w:val="21"/>
        <w:ind w:firstLine="416"/>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1"/>
          <w:szCs w:val="21"/>
        </w:rPr>
        <w:t>本合同由（以下简称“需方”）与（以下简称“供方”）签订。供方以总金额万元人民币（用大写数字书写）向需方提供如下 （工程/货物/服务）：</w:t>
      </w:r>
    </w:p>
    <w:p>
      <w:pPr>
        <w:autoSpaceDE w:val="0"/>
        <w:autoSpaceDN w:val="0"/>
        <w:adjustRightInd w:val="0"/>
        <w:spacing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经双方协商，同意按下列条文执行：</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3.供方保证全部按合同条款规定的内容和交货期向需方提供合格的</w:t>
      </w:r>
      <w:r>
        <w:rPr>
          <w:rFonts w:hint="eastAsia" w:asciiTheme="minorEastAsia" w:hAnsiTheme="minorEastAsia" w:eastAsiaTheme="minorEastAsia" w:cstheme="minorEastAsia"/>
          <w:kern w:val="0"/>
          <w:szCs w:val="21"/>
          <w:u w:val="single"/>
        </w:rPr>
        <w:t>（工程/货物/服务）</w:t>
      </w:r>
      <w:r>
        <w:rPr>
          <w:rFonts w:hint="eastAsia" w:asciiTheme="minorEastAsia" w:hAnsiTheme="minorEastAsia" w:eastAsiaTheme="minorEastAsia" w:cstheme="minorEastAsia"/>
          <w:kern w:val="0"/>
          <w:szCs w:val="21"/>
        </w:rPr>
        <w:t>，并承担应负的责任和义务。</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4.</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下列文件为本合同不可分割的部分。</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本竞争性磋商采购文件；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供方成交的竞争性磋商响应文件；</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4.3</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合同协议书；</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4.4</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合同条款；</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4.5</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u w:val="single"/>
        </w:rPr>
        <w:t xml:space="preserve">  （政府采购代理机构）  </w:t>
      </w:r>
      <w:r>
        <w:rPr>
          <w:rFonts w:hint="eastAsia" w:asciiTheme="minorEastAsia" w:hAnsiTheme="minorEastAsia" w:eastAsiaTheme="minorEastAsia" w:cstheme="minorEastAsia"/>
          <w:kern w:val="0"/>
          <w:szCs w:val="21"/>
        </w:rPr>
        <w:t>发出的成交通知书；</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附件：</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4.6.1 采购方在采购期间发布的所有补充通知；</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4.6.2 供方在磋商期内补充的所有书面文件；</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4.6.3 供方在磋商时随同竞争性磋商响应文件一起递送的资料及附图；</w:t>
      </w:r>
    </w:p>
    <w:p>
      <w:pPr>
        <w:autoSpaceDE w:val="0"/>
        <w:autoSpaceDN w:val="0"/>
        <w:adjustRightInd w:val="0"/>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4.6.4 在商洽本合同时，双方澄清、确认并共同签字的补充文件、技术协议。</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合同范围和条件</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本合同的范围和条件应与上述规定的合同文件内容相一致。</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6.</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货物及数量</w:t>
      </w:r>
    </w:p>
    <w:p>
      <w:pPr>
        <w:pStyle w:val="21"/>
        <w:spacing w:line="360" w:lineRule="auto"/>
        <w:ind w:left="0" w:leftChars="0"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及数量详见竞争性磋商采购文件的要求及供方竞争性磋商响应文件中的承诺。</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7.</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付款条件</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本合同的付款条件在竞争性磋商采购文件中有明确规定。</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8.</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合同金额</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合同总金额见合同书，分项价格在供方的竞争性磋商响应文件中有明确规定。</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9.</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交货时间和交货地点</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本合同中</w:t>
      </w:r>
      <w:r>
        <w:rPr>
          <w:rFonts w:hint="eastAsia" w:asciiTheme="minorEastAsia" w:hAnsiTheme="minorEastAsia" w:eastAsiaTheme="minorEastAsia" w:cstheme="minorEastAsia"/>
          <w:kern w:val="0"/>
          <w:szCs w:val="21"/>
          <w:u w:val="single"/>
        </w:rPr>
        <w:t xml:space="preserve"> （工程/货物/服务） </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u w:val="single"/>
        </w:rPr>
        <w:t xml:space="preserve"> (交货时间/服务完成时间）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(交货地点/服务地点） </w:t>
      </w:r>
      <w:r>
        <w:rPr>
          <w:rFonts w:hint="eastAsia" w:asciiTheme="minorEastAsia" w:hAnsiTheme="minorEastAsia" w:eastAsiaTheme="minorEastAsia" w:cstheme="minorEastAsia"/>
          <w:kern w:val="0"/>
          <w:szCs w:val="21"/>
        </w:rPr>
        <w:t>在竞争性磋商采购文件中有明确规定。</w:t>
      </w:r>
    </w:p>
    <w:p>
      <w:pPr>
        <w:autoSpaceDE w:val="0"/>
        <w:autoSpaceDN w:val="0"/>
        <w:adjustRightInd w:val="0"/>
        <w:spacing w:before="156"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10.</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合同生效</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合同的份数</w:t>
      </w:r>
    </w:p>
    <w:p>
      <w:pPr>
        <w:autoSpaceDE w:val="0"/>
        <w:autoSpaceDN w:val="0"/>
        <w:adjustRightInd w:val="0"/>
        <w:spacing w:line="360" w:lineRule="auto"/>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本合同正本一式份，需方执份，供方执份；副本一式份，需方执份，供方执份，主管部门执份。</w:t>
      </w:r>
    </w:p>
    <w:p>
      <w:pPr>
        <w:autoSpaceDE w:val="0"/>
        <w:autoSpaceDN w:val="0"/>
        <w:adjustRightInd w:val="0"/>
        <w:spacing w:before="156"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12.</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合同的失效</w:t>
      </w:r>
    </w:p>
    <w:p>
      <w:pPr>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本合同在合同价款结清后失效。</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　　方</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　　方</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单位名称（盖章）：</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单位名称（盖章）：</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单位地址：</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单位地址：</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法人代表授权人(签字)：</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法人代表授权人(签字)：</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 系 人：</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联 系 人：</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电　　话：</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传　　真：</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邮政编码：</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邮政编码：</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开户银行：</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帐　　号：</w:t>
      </w:r>
    </w:p>
    <w:p>
      <w:pPr>
        <w:tabs>
          <w:tab w:val="left" w:pos="4615"/>
        </w:tabs>
        <w:autoSpaceDE w:val="0"/>
        <w:autoSpaceDN w:val="0"/>
        <w:adjustRightIn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税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税　　号：</w:t>
      </w:r>
    </w:p>
    <w:p>
      <w:pPr>
        <w:spacing w:line="360" w:lineRule="auto"/>
      </w:pPr>
      <w:r>
        <w:rPr>
          <w:rFonts w:hint="eastAsia" w:asciiTheme="minorEastAsia" w:hAnsiTheme="minorEastAsia" w:eastAsiaTheme="minorEastAsia" w:cstheme="minorEastAsia"/>
          <w:szCs w:val="21"/>
        </w:rPr>
        <w:t>合同签订地址：</w:t>
      </w:r>
    </w:p>
    <w:p>
      <w:pPr>
        <w:pStyle w:val="3"/>
        <w:numPr>
          <w:ilvl w:val="0"/>
          <w:numId w:val="4"/>
        </w:numPr>
        <w:jc w:val="center"/>
        <w:rPr>
          <w:rFonts w:asciiTheme="minorEastAsia" w:hAnsiTheme="minorEastAsia" w:eastAsiaTheme="minorEastAsia" w:cstheme="minorEastAsia"/>
          <w:sz w:val="36"/>
          <w:szCs w:val="36"/>
        </w:rPr>
      </w:pPr>
      <w:bookmarkStart w:id="116" w:name="_Toc5380"/>
      <w:r>
        <w:rPr>
          <w:rFonts w:hint="eastAsia" w:asciiTheme="minorEastAsia" w:hAnsiTheme="minorEastAsia" w:eastAsiaTheme="minorEastAsia" w:cstheme="minorEastAsia"/>
          <w:sz w:val="36"/>
          <w:szCs w:val="36"/>
        </w:rPr>
        <w:t>竞争性磋商响应文件格式</w:t>
      </w:r>
      <w:bookmarkEnd w:id="116"/>
    </w:p>
    <w:p>
      <w:pPr>
        <w:autoSpaceDE w:val="0"/>
        <w:autoSpaceDN w:val="0"/>
        <w:adjustRightInd w:val="0"/>
        <w:rPr>
          <w:rFonts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asciiTheme="minorEastAsia" w:hAnsiTheme="minorEastAsia" w:eastAsiaTheme="minorEastAsia" w:cstheme="minorEastAsia"/>
        </w:rPr>
      </w:pPr>
    </w:p>
    <w:p>
      <w:pPr>
        <w:autoSpaceDE w:val="0"/>
        <w:autoSpaceDN w:val="0"/>
        <w:adjustRightInd w:val="0"/>
        <w:rPr>
          <w:rFonts w:asciiTheme="minorEastAsia" w:hAnsiTheme="minorEastAsia" w:eastAsiaTheme="minorEastAsia" w:cstheme="minorEastAsia"/>
        </w:rPr>
      </w:pPr>
    </w:p>
    <w:p>
      <w:pPr>
        <w:autoSpaceDE w:val="0"/>
        <w:autoSpaceDN w:val="0"/>
        <w:adjustRightInd w:val="0"/>
        <w:jc w:val="center"/>
        <w:rPr>
          <w:rFonts w:asciiTheme="minorEastAsia" w:hAnsiTheme="minorEastAsia" w:eastAsiaTheme="minorEastAsia" w:cstheme="minorEastAsia"/>
        </w:rPr>
      </w:pPr>
    </w:p>
    <w:p>
      <w:pPr>
        <w:autoSpaceDE w:val="0"/>
        <w:autoSpaceDN w:val="0"/>
        <w:adjustRightInd w:val="0"/>
        <w:jc w:val="center"/>
        <w:rPr>
          <w:rFonts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项目编号：</w:t>
      </w:r>
    </w:p>
    <w:p>
      <w:pPr>
        <w:tabs>
          <w:tab w:val="left" w:pos="7230"/>
        </w:tabs>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p>
    <w:p>
      <w:pPr>
        <w:autoSpaceDE w:val="0"/>
        <w:autoSpaceDN w:val="0"/>
        <w:adjustRightInd w:val="0"/>
        <w:ind w:firstLine="1190" w:firstLineChars="395"/>
        <w:rPr>
          <w:rFonts w:asciiTheme="minorEastAsia" w:hAnsiTheme="minorEastAsia" w:eastAsiaTheme="minorEastAsia" w:cstheme="minorEastAsia"/>
          <w:b/>
          <w:bCs/>
          <w:sz w:val="30"/>
          <w:szCs w:val="30"/>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bookmarkStart w:id="117" w:name="_Toc5751"/>
      <w:bookmarkStart w:id="118" w:name="_Toc23858"/>
    </w:p>
    <w:p>
      <w:pPr>
        <w:autoSpaceDE w:val="0"/>
        <w:autoSpaceDN w:val="0"/>
        <w:adjustRightInd w:val="0"/>
        <w:spacing w:line="360" w:lineRule="auto"/>
        <w:ind w:firstLine="1260" w:firstLineChars="4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期：年月日</w:t>
      </w:r>
    </w:p>
    <w:bookmarkEnd w:id="117"/>
    <w:bookmarkEnd w:id="118"/>
    <w:p>
      <w:pPr>
        <w:autoSpaceDE w:val="0"/>
        <w:autoSpaceDN w:val="0"/>
        <w:adjustRightInd w:val="0"/>
        <w:spacing w:line="360" w:lineRule="auto"/>
        <w:jc w:val="center"/>
        <w:rPr>
          <w:rFonts w:asciiTheme="minorEastAsia" w:hAnsiTheme="minorEastAsia" w:eastAsiaTheme="minorEastAsia" w:cstheme="minorEastAsia"/>
          <w:b/>
          <w:bCs/>
          <w:sz w:val="24"/>
        </w:rPr>
      </w:pPr>
      <w:bookmarkStart w:id="119" w:name="_Toc264644272"/>
      <w:bookmarkStart w:id="120" w:name="_Toc360174584"/>
      <w:bookmarkStart w:id="121" w:name="_Toc11320441"/>
      <w:bookmarkStart w:id="122" w:name="_Toc211783342"/>
      <w:bookmarkStart w:id="123" w:name="_Toc533330957"/>
      <w:bookmarkStart w:id="124" w:name="_Toc533331084"/>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19"/>
      <w:bookmarkEnd w:id="120"/>
    </w:p>
    <w:p>
      <w:pPr>
        <w:autoSpaceDE w:val="0"/>
        <w:autoSpaceDN w:val="0"/>
        <w:adjustRightInd w:val="0"/>
        <w:rPr>
          <w:rFonts w:asciiTheme="minorEastAsia" w:hAnsiTheme="minorEastAsia" w:eastAsiaTheme="minorEastAsia" w:cstheme="minorEastAsia"/>
          <w:b/>
          <w:bCs/>
          <w:szCs w:val="21"/>
        </w:rPr>
      </w:pPr>
    </w:p>
    <w:p>
      <w:pPr>
        <w:autoSpaceDE w:val="0"/>
        <w:autoSpaceDN w:val="0"/>
        <w:adjustRightInd w:val="0"/>
        <w:spacing w:line="360" w:lineRule="auto"/>
        <w:rPr>
          <w:rFonts w:ascii="宋体" w:hAnsi="宋体" w:cs="宋体"/>
          <w:b/>
          <w:szCs w:val="21"/>
        </w:rPr>
      </w:pPr>
      <w:r>
        <w:rPr>
          <w:rFonts w:hint="eastAsia" w:ascii="宋体" w:hAnsi="宋体" w:cs="宋体"/>
          <w:b/>
          <w:szCs w:val="21"/>
        </w:rPr>
        <w:t>注：投标文件目录及内容每页须顺序编写页码。</w:t>
      </w:r>
    </w:p>
    <w:p>
      <w:pPr>
        <w:autoSpaceDE w:val="0"/>
        <w:autoSpaceDN w:val="0"/>
        <w:adjustRightInd w:val="0"/>
        <w:spacing w:line="360" w:lineRule="auto"/>
        <w:jc w:val="center"/>
        <w:outlineLvl w:val="1"/>
        <w:rPr>
          <w:rFonts w:ascii="宋体" w:hAnsi="宋体" w:cs="宋体"/>
          <w:b/>
          <w:szCs w:val="21"/>
        </w:rPr>
      </w:pPr>
      <w:bookmarkStart w:id="125" w:name="_Toc23446"/>
      <w:r>
        <w:rPr>
          <w:rFonts w:hint="eastAsia" w:ascii="宋体" w:hAnsi="宋体" w:cs="宋体"/>
          <w:b/>
          <w:szCs w:val="21"/>
        </w:rPr>
        <w:br w:type="textWrapping"/>
      </w:r>
      <w:r>
        <w:rPr>
          <w:rFonts w:hint="eastAsia" w:ascii="宋体" w:hAnsi="宋体" w:cs="宋体"/>
          <w:b/>
          <w:szCs w:val="21"/>
        </w:rPr>
        <w:t>一、评分标准索引表</w:t>
      </w:r>
      <w:bookmarkEnd w:id="125"/>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vAlign w:val="center"/>
          </w:tcPr>
          <w:p>
            <w:pPr>
              <w:spacing w:line="360" w:lineRule="auto"/>
              <w:jc w:val="center"/>
              <w:rPr>
                <w:rFonts w:ascii="宋体" w:hAnsi="宋体" w:cs="宋体"/>
                <w:b/>
                <w:bCs/>
                <w:spacing w:val="-6"/>
                <w:szCs w:val="21"/>
              </w:rPr>
            </w:pPr>
            <w:r>
              <w:rPr>
                <w:rFonts w:hint="eastAsia" w:ascii="宋体" w:hAnsi="宋体" w:cs="宋体"/>
                <w:b/>
                <w:bCs/>
                <w:szCs w:val="21"/>
              </w:rPr>
              <w:t>类别</w:t>
            </w:r>
          </w:p>
        </w:tc>
        <w:tc>
          <w:tcPr>
            <w:tcW w:w="1285" w:type="dxa"/>
            <w:tcBorders>
              <w:top w:val="single" w:color="auto" w:sz="12" w:space="0"/>
            </w:tcBorders>
            <w:vAlign w:val="center"/>
          </w:tcPr>
          <w:p>
            <w:pPr>
              <w:spacing w:line="360" w:lineRule="auto"/>
              <w:jc w:val="center"/>
              <w:rPr>
                <w:rFonts w:ascii="宋体" w:hAnsi="宋体" w:cs="宋体"/>
                <w:b/>
                <w:bCs/>
                <w:spacing w:val="-6"/>
                <w:szCs w:val="21"/>
              </w:rPr>
            </w:pPr>
            <w:r>
              <w:rPr>
                <w:rFonts w:hint="eastAsia" w:ascii="宋体" w:hAnsi="宋体" w:cs="宋体"/>
                <w:b/>
                <w:bCs/>
                <w:szCs w:val="21"/>
              </w:rPr>
              <w:t>评审因素</w:t>
            </w:r>
          </w:p>
        </w:tc>
        <w:tc>
          <w:tcPr>
            <w:tcW w:w="5358" w:type="dxa"/>
            <w:tcBorders>
              <w:top w:val="single" w:color="auto" w:sz="12" w:space="0"/>
            </w:tcBorders>
            <w:vAlign w:val="center"/>
          </w:tcPr>
          <w:p>
            <w:pPr>
              <w:spacing w:line="360" w:lineRule="auto"/>
              <w:jc w:val="center"/>
              <w:rPr>
                <w:rFonts w:ascii="宋体" w:hAnsi="宋体" w:cs="宋体"/>
                <w:b/>
                <w:bCs/>
                <w:spacing w:val="-6"/>
                <w:szCs w:val="21"/>
              </w:rPr>
            </w:pPr>
            <w:r>
              <w:rPr>
                <w:rFonts w:hint="eastAsia" w:ascii="宋体" w:hAnsi="宋体" w:cs="宋体"/>
                <w:b/>
                <w:bCs/>
                <w:szCs w:val="21"/>
              </w:rPr>
              <w:t>评审标准</w:t>
            </w:r>
          </w:p>
        </w:tc>
        <w:tc>
          <w:tcPr>
            <w:tcW w:w="825" w:type="dxa"/>
            <w:tcBorders>
              <w:top w:val="single" w:color="auto" w:sz="12" w:space="0"/>
            </w:tcBorders>
            <w:vAlign w:val="center"/>
          </w:tcPr>
          <w:p>
            <w:pPr>
              <w:spacing w:line="360" w:lineRule="auto"/>
              <w:jc w:val="center"/>
              <w:rPr>
                <w:rFonts w:ascii="宋体" w:hAnsi="宋体" w:cs="宋体"/>
                <w:b/>
                <w:bCs/>
                <w:szCs w:val="21"/>
              </w:rPr>
            </w:pPr>
            <w:r>
              <w:rPr>
                <w:rFonts w:hint="eastAsia" w:ascii="宋体" w:hAnsi="宋体" w:cs="宋体"/>
                <w:b/>
                <w:bCs/>
                <w:szCs w:val="21"/>
              </w:rPr>
              <w:t>分值</w:t>
            </w:r>
          </w:p>
        </w:tc>
        <w:tc>
          <w:tcPr>
            <w:tcW w:w="1133" w:type="dxa"/>
            <w:tcBorders>
              <w:top w:val="single" w:color="auto" w:sz="12" w:space="0"/>
            </w:tcBorders>
            <w:vAlign w:val="center"/>
          </w:tcPr>
          <w:p>
            <w:pPr>
              <w:spacing w:line="360" w:lineRule="auto"/>
              <w:jc w:val="center"/>
              <w:rPr>
                <w:rFonts w:ascii="宋体" w:hAnsi="宋体" w:cs="宋体"/>
                <w:b/>
                <w:bCs/>
                <w:szCs w:val="21"/>
              </w:rPr>
            </w:pPr>
            <w:r>
              <w:rPr>
                <w:rFonts w:hint="eastAsia" w:ascii="宋体" w:hAnsi="宋体" w:cs="宋体"/>
                <w:b/>
                <w:bCs/>
                <w:szCs w:val="21"/>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vAlign w:val="center"/>
          </w:tcPr>
          <w:p>
            <w:pPr>
              <w:widowControl/>
              <w:spacing w:line="360" w:lineRule="auto"/>
              <w:jc w:val="center"/>
              <w:textAlignment w:val="center"/>
              <w:rPr>
                <w:rFonts w:ascii="宋体" w:hAnsi="宋体" w:cs="宋体"/>
                <w:spacing w:val="-6"/>
                <w:szCs w:val="21"/>
              </w:rPr>
            </w:pPr>
          </w:p>
        </w:tc>
        <w:tc>
          <w:tcPr>
            <w:tcW w:w="1285" w:type="dxa"/>
            <w:vAlign w:val="center"/>
          </w:tcPr>
          <w:p>
            <w:pPr>
              <w:widowControl/>
              <w:spacing w:line="360" w:lineRule="auto"/>
              <w:jc w:val="center"/>
              <w:textAlignment w:val="center"/>
              <w:rPr>
                <w:rFonts w:ascii="宋体" w:hAnsi="宋体" w:cs="宋体"/>
                <w:spacing w:val="-6"/>
                <w:szCs w:val="21"/>
              </w:rPr>
            </w:pPr>
          </w:p>
        </w:tc>
        <w:tc>
          <w:tcPr>
            <w:tcW w:w="5358" w:type="dxa"/>
            <w:vAlign w:val="center"/>
          </w:tcPr>
          <w:p>
            <w:pPr>
              <w:widowControl/>
              <w:spacing w:line="360" w:lineRule="auto"/>
              <w:jc w:val="left"/>
              <w:textAlignment w:val="center"/>
              <w:rPr>
                <w:rFonts w:ascii="宋体" w:hAnsi="宋体" w:cs="宋体"/>
                <w:szCs w:val="21"/>
              </w:rPr>
            </w:pPr>
          </w:p>
        </w:tc>
        <w:tc>
          <w:tcPr>
            <w:tcW w:w="825" w:type="dxa"/>
            <w:vAlign w:val="center"/>
          </w:tcPr>
          <w:p>
            <w:pPr>
              <w:widowControl/>
              <w:spacing w:line="360" w:lineRule="auto"/>
              <w:jc w:val="center"/>
              <w:textAlignment w:val="center"/>
              <w:rPr>
                <w:rFonts w:ascii="宋体" w:hAnsi="宋体" w:cs="宋体"/>
                <w:szCs w:val="21"/>
              </w:rPr>
            </w:pPr>
          </w:p>
        </w:tc>
        <w:tc>
          <w:tcPr>
            <w:tcW w:w="1133" w:type="dxa"/>
            <w:vAlign w:val="center"/>
          </w:tcPr>
          <w:p>
            <w:pPr>
              <w:widowControl/>
              <w:spacing w:line="360" w:lineRule="auto"/>
              <w:jc w:val="center"/>
              <w:textAlignment w:val="center"/>
              <w:rPr>
                <w:rFonts w:ascii="宋体" w:hAnsi="宋体" w:cs="宋体"/>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spacing w:line="360" w:lineRule="auto"/>
              <w:jc w:val="center"/>
              <w:rPr>
                <w:rFonts w:ascii="宋体" w:hAnsi="宋体" w:cs="宋体"/>
                <w:spacing w:val="-6"/>
                <w:szCs w:val="21"/>
              </w:rPr>
            </w:pPr>
          </w:p>
        </w:tc>
        <w:tc>
          <w:tcPr>
            <w:tcW w:w="1285" w:type="dxa"/>
            <w:vAlign w:val="center"/>
          </w:tcPr>
          <w:p>
            <w:pPr>
              <w:spacing w:line="360" w:lineRule="auto"/>
              <w:rPr>
                <w:rFonts w:ascii="宋体" w:hAnsi="宋体" w:cs="宋体"/>
                <w:spacing w:val="-6"/>
                <w:kern w:val="0"/>
                <w:szCs w:val="21"/>
              </w:rPr>
            </w:pPr>
          </w:p>
        </w:tc>
        <w:tc>
          <w:tcPr>
            <w:tcW w:w="5358" w:type="dxa"/>
            <w:vAlign w:val="center"/>
          </w:tcPr>
          <w:p>
            <w:pPr>
              <w:spacing w:line="360" w:lineRule="auto"/>
              <w:rPr>
                <w:rFonts w:ascii="宋体" w:hAnsi="宋体" w:cs="宋体"/>
                <w:spacing w:val="-6"/>
                <w:szCs w:val="21"/>
              </w:rPr>
            </w:pPr>
          </w:p>
        </w:tc>
        <w:tc>
          <w:tcPr>
            <w:tcW w:w="825" w:type="dxa"/>
            <w:vAlign w:val="center"/>
          </w:tcPr>
          <w:p>
            <w:pPr>
              <w:spacing w:line="360" w:lineRule="auto"/>
              <w:rPr>
                <w:rFonts w:ascii="宋体" w:hAnsi="宋体" w:cs="宋体"/>
                <w:spacing w:val="-6"/>
                <w:szCs w:val="21"/>
              </w:rPr>
            </w:pPr>
          </w:p>
        </w:tc>
        <w:tc>
          <w:tcPr>
            <w:tcW w:w="1133" w:type="dxa"/>
            <w:vAlign w:val="center"/>
          </w:tcPr>
          <w:p>
            <w:pPr>
              <w:spacing w:line="360" w:lineRule="auto"/>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kern w:val="0"/>
                <w:szCs w:val="21"/>
              </w:rPr>
            </w:pPr>
          </w:p>
        </w:tc>
        <w:tc>
          <w:tcPr>
            <w:tcW w:w="5358" w:type="dxa"/>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color w:val="000000"/>
                <w:spacing w:val="-6"/>
                <w:szCs w:val="21"/>
              </w:rPr>
            </w:pPr>
          </w:p>
        </w:tc>
        <w:tc>
          <w:tcPr>
            <w:tcW w:w="5358" w:type="dxa"/>
            <w:vAlign w:val="center"/>
          </w:tcPr>
          <w:p>
            <w:pPr>
              <w:autoSpaceDE w:val="0"/>
              <w:autoSpaceDN w:val="0"/>
              <w:adjustRightInd w:val="0"/>
              <w:spacing w:line="360" w:lineRule="auto"/>
              <w:ind w:right="71" w:rightChars="34"/>
              <w:rPr>
                <w:rFonts w:ascii="宋体" w:hAnsi="宋体" w:cs="宋体"/>
                <w:color w:val="000000"/>
                <w:spacing w:val="-6"/>
                <w:szCs w:val="21"/>
              </w:rPr>
            </w:pPr>
          </w:p>
        </w:tc>
        <w:tc>
          <w:tcPr>
            <w:tcW w:w="825" w:type="dxa"/>
            <w:vAlign w:val="center"/>
          </w:tcPr>
          <w:p>
            <w:pPr>
              <w:autoSpaceDE w:val="0"/>
              <w:autoSpaceDN w:val="0"/>
              <w:adjustRightInd w:val="0"/>
              <w:spacing w:line="360" w:lineRule="auto"/>
              <w:ind w:right="71" w:rightChars="34"/>
              <w:rPr>
                <w:rFonts w:ascii="宋体" w:hAnsi="宋体" w:cs="宋体"/>
                <w:color w:val="000000"/>
                <w:spacing w:val="-6"/>
                <w:szCs w:val="21"/>
              </w:rPr>
            </w:pPr>
          </w:p>
        </w:tc>
        <w:tc>
          <w:tcPr>
            <w:tcW w:w="1133" w:type="dxa"/>
            <w:vAlign w:val="center"/>
          </w:tcPr>
          <w:p>
            <w:pPr>
              <w:autoSpaceDE w:val="0"/>
              <w:autoSpaceDN w:val="0"/>
              <w:adjustRightInd w:val="0"/>
              <w:spacing w:line="360" w:lineRule="auto"/>
              <w:ind w:right="71" w:rightChars="34"/>
              <w:rPr>
                <w:rFonts w:ascii="宋体" w:hAnsi="宋体" w:cs="宋体"/>
                <w:color w:val="000000"/>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tcBorders>
              <w:bottom w:val="single" w:color="auto" w:sz="4" w:space="0"/>
            </w:tcBorders>
            <w:vAlign w:val="center"/>
          </w:tcPr>
          <w:p>
            <w:pPr>
              <w:spacing w:line="360" w:lineRule="auto"/>
              <w:rPr>
                <w:rFonts w:ascii="宋体" w:hAnsi="宋体" w:cs="宋体"/>
                <w:spacing w:val="-6"/>
                <w:kern w:val="0"/>
                <w:szCs w:val="21"/>
              </w:rPr>
            </w:pPr>
          </w:p>
        </w:tc>
        <w:tc>
          <w:tcPr>
            <w:tcW w:w="5358" w:type="dxa"/>
            <w:tcBorders>
              <w:bottom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tcBorders>
              <w:bottom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tcBorders>
              <w:bottom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tcBorders>
              <w:top w:val="single" w:color="auto" w:sz="4" w:space="0"/>
            </w:tcBorders>
            <w:vAlign w:val="center"/>
          </w:tcPr>
          <w:p>
            <w:pPr>
              <w:spacing w:line="360" w:lineRule="auto"/>
              <w:rPr>
                <w:rFonts w:ascii="宋体" w:hAnsi="宋体" w:cs="宋体"/>
                <w:spacing w:val="-6"/>
                <w:kern w:val="0"/>
                <w:szCs w:val="21"/>
              </w:rPr>
            </w:pPr>
          </w:p>
        </w:tc>
        <w:tc>
          <w:tcPr>
            <w:tcW w:w="5358" w:type="dxa"/>
            <w:tcBorders>
              <w:top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tcBorders>
              <w:top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tcBorders>
              <w:top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spacing w:line="360" w:lineRule="auto"/>
              <w:jc w:val="center"/>
              <w:rPr>
                <w:rFonts w:ascii="宋体" w:hAnsi="宋体" w:cs="宋体"/>
                <w:spacing w:val="-6"/>
                <w:szCs w:val="21"/>
              </w:rPr>
            </w:pPr>
          </w:p>
        </w:tc>
        <w:tc>
          <w:tcPr>
            <w:tcW w:w="1285" w:type="dxa"/>
            <w:vAlign w:val="center"/>
          </w:tcPr>
          <w:p>
            <w:pPr>
              <w:spacing w:line="360" w:lineRule="auto"/>
              <w:rPr>
                <w:rFonts w:ascii="宋体" w:hAnsi="宋体" w:cs="宋体"/>
                <w:spacing w:val="-6"/>
                <w:szCs w:val="21"/>
              </w:rPr>
            </w:pPr>
          </w:p>
        </w:tc>
        <w:tc>
          <w:tcPr>
            <w:tcW w:w="5358" w:type="dxa"/>
            <w:vAlign w:val="center"/>
          </w:tcPr>
          <w:p>
            <w:pPr>
              <w:spacing w:line="360" w:lineRule="auto"/>
              <w:ind w:left="-4" w:leftChars="-2" w:firstLine="1" w:firstLineChars="1"/>
              <w:rPr>
                <w:rFonts w:ascii="宋体" w:hAnsi="宋体" w:cs="宋体"/>
                <w:spacing w:val="-6"/>
                <w:szCs w:val="21"/>
              </w:rPr>
            </w:pPr>
          </w:p>
        </w:tc>
        <w:tc>
          <w:tcPr>
            <w:tcW w:w="825" w:type="dxa"/>
            <w:vAlign w:val="center"/>
          </w:tcPr>
          <w:p>
            <w:pPr>
              <w:spacing w:line="360" w:lineRule="auto"/>
              <w:ind w:left="-4" w:leftChars="-2" w:firstLine="1" w:firstLineChars="1"/>
              <w:rPr>
                <w:rFonts w:ascii="宋体" w:hAnsi="宋体" w:cs="宋体"/>
                <w:spacing w:val="-6"/>
                <w:szCs w:val="21"/>
              </w:rPr>
            </w:pPr>
          </w:p>
        </w:tc>
        <w:tc>
          <w:tcPr>
            <w:tcW w:w="1133" w:type="dxa"/>
            <w:vAlign w:val="center"/>
          </w:tcPr>
          <w:p>
            <w:pPr>
              <w:spacing w:line="360" w:lineRule="auto"/>
              <w:ind w:left="-4" w:leftChars="-2" w:firstLine="1" w:firstLineChars="1"/>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ind w:left="-4" w:leftChars="-2" w:firstLine="2" w:firstLineChars="1"/>
              <w:rPr>
                <w:rFonts w:ascii="宋体" w:hAnsi="宋体" w:cs="宋体"/>
                <w:szCs w:val="21"/>
              </w:rPr>
            </w:pPr>
          </w:p>
        </w:tc>
        <w:tc>
          <w:tcPr>
            <w:tcW w:w="1285" w:type="dxa"/>
            <w:vAlign w:val="center"/>
          </w:tcPr>
          <w:p>
            <w:pPr>
              <w:spacing w:line="360" w:lineRule="auto"/>
              <w:ind w:left="-4" w:leftChars="-2" w:firstLine="2" w:firstLineChars="1"/>
              <w:rPr>
                <w:rFonts w:ascii="宋体" w:hAnsi="宋体" w:cs="宋体"/>
                <w:szCs w:val="21"/>
              </w:rPr>
            </w:pPr>
          </w:p>
        </w:tc>
        <w:tc>
          <w:tcPr>
            <w:tcW w:w="5358" w:type="dxa"/>
            <w:vAlign w:val="center"/>
          </w:tcPr>
          <w:p>
            <w:pPr>
              <w:spacing w:line="360" w:lineRule="auto"/>
              <w:ind w:left="-4" w:leftChars="-2" w:firstLine="2" w:firstLineChars="1"/>
              <w:rPr>
                <w:rFonts w:ascii="宋体" w:hAnsi="宋体" w:cs="宋体"/>
                <w:szCs w:val="21"/>
              </w:rPr>
            </w:pPr>
          </w:p>
        </w:tc>
        <w:tc>
          <w:tcPr>
            <w:tcW w:w="825" w:type="dxa"/>
            <w:vAlign w:val="center"/>
          </w:tcPr>
          <w:p>
            <w:pPr>
              <w:spacing w:line="360" w:lineRule="auto"/>
              <w:ind w:left="-4" w:leftChars="-2" w:firstLine="2" w:firstLineChars="1"/>
              <w:rPr>
                <w:rFonts w:ascii="宋体" w:hAnsi="宋体" w:cs="宋体"/>
                <w:szCs w:val="21"/>
              </w:rPr>
            </w:pPr>
          </w:p>
        </w:tc>
        <w:tc>
          <w:tcPr>
            <w:tcW w:w="1133" w:type="dxa"/>
            <w:vAlign w:val="center"/>
          </w:tcPr>
          <w:p>
            <w:pPr>
              <w:spacing w:line="360" w:lineRule="auto"/>
              <w:ind w:left="-4" w:leftChars="-2" w:firstLine="2" w:firstLineChars="1"/>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kern w:val="0"/>
                <w:szCs w:val="21"/>
              </w:rPr>
            </w:pPr>
          </w:p>
        </w:tc>
        <w:tc>
          <w:tcPr>
            <w:tcW w:w="5358" w:type="dxa"/>
            <w:vAlign w:val="center"/>
          </w:tcPr>
          <w:p>
            <w:pPr>
              <w:autoSpaceDE w:val="0"/>
              <w:autoSpaceDN w:val="0"/>
              <w:adjustRightInd w:val="0"/>
              <w:spacing w:line="360" w:lineRule="auto"/>
              <w:rPr>
                <w:rFonts w:ascii="宋体" w:hAnsi="宋体" w:cs="宋体"/>
                <w:spacing w:val="-6"/>
                <w:kern w:val="0"/>
                <w:szCs w:val="21"/>
              </w:rPr>
            </w:pPr>
          </w:p>
        </w:tc>
        <w:tc>
          <w:tcPr>
            <w:tcW w:w="825" w:type="dxa"/>
            <w:vAlign w:val="center"/>
          </w:tcPr>
          <w:p>
            <w:pPr>
              <w:autoSpaceDE w:val="0"/>
              <w:autoSpaceDN w:val="0"/>
              <w:adjustRightInd w:val="0"/>
              <w:spacing w:line="360" w:lineRule="auto"/>
              <w:rPr>
                <w:rFonts w:ascii="宋体" w:hAnsi="宋体" w:cs="宋体"/>
                <w:spacing w:val="-6"/>
                <w:kern w:val="0"/>
                <w:szCs w:val="21"/>
              </w:rPr>
            </w:pPr>
          </w:p>
        </w:tc>
        <w:tc>
          <w:tcPr>
            <w:tcW w:w="1133" w:type="dxa"/>
            <w:vAlign w:val="center"/>
          </w:tcPr>
          <w:p>
            <w:pPr>
              <w:autoSpaceDE w:val="0"/>
              <w:autoSpaceDN w:val="0"/>
              <w:adjustRightInd w:val="0"/>
              <w:spacing w:line="360" w:lineRule="auto"/>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szCs w:val="21"/>
              </w:rPr>
            </w:pPr>
          </w:p>
        </w:tc>
        <w:tc>
          <w:tcPr>
            <w:tcW w:w="5358" w:type="dxa"/>
            <w:vAlign w:val="center"/>
          </w:tcPr>
          <w:p>
            <w:pPr>
              <w:spacing w:line="360" w:lineRule="auto"/>
              <w:ind w:left="-4" w:leftChars="-2" w:firstLine="1" w:firstLineChars="1"/>
              <w:rPr>
                <w:rFonts w:ascii="宋体" w:hAnsi="宋体" w:cs="宋体"/>
                <w:spacing w:val="-6"/>
                <w:szCs w:val="21"/>
              </w:rPr>
            </w:pPr>
          </w:p>
        </w:tc>
        <w:tc>
          <w:tcPr>
            <w:tcW w:w="825" w:type="dxa"/>
            <w:vAlign w:val="center"/>
          </w:tcPr>
          <w:p>
            <w:pPr>
              <w:spacing w:line="360" w:lineRule="auto"/>
              <w:ind w:left="-4" w:leftChars="-2" w:firstLine="1" w:firstLineChars="1"/>
              <w:rPr>
                <w:rFonts w:ascii="宋体" w:hAnsi="宋体" w:cs="宋体"/>
                <w:spacing w:val="-6"/>
                <w:szCs w:val="21"/>
              </w:rPr>
            </w:pPr>
          </w:p>
        </w:tc>
        <w:tc>
          <w:tcPr>
            <w:tcW w:w="1133" w:type="dxa"/>
            <w:vAlign w:val="center"/>
          </w:tcPr>
          <w:p>
            <w:pPr>
              <w:spacing w:line="360" w:lineRule="auto"/>
              <w:ind w:left="-4" w:leftChars="-2" w:firstLine="1" w:firstLineChars="1"/>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szCs w:val="21"/>
              </w:rPr>
            </w:pPr>
          </w:p>
        </w:tc>
        <w:tc>
          <w:tcPr>
            <w:tcW w:w="5358" w:type="dxa"/>
            <w:vAlign w:val="center"/>
          </w:tcPr>
          <w:p>
            <w:pPr>
              <w:spacing w:line="360" w:lineRule="auto"/>
              <w:rPr>
                <w:rFonts w:ascii="宋体" w:hAnsi="宋体" w:cs="宋体"/>
                <w:spacing w:val="-6"/>
                <w:szCs w:val="21"/>
              </w:rPr>
            </w:pPr>
          </w:p>
        </w:tc>
        <w:tc>
          <w:tcPr>
            <w:tcW w:w="825" w:type="dxa"/>
            <w:vAlign w:val="center"/>
          </w:tcPr>
          <w:p>
            <w:pPr>
              <w:spacing w:line="360" w:lineRule="auto"/>
              <w:rPr>
                <w:rFonts w:ascii="宋体" w:hAnsi="宋体" w:cs="宋体"/>
                <w:spacing w:val="-6"/>
                <w:szCs w:val="21"/>
              </w:rPr>
            </w:pPr>
          </w:p>
        </w:tc>
        <w:tc>
          <w:tcPr>
            <w:tcW w:w="1133" w:type="dxa"/>
            <w:vAlign w:val="center"/>
          </w:tcPr>
          <w:p>
            <w:pPr>
              <w:spacing w:line="360" w:lineRule="auto"/>
              <w:rPr>
                <w:rFonts w:ascii="宋体" w:hAnsi="宋体" w:cs="宋体"/>
                <w:spacing w:val="-6"/>
                <w:szCs w:val="21"/>
              </w:rPr>
            </w:pPr>
          </w:p>
        </w:tc>
      </w:tr>
    </w:tbl>
    <w:p>
      <w:pPr>
        <w:autoSpaceDE w:val="0"/>
        <w:autoSpaceDN w:val="0"/>
        <w:adjustRightInd w:val="0"/>
        <w:spacing w:line="480" w:lineRule="auto"/>
        <w:rPr>
          <w:rFonts w:asciiTheme="minorEastAsia" w:hAnsiTheme="minorEastAsia" w:eastAsiaTheme="minorEastAsia" w:cstheme="minorEastAsia"/>
          <w:b/>
        </w:rPr>
      </w:pPr>
    </w:p>
    <w:p>
      <w:pPr>
        <w:adjustRightInd w:val="0"/>
        <w:snapToGrid w:val="0"/>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
        </w:rPr>
        <w:br w:type="textWrapping"/>
      </w:r>
    </w:p>
    <w:p>
      <w:pPr>
        <w:adjustRightInd w:val="0"/>
        <w:snapToGrid w:val="0"/>
        <w:spacing w:line="480" w:lineRule="auto"/>
        <w:jc w:val="center"/>
        <w:outlineLvl w:val="1"/>
        <w:rPr>
          <w:rFonts w:asciiTheme="minorEastAsia" w:hAnsiTheme="minorEastAsia" w:eastAsiaTheme="minorEastAsia" w:cstheme="minorEastAsia"/>
          <w:b/>
        </w:rPr>
      </w:pPr>
      <w:bookmarkStart w:id="126" w:name="_Toc19393"/>
      <w:bookmarkStart w:id="127" w:name="_Toc30144"/>
      <w:bookmarkStart w:id="128" w:name="_Toc15789"/>
      <w:bookmarkStart w:id="129" w:name="_Toc479184125"/>
      <w:r>
        <w:rPr>
          <w:rFonts w:hint="eastAsia" w:asciiTheme="minorEastAsia" w:hAnsiTheme="minorEastAsia" w:eastAsiaTheme="minorEastAsia" w:cstheme="minorEastAsia"/>
          <w:b/>
        </w:rPr>
        <w:t>二、磋商书</w:t>
      </w:r>
      <w:bookmarkEnd w:id="126"/>
      <w:bookmarkEnd w:id="127"/>
      <w:bookmarkEnd w:id="128"/>
      <w:bookmarkEnd w:id="129"/>
    </w:p>
    <w:p>
      <w:pPr>
        <w:pStyle w:val="20"/>
        <w:rPr>
          <w:rFonts w:asciiTheme="minorEastAsia" w:hAnsiTheme="minorEastAsia" w:eastAsiaTheme="minorEastAsia" w:cstheme="minorEastAsia"/>
          <w:b/>
          <w:szCs w:val="21"/>
        </w:rPr>
      </w:pP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依据贵方（项目名称/项目编号）项目第包服务的磋商邀请，我方代表（姓名、职务）经正式授权并代表供应商（供应商的名称、地址）提交下述文件正本一份，副本份。</w:t>
      </w:r>
    </w:p>
    <w:p>
      <w:pPr>
        <w:numPr>
          <w:ilvl w:val="1"/>
          <w:numId w:val="39"/>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39"/>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39"/>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按采购的规定递交元（人民币大写）的保证金（如有）。</w:t>
      </w:r>
    </w:p>
    <w:p>
      <w:pPr>
        <w:autoSpaceDE w:val="0"/>
        <w:autoSpaceDN w:val="0"/>
        <w:adjustRightInd w:val="0"/>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40"/>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40"/>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40"/>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40"/>
        </w:numPr>
        <w:tabs>
          <w:tab w:val="left" w:pos="840"/>
        </w:tabs>
        <w:autoSpaceDE w:val="0"/>
        <w:autoSpaceDN w:val="0"/>
        <w:adjustRightInd w:val="0"/>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重要声明：</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rPr>
        <w:t>与我方单位负责人为同一人的其他单位名称：□无；□有，具体单位名称为：</w:t>
      </w:r>
      <w:r>
        <w:rPr>
          <w:rFonts w:hint="eastAsia" w:asciiTheme="minorEastAsia" w:hAnsiTheme="minorEastAsia" w:eastAsiaTheme="minorEastAsia" w:cstheme="minorEastAsia"/>
          <w:u w:val="single"/>
        </w:rPr>
        <w:t>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4.2与我方存在控股、管理关系的其他单位的名称：□无；□有，具体单位名称为：</w:t>
      </w:r>
      <w:r>
        <w:rPr>
          <w:rFonts w:hint="eastAsia" w:asciiTheme="minorEastAsia" w:hAnsiTheme="minorEastAsia" w:eastAsiaTheme="minorEastAsia" w:cstheme="minorEastAsia"/>
          <w:u w:val="single"/>
        </w:rPr>
        <w:t>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u w:val="single"/>
        </w:rPr>
        <w:t>     </w:t>
      </w:r>
    </w:p>
    <w:p>
      <w:r>
        <w:rPr>
          <w:rFonts w:hint="eastAsia" w:asciiTheme="minorEastAsia" w:hAnsiTheme="minorEastAsia" w:eastAsiaTheme="minorEastAsia" w:cstheme="minorEastAsia"/>
          <w:b/>
          <w:bCs/>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本竞争性磋商响应文件的有效期自磋商截止时间起共日历天。</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p>
    <w:p>
      <w:pPr>
        <w:autoSpaceDE w:val="0"/>
        <w:autoSpaceDN w:val="0"/>
        <w:adjustRightInd w:val="0"/>
        <w:ind w:firstLine="420" w:firstLineChars="200"/>
        <w:jc w:val="left"/>
        <w:rPr>
          <w:rFonts w:asciiTheme="minorEastAsia" w:hAnsiTheme="minorEastAsia" w:eastAsiaTheme="minorEastAsia" w:cstheme="minorEastAsia"/>
          <w:kern w:val="0"/>
          <w:szCs w:val="21"/>
        </w:rPr>
      </w:pP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授权代表（签字）：</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asciiTheme="minorEastAsia" w:hAnsiTheme="minorEastAsia" w:eastAsiaTheme="minorEastAsia" w:cstheme="minorEastAsia"/>
          <w:b/>
        </w:rPr>
      </w:pPr>
      <w:bookmarkStart w:id="130" w:name="_Toc24205"/>
      <w:bookmarkStart w:id="131" w:name="_Toc23623"/>
      <w:bookmarkStart w:id="132" w:name="_Toc479184126"/>
      <w:bookmarkStart w:id="133" w:name="_Toc13969"/>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t>三、法定代表人授权书</w:t>
      </w:r>
      <w:bookmarkEnd w:id="130"/>
      <w:bookmarkEnd w:id="131"/>
      <w:bookmarkEnd w:id="132"/>
      <w:bookmarkEnd w:id="133"/>
    </w:p>
    <w:p>
      <w:pPr>
        <w:rPr>
          <w:rFonts w:asciiTheme="minorEastAsia" w:hAnsiTheme="minorEastAsia" w:eastAsiaTheme="minorEastAsia" w:cstheme="minorEastAsia"/>
          <w:kern w:val="0"/>
          <w:szCs w:val="21"/>
        </w:rPr>
      </w:pPr>
    </w:p>
    <w:p>
      <w:pPr>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采购活动的供应商代表人（磋商代表），全权代表我公司处理在该项目采购活动中的一切事宜。代理期限从年 月日起至年 月日止。</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授权单位（盖章）：</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签发日期：年 月日         </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授权代表职务：</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授权代表身份证号码：</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pPr>
            <w:r>
              <w:rPr>
                <w:rFonts w:hint="eastAsia"/>
              </w:rPr>
              <w:t>授权代表身份证正反面（真彩扫描件）：</w:t>
            </w:r>
          </w:p>
          <w:p>
            <w:pPr>
              <w:autoSpaceDE w:val="0"/>
              <w:autoSpaceDN w:val="0"/>
              <w:adjustRightInd w:val="0"/>
              <w:spacing w:line="360" w:lineRule="auto"/>
              <w:jc w:val="left"/>
            </w:pPr>
            <w:r>
              <w:rPr>
                <w:rFonts w:hint="eastAsia"/>
              </w:rPr>
              <w:t>法定代表人身份证正反面（真彩扫描件）：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bookmarkStart w:id="134" w:name="_Toc16789"/>
      <w:bookmarkStart w:id="135" w:name="_Toc432149008"/>
      <w:bookmarkStart w:id="136" w:name="_Toc424832832"/>
      <w:bookmarkStart w:id="137" w:name="_Toc30245"/>
      <w:bookmarkStart w:id="138" w:name="_Toc479184127"/>
      <w:bookmarkStart w:id="139" w:name="_Toc360120184"/>
      <w:bookmarkStart w:id="140" w:name="_Toc12123"/>
      <w:bookmarkStart w:id="141" w:name="_Toc29904"/>
      <w:r>
        <w:rPr>
          <w:rFonts w:hint="eastAsia" w:asciiTheme="minorEastAsia" w:hAnsiTheme="minorEastAsia" w:eastAsiaTheme="minorEastAsia" w:cstheme="minorEastAsia"/>
          <w:b/>
          <w:bCs/>
          <w:kern w:val="0"/>
          <w:szCs w:val="21"/>
        </w:rPr>
        <w:br w:type="textWrapping"/>
      </w:r>
      <w:r>
        <w:rPr>
          <w:rFonts w:hint="eastAsia" w:asciiTheme="minorEastAsia" w:hAnsiTheme="minorEastAsia" w:eastAsiaTheme="minorEastAsia" w:cstheme="minorEastAsia"/>
          <w:b/>
          <w:bCs/>
          <w:kern w:val="0"/>
          <w:szCs w:val="21"/>
        </w:rPr>
        <w:br w:type="textWrapping"/>
      </w:r>
      <w:r>
        <w:rPr>
          <w:rFonts w:hint="eastAsia" w:asciiTheme="minorEastAsia" w:hAnsiTheme="minorEastAsia" w:eastAsiaTheme="minorEastAsia" w:cstheme="minorEastAsia"/>
          <w:b/>
          <w:bCs/>
          <w:kern w:val="0"/>
          <w:szCs w:val="21"/>
        </w:rPr>
        <w:t>三、</w:t>
      </w:r>
      <w:r>
        <w:rPr>
          <w:rFonts w:hint="eastAsia" w:asciiTheme="minorEastAsia" w:hAnsiTheme="minorEastAsia" w:eastAsiaTheme="minorEastAsia" w:cstheme="minorEastAsia"/>
          <w:b/>
          <w:bCs/>
          <w:szCs w:val="21"/>
        </w:rPr>
        <w:t>法定代表人身份证明书</w:t>
      </w:r>
      <w:bookmarkEnd w:id="134"/>
      <w:bookmarkEnd w:id="135"/>
      <w:bookmarkEnd w:id="136"/>
      <w:bookmarkEnd w:id="137"/>
      <w:bookmarkEnd w:id="138"/>
      <w:bookmarkEnd w:id="139"/>
      <w:bookmarkEnd w:id="140"/>
      <w:bookmarkEnd w:id="141"/>
    </w:p>
    <w:p>
      <w:pPr>
        <w:spacing w:line="360" w:lineRule="auto"/>
        <w:rPr>
          <w:rFonts w:asciiTheme="minorEastAsia" w:hAnsiTheme="minorEastAsia" w:eastAsiaTheme="minorEastAsia" w:cstheme="minorEastAsia"/>
          <w:kern w:val="0"/>
          <w:szCs w:val="21"/>
        </w:rPr>
      </w:pP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兹证明（姓名）</w:t>
      </w:r>
      <w:r>
        <w:rPr>
          <w:rFonts w:hint="eastAsia" w:asciiTheme="minorEastAsia" w:hAnsiTheme="minorEastAsia" w:eastAsiaTheme="minorEastAsia" w:cstheme="minorEastAsia"/>
          <w:szCs w:val="21"/>
        </w:rPr>
        <w:t>在我单位任职务</w:t>
      </w:r>
      <w:r>
        <w:rPr>
          <w:rFonts w:hint="eastAsia" w:asciiTheme="minorEastAsia" w:hAnsiTheme="minorEastAsia" w:eastAsiaTheme="minorEastAsia" w:cstheme="minorEastAsia"/>
          <w:kern w:val="0"/>
          <w:szCs w:val="21"/>
        </w:rPr>
        <w:t>，系（供应商）的法定代表人。</w:t>
      </w:r>
    </w:p>
    <w:p>
      <w:pPr>
        <w:spacing w:line="360" w:lineRule="auto"/>
        <w:ind w:firstLine="630" w:firstLineChars="300"/>
        <w:rPr>
          <w:rFonts w:asciiTheme="minorEastAsia" w:hAnsiTheme="minorEastAsia" w:eastAsiaTheme="minorEastAsia" w:cstheme="minorEastAsia"/>
          <w:kern w:val="0"/>
          <w:szCs w:val="21"/>
        </w:rPr>
      </w:pP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性别：年龄：</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p>
    <w:p>
      <w:pPr>
        <w:spacing w:line="360" w:lineRule="auto"/>
        <w:ind w:firstLine="5985" w:firstLineChars="285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年月日</w:t>
      </w:r>
    </w:p>
    <w:p>
      <w:pPr>
        <w:autoSpaceDE w:val="0"/>
        <w:autoSpaceDN w:val="0"/>
        <w:adjustRightInd w:val="0"/>
        <w:spacing w:line="360" w:lineRule="auto"/>
        <w:rPr>
          <w:rFonts w:asciiTheme="minorEastAsia" w:hAnsiTheme="minorEastAsia" w:eastAsiaTheme="minorEastAsia" w:cstheme="minorEastAsia"/>
          <w:kern w:val="0"/>
          <w:szCs w:val="21"/>
        </w:rPr>
      </w:pPr>
    </w:p>
    <w:p>
      <w:pPr>
        <w:autoSpaceDE w:val="0"/>
        <w:autoSpaceDN w:val="0"/>
        <w:adjustRightInd w:val="0"/>
        <w:spacing w:line="360" w:lineRule="auto"/>
        <w:rPr>
          <w:rFonts w:asciiTheme="minorEastAsia" w:hAnsiTheme="minorEastAsia" w:eastAsiaTheme="minorEastAsia" w:cstheme="minorEastAsia"/>
          <w:kern w:val="0"/>
          <w:szCs w:val="21"/>
        </w:rPr>
      </w:pPr>
    </w:p>
    <w:p>
      <w:pPr>
        <w:autoSpaceDE w:val="0"/>
        <w:autoSpaceDN w:val="0"/>
        <w:adjustRightInd w:val="0"/>
        <w:spacing w:line="360" w:lineRule="auto"/>
        <w:rPr>
          <w:rFonts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asciiTheme="minorEastAsia" w:hAnsiTheme="minorEastAsia" w:eastAsiaTheme="minorEastAsia" w:cstheme="minorEastAsia"/>
                <w:kern w:val="0"/>
                <w:szCs w:val="21"/>
              </w:rPr>
            </w:pPr>
          </w:p>
          <w:p>
            <w:pPr>
              <w:spacing w:line="360" w:lineRule="auto"/>
              <w:rPr>
                <w:rFonts w:asciiTheme="minorEastAsia" w:hAnsiTheme="minorEastAsia" w:eastAsiaTheme="minorEastAsia" w:cstheme="minorEastAsia"/>
                <w:kern w:val="0"/>
                <w:szCs w:val="21"/>
              </w:rPr>
            </w:pPr>
            <w:r>
              <w:rPr>
                <w:rFonts w:hint="eastAsia"/>
              </w:rPr>
              <w:t>粘贴法定代表人身份证正反面（真彩扫描件）：</w:t>
            </w:r>
          </w:p>
        </w:tc>
      </w:tr>
    </w:tbl>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asciiTheme="minorEastAsia" w:hAnsiTheme="minorEastAsia" w:eastAsiaTheme="minorEastAsia" w:cstheme="minorEastAsia"/>
          <w:b/>
          <w:kern w:val="0"/>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bCs/>
          <w:szCs w:val="21"/>
        </w:rPr>
      </w:pPr>
    </w:p>
    <w:p>
      <w:pPr>
        <w:tabs>
          <w:tab w:val="left" w:pos="3969"/>
        </w:tabs>
        <w:spacing w:line="500" w:lineRule="exac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bookmarkStart w:id="142" w:name="_Toc422466732"/>
      <w:bookmarkStart w:id="143" w:name="_Toc432149006"/>
      <w:r>
        <w:rPr>
          <w:rFonts w:hint="eastAsia" w:asciiTheme="minorEastAsia" w:hAnsiTheme="minorEastAsia" w:eastAsiaTheme="minorEastAsia" w:cstheme="minorEastAsia"/>
          <w:b/>
          <w:bCs/>
          <w:sz w:val="24"/>
        </w:rPr>
        <w:br w:type="page"/>
      </w:r>
      <w:bookmarkStart w:id="144" w:name="_Toc4301"/>
      <w:bookmarkStart w:id="145" w:name="_Toc479184128"/>
      <w:bookmarkStart w:id="146" w:name="_Toc4741"/>
      <w:bookmarkStart w:id="147" w:name="_Toc24383"/>
      <w:r>
        <w:rPr>
          <w:rFonts w:hint="eastAsia" w:asciiTheme="minorEastAsia" w:hAnsiTheme="minorEastAsia" w:eastAsiaTheme="minorEastAsia" w:cstheme="minorEastAsia"/>
          <w:b/>
          <w:bCs/>
          <w:szCs w:val="21"/>
        </w:rPr>
        <w:t>四、报价一览表</w:t>
      </w:r>
      <w:bookmarkEnd w:id="142"/>
      <w:bookmarkEnd w:id="143"/>
      <w:bookmarkEnd w:id="144"/>
      <w:bookmarkEnd w:id="145"/>
      <w:bookmarkEnd w:id="146"/>
      <w:bookmarkEnd w:id="147"/>
    </w:p>
    <w:p>
      <w:pPr>
        <w:adjustRightInd w:val="0"/>
        <w:snapToGrid w:val="0"/>
        <w:ind w:left="-88" w:leftChars="-42"/>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宋体" w:hAnsi="宋体"/>
                <w:szCs w:val="21"/>
              </w:rPr>
              <w:t>供应商地址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竞标报价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大写：</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u w:val="single"/>
              </w:rPr>
              <w:t>小写：</w:t>
            </w:r>
            <w:r>
              <w:rPr>
                <w:rFonts w:hint="eastAsia" w:asciiTheme="minorEastAsia" w:hAnsiTheme="minorEastAsia" w:eastAsiaTheme="minorEastAsia" w:cstheme="minorEastAsia"/>
                <w:szCs w:val="21"/>
                <w:u w:val="single"/>
                <w:lang w:val="en-US" w:eastAsia="zh-CN"/>
              </w:rPr>
              <w:t xml:space="preserve">        </w:t>
            </w:r>
            <w:r>
              <w:rPr>
                <w:rFonts w:hint="eastAsia" w:asciiTheme="minorEastAsia" w:hAnsiTheme="minorEastAsia" w:eastAsiaTheme="minorEastAsia" w:cstheme="minorEastAsia"/>
                <w:szCs w:val="21"/>
              </w:rPr>
              <w:t>万元/年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本次报价采取拟缴纳的成本补偿费定额报价方式；</w:t>
            </w:r>
          </w:p>
        </w:tc>
      </w:tr>
    </w:tbl>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（3）此表除保留在竞争性磋商响应文件中外，另复制一份与法定代表人授权书（原件）、保证金缴纳证明（如有）（复印件）及报价优惠声明（如有）一起另外密封装在一个小信封中，作为磋商记录之用。</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szCs w:val="21"/>
          <w:u w:val="single"/>
        </w:rPr>
      </w:pPr>
      <w:bookmarkStart w:id="148" w:name="_Toc259028723"/>
      <w:bookmarkStart w:id="149" w:name="_Toc460258117"/>
      <w:bookmarkStart w:id="150" w:name="_Toc424832831"/>
      <w:bookmarkStart w:id="151" w:name="_Toc432149007"/>
      <w:r>
        <w:rPr>
          <w:rFonts w:hint="eastAsia" w:asciiTheme="minorEastAsia" w:hAnsiTheme="minorEastAsia" w:eastAsiaTheme="minorEastAsia" w:cstheme="minorEastAsia"/>
          <w:b/>
          <w:bCs/>
          <w:sz w:val="24"/>
        </w:rPr>
        <w:br w:type="page"/>
      </w:r>
      <w:bookmarkStart w:id="152" w:name="_Toc479184129"/>
      <w:bookmarkStart w:id="153" w:name="_Toc18559"/>
      <w:bookmarkStart w:id="154" w:name="_Toc1079"/>
      <w:bookmarkStart w:id="155" w:name="_Toc9973"/>
      <w:r>
        <w:rPr>
          <w:rFonts w:hint="eastAsia" w:asciiTheme="minorEastAsia" w:hAnsiTheme="minorEastAsia" w:eastAsiaTheme="minorEastAsia" w:cstheme="minorEastAsia"/>
          <w:b/>
          <w:bCs/>
          <w:szCs w:val="21"/>
        </w:rPr>
        <w:t>五、</w:t>
      </w:r>
      <w:bookmarkEnd w:id="148"/>
      <w:bookmarkEnd w:id="149"/>
      <w:bookmarkEnd w:id="152"/>
      <w:bookmarkEnd w:id="153"/>
      <w:bookmarkEnd w:id="154"/>
      <w:r>
        <w:rPr>
          <w:rFonts w:hint="eastAsia" w:asciiTheme="minorEastAsia" w:hAnsiTheme="minorEastAsia" w:eastAsiaTheme="minorEastAsia" w:cstheme="minorEastAsia"/>
          <w:b/>
          <w:bCs/>
          <w:szCs w:val="21"/>
        </w:rPr>
        <w:t>报价费用构成表（如有）</w:t>
      </w:r>
      <w:bookmarkEnd w:id="155"/>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630"/>
        <w:gridCol w:w="936"/>
        <w:gridCol w:w="1118"/>
        <w:gridCol w:w="1248"/>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3630"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936"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11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w:t>
            </w:r>
          </w:p>
        </w:tc>
        <w:tc>
          <w:tcPr>
            <w:tcW w:w="124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w:t>
            </w:r>
          </w:p>
        </w:tc>
        <w:tc>
          <w:tcPr>
            <w:tcW w:w="1109"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3630"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31" w:type="dxa"/>
            <w:gridSpan w:val="4"/>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42"/>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所有价格按照“供应商须知”要求执行，精确到个数位。</w:t>
      </w:r>
    </w:p>
    <w:p>
      <w:pPr>
        <w:numPr>
          <w:ilvl w:val="0"/>
          <w:numId w:val="42"/>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42"/>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如果不提供详细的报价费用构成可能将被视为没有实质性响应磋商文件。</w:t>
      </w:r>
    </w:p>
    <w:p>
      <w:pPr>
        <w:adjustRightInd w:val="0"/>
        <w:snapToGrid w:val="0"/>
        <w:spacing w:line="360" w:lineRule="auto"/>
        <w:ind w:left="-88" w:leftChars="-42"/>
        <w:rPr>
          <w:rFonts w:asciiTheme="minorEastAsia" w:hAnsiTheme="minorEastAsia" w:eastAsiaTheme="minorEastAsia" w:cstheme="minorEastAsia"/>
          <w:b/>
          <w:bCs/>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spacing w:line="360" w:lineRule="auto"/>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6" w:name="_Toc28656"/>
      <w:bookmarkStart w:id="157" w:name="_Toc479184130"/>
      <w:bookmarkStart w:id="158" w:name="_Toc26825"/>
      <w:bookmarkStart w:id="159" w:name="_Toc4452"/>
      <w:r>
        <w:rPr>
          <w:rFonts w:hint="eastAsia" w:asciiTheme="minorEastAsia" w:hAnsiTheme="minorEastAsia" w:eastAsiaTheme="minorEastAsia" w:cstheme="minorEastAsia"/>
          <w:b/>
          <w:bCs/>
          <w:szCs w:val="21"/>
        </w:rPr>
        <w:t>六、耗材清单</w:t>
      </w:r>
      <w:bookmarkEnd w:id="156"/>
      <w:bookmarkEnd w:id="157"/>
      <w:bookmarkEnd w:id="158"/>
      <w:r>
        <w:rPr>
          <w:rFonts w:hint="eastAsia" w:asciiTheme="minorEastAsia" w:hAnsiTheme="minorEastAsia" w:eastAsiaTheme="minorEastAsia" w:cstheme="minorEastAsia"/>
          <w:b/>
          <w:bCs/>
          <w:szCs w:val="21"/>
        </w:rPr>
        <w:t>（如有）</w:t>
      </w:r>
      <w:bookmarkEnd w:id="159"/>
    </w:p>
    <w:p>
      <w:pPr>
        <w:adjustRightInd w:val="0"/>
        <w:snapToGrid w:val="0"/>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tabs>
          <w:tab w:val="left" w:pos="540"/>
        </w:tabs>
        <w:autoSpaceDE w:val="0"/>
        <w:autoSpaceDN w:val="0"/>
        <w:adjustRightInd w:val="0"/>
        <w:spacing w:line="360" w:lineRule="auto"/>
        <w:jc w:val="left"/>
        <w:rPr>
          <w:rFonts w:asciiTheme="minorEastAsia" w:hAnsiTheme="minorEastAsia" w:eastAsiaTheme="minorEastAsia" w:cstheme="minorEastAsia"/>
          <w:szCs w:val="21"/>
        </w:rPr>
      </w:pPr>
    </w:p>
    <w:p/>
    <w:p>
      <w:pPr>
        <w:tabs>
          <w:tab w:val="left" w:pos="540"/>
        </w:tabs>
        <w:autoSpaceDE w:val="0"/>
        <w:autoSpaceDN w:val="0"/>
        <w:adjustRightInd w:val="0"/>
        <w:spacing w:line="360" w:lineRule="auto"/>
        <w:jc w:val="lef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0" w:name="_Toc7535"/>
      <w:bookmarkStart w:id="161" w:name="_Toc479184131"/>
      <w:bookmarkStart w:id="162" w:name="_Toc32726"/>
      <w:bookmarkStart w:id="163" w:name="_Toc25173"/>
      <w:r>
        <w:rPr>
          <w:rFonts w:hint="eastAsia" w:asciiTheme="minorEastAsia" w:hAnsiTheme="minorEastAsia" w:eastAsiaTheme="minorEastAsia" w:cstheme="minorEastAsia"/>
          <w:b/>
          <w:bCs/>
          <w:szCs w:val="21"/>
        </w:rPr>
        <w:t>七、拟投入设备/备件、工具情况</w:t>
      </w:r>
      <w:bookmarkEnd w:id="160"/>
      <w:bookmarkEnd w:id="161"/>
      <w:bookmarkEnd w:id="162"/>
      <w:r>
        <w:rPr>
          <w:rFonts w:hint="eastAsia" w:asciiTheme="minorEastAsia" w:hAnsiTheme="minorEastAsia" w:eastAsiaTheme="minorEastAsia" w:cstheme="minorEastAsia"/>
          <w:b/>
          <w:bCs/>
          <w:szCs w:val="21"/>
        </w:rPr>
        <w:t>（如有）</w:t>
      </w:r>
      <w:bookmarkEnd w:id="163"/>
    </w:p>
    <w:p>
      <w:pPr>
        <w:spacing w:line="360" w:lineRule="auto"/>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设备</w:t>
            </w:r>
            <w:r>
              <w:rPr>
                <w:rFonts w:hint="eastAsia" w:asciiTheme="minorEastAsia" w:hAnsiTheme="minorEastAsia" w:eastAsiaTheme="minorEastAsia" w:cstheme="minorEastAsia"/>
                <w:b/>
                <w:bCs/>
                <w:szCs w:val="21"/>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4" w:name="_Toc27053"/>
      <w:bookmarkStart w:id="165" w:name="_Toc450827818"/>
      <w:bookmarkStart w:id="166" w:name="_Toc479184132"/>
      <w:bookmarkStart w:id="167" w:name="_Toc10449"/>
      <w:bookmarkStart w:id="168" w:name="_Toc32757"/>
      <w:r>
        <w:rPr>
          <w:rFonts w:hint="eastAsia" w:asciiTheme="minorEastAsia" w:hAnsiTheme="minorEastAsia" w:eastAsiaTheme="minorEastAsia" w:cstheme="minorEastAsia"/>
          <w:b/>
          <w:bCs/>
          <w:szCs w:val="21"/>
        </w:rPr>
        <w:t>八、缴纳保证金的银行凭证</w:t>
      </w:r>
      <w:bookmarkEnd w:id="164"/>
      <w:bookmarkEnd w:id="165"/>
      <w:bookmarkEnd w:id="166"/>
      <w:bookmarkEnd w:id="167"/>
      <w:r>
        <w:rPr>
          <w:rFonts w:hint="eastAsia" w:asciiTheme="minorEastAsia" w:hAnsiTheme="minorEastAsia" w:eastAsiaTheme="minorEastAsia" w:cstheme="minorEastAsia"/>
          <w:b/>
          <w:bCs/>
          <w:szCs w:val="21"/>
        </w:rPr>
        <w:t>（如有）</w:t>
      </w:r>
      <w:bookmarkEnd w:id="168"/>
    </w:p>
    <w:p>
      <w:pPr>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间：年月日</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c>
      </w:tr>
    </w:tbl>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50"/>
    <w:bookmarkEnd w:id="151"/>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69" w:name="_Toc432149012"/>
      <w:bookmarkStart w:id="170" w:name="_Toc29224"/>
      <w:bookmarkStart w:id="171" w:name="_Toc28200"/>
      <w:bookmarkStart w:id="172" w:name="_Toc422466736"/>
      <w:bookmarkStart w:id="173" w:name="_Toc479184133"/>
      <w:bookmarkStart w:id="174" w:name="_Toc1591"/>
      <w:r>
        <w:rPr>
          <w:rFonts w:hint="eastAsia" w:asciiTheme="minorEastAsia" w:hAnsiTheme="minorEastAsia" w:eastAsiaTheme="minorEastAsia" w:cstheme="minorEastAsia"/>
          <w:b/>
          <w:bCs/>
          <w:szCs w:val="21"/>
        </w:rPr>
        <w:t>九、偏离说明表</w:t>
      </w:r>
      <w:bookmarkEnd w:id="169"/>
      <w:bookmarkEnd w:id="170"/>
      <w:bookmarkEnd w:id="171"/>
      <w:bookmarkEnd w:id="172"/>
      <w:bookmarkEnd w:id="173"/>
      <w:bookmarkEnd w:id="174"/>
    </w:p>
    <w:p>
      <w:pPr>
        <w:adjustRightInd w:val="0"/>
        <w:snapToGrid w:val="0"/>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color="auto" w:fill="D7D7D7" w:themeFill="background1" w:themeFillShade="D8"/>
              </w:rPr>
              <w:t>符合性要求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3"/>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3"/>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rPr>
          <w:rFonts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75" w:name="_Toc362935521"/>
      <w:bookmarkStart w:id="176" w:name="_Toc432149013"/>
      <w:bookmarkStart w:id="177" w:name="_Toc32060"/>
      <w:bookmarkStart w:id="178" w:name="_Toc479184134"/>
      <w:bookmarkStart w:id="179" w:name="_Toc28283"/>
      <w:bookmarkStart w:id="180" w:name="_Toc1286"/>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bCs/>
          <w:szCs w:val="21"/>
        </w:rPr>
        <w:t>类似业绩一览表</w:t>
      </w:r>
      <w:bookmarkEnd w:id="175"/>
      <w:bookmarkEnd w:id="176"/>
      <w:bookmarkEnd w:id="177"/>
      <w:bookmarkEnd w:id="178"/>
      <w:bookmarkEnd w:id="179"/>
      <w:r>
        <w:rPr>
          <w:rFonts w:hint="eastAsia" w:asciiTheme="minorEastAsia" w:hAnsiTheme="minorEastAsia" w:eastAsiaTheme="minorEastAsia" w:cstheme="minorEastAsia"/>
          <w:b/>
          <w:bCs/>
          <w:szCs w:val="21"/>
        </w:rPr>
        <w:br w:type="textWrapping"/>
      </w:r>
      <w:bookmarkEnd w:id="180"/>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22"/>
        <w:gridCol w:w="824"/>
        <w:gridCol w:w="1237"/>
        <w:gridCol w:w="971"/>
        <w:gridCol w:w="912"/>
        <w:gridCol w:w="1345"/>
        <w:gridCol w:w="1192"/>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序号</w:t>
            </w:r>
          </w:p>
        </w:tc>
        <w:tc>
          <w:tcPr>
            <w:tcW w:w="142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w:t>
            </w:r>
          </w:p>
        </w:tc>
        <w:tc>
          <w:tcPr>
            <w:tcW w:w="82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123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971"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91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134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19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中标公告网页链接（如有）</w:t>
            </w:r>
          </w:p>
        </w:tc>
        <w:tc>
          <w:tcPr>
            <w:tcW w:w="646"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1.附磋商供应商承担类似项目的情况填入本表中，提供业绩合同等评分标准要求的相关证明材料。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2.公开竞标成交的类似业绩，还应提供成交/中标公告网页链接。</w:t>
      </w:r>
    </w:p>
    <w:p>
      <w:pPr>
        <w:spacing w:line="360" w:lineRule="auto"/>
        <w:rPr>
          <w:rFonts w:asciiTheme="minorEastAsia" w:hAnsiTheme="minorEastAsia" w:eastAsiaTheme="minorEastAsia" w:cstheme="minorEastAsia"/>
          <w:szCs w:val="21"/>
        </w:rPr>
      </w:pPr>
      <w:bookmarkStart w:id="181" w:name="_Toc454806053"/>
      <w:bookmarkStart w:id="182" w:name="_Toc460258118"/>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3" w:name="_Toc4834"/>
      <w:bookmarkStart w:id="184" w:name="_Toc479184135"/>
      <w:bookmarkStart w:id="185" w:name="_Toc30455"/>
      <w:bookmarkStart w:id="186" w:name="_Toc28663"/>
      <w:r>
        <w:rPr>
          <w:rFonts w:hint="eastAsia" w:asciiTheme="minorEastAsia" w:hAnsiTheme="minorEastAsia" w:eastAsiaTheme="minorEastAsia" w:cstheme="minorEastAsia"/>
          <w:b/>
          <w:bCs/>
          <w:szCs w:val="21"/>
        </w:rPr>
        <w:t>十一、拟投入项目组人员一览表</w:t>
      </w:r>
      <w:bookmarkEnd w:id="181"/>
      <w:bookmarkEnd w:id="182"/>
      <w:bookmarkEnd w:id="183"/>
      <w:bookmarkEnd w:id="184"/>
      <w:bookmarkEnd w:id="185"/>
      <w:bookmarkEnd w:id="186"/>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在本项目中担当职位</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学历</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职称</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说明：附拟投入项目组人员身份证、劳动合同、社保证明、</w:t>
      </w:r>
      <w:r>
        <w:rPr>
          <w:rFonts w:hint="eastAsia"/>
        </w:rPr>
        <w:t>职称证书、学历证书</w:t>
      </w:r>
      <w:r>
        <w:rPr>
          <w:rFonts w:hint="eastAsia" w:asciiTheme="minorEastAsia" w:hAnsiTheme="minorEastAsia" w:eastAsiaTheme="minorEastAsia" w:cstheme="minorEastAsia"/>
          <w:szCs w:val="21"/>
        </w:rPr>
        <w:t>等评分标准要求的其他相关证明材料。无证明材料的内容评审时将不予考虑。</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87" w:name="_Toc25782"/>
      <w:bookmarkStart w:id="188" w:name="_Toc26838"/>
      <w:bookmarkStart w:id="189" w:name="_Toc10429"/>
      <w:bookmarkStart w:id="190" w:name="_Toc479184136"/>
      <w:bookmarkStart w:id="191" w:name="_Toc422466737"/>
      <w:bookmarkStart w:id="192" w:name="_Toc432149014"/>
      <w:r>
        <w:rPr>
          <w:rFonts w:hint="eastAsia" w:asciiTheme="minorEastAsia" w:hAnsiTheme="minorEastAsia" w:eastAsiaTheme="minorEastAsia" w:cstheme="minorEastAsia"/>
          <w:b/>
          <w:bCs/>
          <w:kern w:val="0"/>
          <w:szCs w:val="21"/>
        </w:rPr>
        <w:t>十二、</w:t>
      </w:r>
      <w:r>
        <w:rPr>
          <w:rFonts w:hint="eastAsia" w:asciiTheme="minorEastAsia" w:hAnsiTheme="minorEastAsia" w:eastAsiaTheme="minorEastAsia" w:cstheme="minorEastAsia"/>
          <w:b/>
          <w:bCs/>
          <w:szCs w:val="21"/>
        </w:rPr>
        <w:t>供应商的资格声明</w:t>
      </w:r>
      <w:bookmarkEnd w:id="187"/>
      <w:bookmarkEnd w:id="188"/>
      <w:bookmarkEnd w:id="189"/>
      <w:bookmarkEnd w:id="190"/>
      <w:bookmarkEnd w:id="191"/>
      <w:bookmarkEnd w:id="192"/>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 邮箱：</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 传真：</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   净值：</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p>
        </w:tc>
        <w:tc>
          <w:tcPr>
            <w:tcW w:w="1737" w:type="dxa"/>
            <w:vAlign w:val="center"/>
          </w:tcPr>
          <w:p>
            <w:pPr>
              <w:spacing w:line="360" w:lineRule="auto"/>
              <w:jc w:val="center"/>
              <w:rPr>
                <w:rFonts w:asciiTheme="minorEastAsia" w:hAnsiTheme="minorEastAsia" w:eastAsiaTheme="minorEastAsia" w:cstheme="minorEastAsia"/>
                <w:szCs w:val="21"/>
              </w:rPr>
            </w:pPr>
          </w:p>
        </w:tc>
        <w:tc>
          <w:tcPr>
            <w:tcW w:w="2269" w:type="dxa"/>
            <w:vAlign w:val="center"/>
          </w:tcPr>
          <w:p>
            <w:pPr>
              <w:spacing w:line="360" w:lineRule="auto"/>
              <w:jc w:val="center"/>
              <w:rPr>
                <w:rFonts w:asciiTheme="minorEastAsia" w:hAnsiTheme="minorEastAsia" w:eastAsiaTheme="minorEastAsia" w:cstheme="minorEastAsia"/>
                <w:szCs w:val="21"/>
              </w:rPr>
            </w:pPr>
          </w:p>
        </w:tc>
        <w:tc>
          <w:tcPr>
            <w:tcW w:w="2268" w:type="dxa"/>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p>
        </w:tc>
        <w:tc>
          <w:tcPr>
            <w:tcW w:w="1737" w:type="dxa"/>
            <w:vAlign w:val="center"/>
          </w:tcPr>
          <w:p>
            <w:pPr>
              <w:spacing w:line="360" w:lineRule="auto"/>
              <w:jc w:val="center"/>
              <w:rPr>
                <w:rFonts w:asciiTheme="minorEastAsia" w:hAnsiTheme="minorEastAsia" w:eastAsiaTheme="minorEastAsia" w:cstheme="minorEastAsia"/>
                <w:szCs w:val="21"/>
              </w:rPr>
            </w:pPr>
          </w:p>
        </w:tc>
        <w:tc>
          <w:tcPr>
            <w:tcW w:w="2269" w:type="dxa"/>
            <w:vAlign w:val="center"/>
          </w:tcPr>
          <w:p>
            <w:pPr>
              <w:spacing w:line="360" w:lineRule="auto"/>
              <w:jc w:val="center"/>
              <w:rPr>
                <w:rFonts w:asciiTheme="minorEastAsia" w:hAnsiTheme="minorEastAsia" w:eastAsiaTheme="minorEastAsia" w:cstheme="minorEastAsia"/>
                <w:szCs w:val="21"/>
              </w:rPr>
            </w:pPr>
          </w:p>
        </w:tc>
        <w:tc>
          <w:tcPr>
            <w:tcW w:w="2268" w:type="dxa"/>
            <w:vAlign w:val="center"/>
          </w:tcPr>
          <w:p>
            <w:pPr>
              <w:spacing w:line="360" w:lineRule="auto"/>
              <w:jc w:val="center"/>
              <w:rPr>
                <w:rFonts w:asciiTheme="minorEastAsia" w:hAnsiTheme="minorEastAsia" w:eastAsiaTheme="minorEastAsia" w:cstheme="minorEastAsia"/>
                <w:szCs w:val="21"/>
              </w:rPr>
            </w:pPr>
          </w:p>
        </w:tc>
      </w:tr>
    </w:tbl>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3" w:name="_Toc17717"/>
      <w:bookmarkStart w:id="194" w:name="_Toc17331"/>
      <w:bookmarkStart w:id="195" w:name="_Toc479184137"/>
      <w:bookmarkStart w:id="196" w:name="_Toc259028731"/>
      <w:bookmarkStart w:id="197" w:name="_Toc17527"/>
      <w:bookmarkStart w:id="198" w:name="_Toc450827823"/>
      <w:r>
        <w:rPr>
          <w:rFonts w:hint="eastAsia" w:asciiTheme="minorEastAsia" w:hAnsiTheme="minorEastAsia" w:eastAsiaTheme="minorEastAsia" w:cstheme="minorEastAsia"/>
          <w:b/>
          <w:bCs/>
          <w:kern w:val="0"/>
          <w:szCs w:val="21"/>
        </w:rPr>
        <w:t>十三、</w:t>
      </w:r>
      <w:r>
        <w:rPr>
          <w:rFonts w:hint="eastAsia" w:asciiTheme="minorEastAsia" w:hAnsiTheme="minorEastAsia" w:eastAsiaTheme="minorEastAsia" w:cstheme="minorEastAsia"/>
          <w:b/>
          <w:bCs/>
          <w:szCs w:val="21"/>
        </w:rPr>
        <w:t>资格证明文件</w:t>
      </w:r>
      <w:bookmarkEnd w:id="193"/>
      <w:bookmarkEnd w:id="194"/>
      <w:bookmarkEnd w:id="195"/>
      <w:bookmarkEnd w:id="196"/>
      <w:bookmarkEnd w:id="197"/>
      <w:bookmarkEnd w:id="198"/>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提供第一章第二款资格要求的资格证明文件的真彩扫描件。</w:t>
      </w:r>
    </w:p>
    <w:p>
      <w:pPr>
        <w:rPr>
          <w:rFonts w:asciiTheme="minorEastAsia" w:hAnsiTheme="minorEastAsia" w:eastAsiaTheme="minorEastAsia" w:cstheme="minorEastAsia"/>
          <w:szCs w:val="21"/>
        </w:rPr>
      </w:pPr>
    </w:p>
    <w:p>
      <w:pPr>
        <w:adjustRightInd w:val="0"/>
        <w:snapToGrid w:val="0"/>
        <w:spacing w:line="360" w:lineRule="auto"/>
        <w:ind w:left="-88" w:leftChars="-42"/>
        <w:jc w:val="center"/>
        <w:rPr>
          <w:rFonts w:asciiTheme="minorEastAsia" w:hAnsiTheme="minorEastAsia" w:eastAsiaTheme="minorEastAsia" w:cstheme="minorEastAsia"/>
          <w:szCs w:val="21"/>
        </w:rPr>
      </w:pPr>
    </w:p>
    <w:p>
      <w:pPr>
        <w:spacing w:line="360" w:lineRule="auto"/>
        <w:ind w:left="168" w:leftChars="8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199" w:name="_Toc364868916"/>
      <w:bookmarkStart w:id="200" w:name="_Toc427239751"/>
      <w:bookmarkStart w:id="201" w:name="_Toc32187"/>
      <w:bookmarkStart w:id="202" w:name="_Toc358447587"/>
      <w:bookmarkStart w:id="203" w:name="_Toc5793"/>
      <w:bookmarkStart w:id="204" w:name="_Toc290207179"/>
      <w:bookmarkStart w:id="205" w:name="_Toc18555"/>
      <w:r>
        <w:rPr>
          <w:rFonts w:hint="eastAsia" w:asciiTheme="minorEastAsia" w:hAnsiTheme="minorEastAsia" w:eastAsiaTheme="minorEastAsia" w:cstheme="minorEastAsia"/>
          <w:b/>
          <w:bCs/>
          <w:kern w:val="0"/>
          <w:szCs w:val="21"/>
        </w:rPr>
        <w:t>十四、</w:t>
      </w:r>
      <w:bookmarkEnd w:id="199"/>
      <w:bookmarkEnd w:id="200"/>
      <w:bookmarkEnd w:id="201"/>
      <w:bookmarkEnd w:id="202"/>
      <w:bookmarkEnd w:id="203"/>
      <w:bookmarkEnd w:id="204"/>
      <w:bookmarkEnd w:id="205"/>
      <w:bookmarkStart w:id="206" w:name="_Toc479184138"/>
      <w:bookmarkStart w:id="207" w:name="_Toc27229"/>
      <w:bookmarkStart w:id="208" w:name="_Toc29785"/>
      <w:bookmarkStart w:id="209" w:name="_Toc460258123"/>
      <w:r>
        <w:rPr>
          <w:rFonts w:hint="eastAsia" w:asciiTheme="minorEastAsia" w:hAnsiTheme="minorEastAsia" w:eastAsiaTheme="minorEastAsia" w:cstheme="minorEastAsia"/>
          <w:b/>
        </w:rPr>
        <w:t>报价技术文件</w:t>
      </w:r>
      <w:bookmarkEnd w:id="206"/>
      <w:bookmarkEnd w:id="207"/>
      <w:bookmarkEnd w:id="208"/>
      <w:bookmarkEnd w:id="209"/>
    </w:p>
    <w:p>
      <w:pPr>
        <w:rPr>
          <w:rFonts w:asciiTheme="minorEastAsia" w:hAnsiTheme="minorEastAsia" w:eastAsiaTheme="minorEastAsia" w:cstheme="minorEastAsia"/>
          <w:szCs w:val="21"/>
        </w:rPr>
      </w:pPr>
    </w:p>
    <w:p>
      <w:pPr>
        <w:pStyle w:val="97"/>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以下内容仅供参考，格式自拟。</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4"/>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10" w:name="_Toc8098"/>
      <w:bookmarkStart w:id="211" w:name="_Toc356836516"/>
      <w:bookmarkStart w:id="212" w:name="_Toc12119"/>
      <w:bookmarkStart w:id="213" w:name="_Toc22465"/>
      <w:bookmarkStart w:id="214" w:name="_Toc355802499"/>
      <w:bookmarkStart w:id="215" w:name="_Toc2101"/>
      <w:bookmarkStart w:id="216" w:name="_Toc422466739"/>
      <w:bookmarkStart w:id="217" w:name="_Toc479184140"/>
      <w:bookmarkStart w:id="218" w:name="_Toc432149016"/>
      <w:bookmarkStart w:id="219" w:name="_Toc2355"/>
      <w:r>
        <w:rPr>
          <w:rFonts w:hint="eastAsia" w:asciiTheme="minorEastAsia" w:hAnsiTheme="minorEastAsia" w:eastAsiaTheme="minorEastAsia" w:cstheme="minorEastAsia"/>
          <w:b/>
        </w:rPr>
        <w:t>十五、中小企业声明函</w:t>
      </w:r>
      <w:bookmarkEnd w:id="210"/>
      <w:bookmarkEnd w:id="211"/>
      <w:bookmarkEnd w:id="212"/>
      <w:bookmarkEnd w:id="213"/>
      <w:bookmarkEnd w:id="214"/>
      <w:bookmarkEnd w:id="215"/>
      <w:bookmarkEnd w:id="216"/>
      <w:bookmarkEnd w:id="217"/>
      <w:bookmarkEnd w:id="218"/>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19"/>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20" w:name="OLE_LINK5"/>
      <w:r>
        <w:rPr>
          <w:rFonts w:hint="eastAsia" w:asciiTheme="minorEastAsia" w:hAnsiTheme="minorEastAsia" w:eastAsiaTheme="minorEastAsia" w:cstheme="minorEastAsia"/>
          <w:spacing w:val="6"/>
          <w:szCs w:val="21"/>
        </w:rPr>
        <w:t>______（请填写：中型、小型、微型）企业</w:t>
      </w:r>
      <w:bookmarkEnd w:id="220"/>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45"/>
        </w:numPr>
        <w:spacing w:line="360" w:lineRule="auto"/>
        <w:ind w:firstLine="446" w:firstLineChars="200"/>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pacing w:val="6"/>
          <w:szCs w:val="21"/>
        </w:rPr>
        <w:t>提供供应商企业规模、年产值、员工数量及制造商企业规模、年产值、员工数量等数据资料。</w:t>
      </w:r>
    </w:p>
    <w:p>
      <w:pPr>
        <w:numPr>
          <w:ilvl w:val="0"/>
          <w:numId w:val="45"/>
        </w:numPr>
        <w:spacing w:line="360" w:lineRule="auto"/>
        <w:ind w:firstLine="446" w:firstLineChars="200"/>
      </w:pPr>
      <w:r>
        <w:rPr>
          <w:rFonts w:hint="eastAsia" w:asciiTheme="minorEastAsia" w:hAnsiTheme="minorEastAsia" w:eastAsiaTheme="minorEastAsia" w:cstheme="minorEastAsia"/>
          <w:b/>
          <w:bCs/>
          <w:spacing w:val="6"/>
          <w:szCs w:val="21"/>
        </w:rPr>
        <w:t>供应商非所投货物制造商的，还应当提供货物制造商的中小企业声明函，否则在评审时不予考虑。</w:t>
      </w:r>
    </w:p>
    <w:p>
      <w:pPr>
        <w:spacing w:line="360" w:lineRule="auto"/>
        <w:ind w:firstLine="44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备注：未提供证明材料或材料不全的不予折扣。</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spacing w:line="360" w:lineRule="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spacing w:line="360" w:lineRule="auto"/>
        <w:ind w:firstLine="444" w:firstLineChars="200"/>
        <w:rPr>
          <w:rFonts w:asciiTheme="minorEastAsia" w:hAnsiTheme="minorEastAsia" w:eastAsiaTheme="minorEastAsia" w:cstheme="minorEastAsia"/>
          <w:spacing w:val="6"/>
          <w:szCs w:val="21"/>
        </w:rPr>
      </w:pPr>
    </w:p>
    <w:p>
      <w:pPr>
        <w:autoSpaceDE w:val="0"/>
        <w:autoSpaceDN w:val="0"/>
        <w:adjustRightInd w:val="0"/>
        <w:jc w:val="right"/>
        <w:rPr>
          <w:rFonts w:asciiTheme="minorEastAsia" w:hAnsiTheme="minorEastAsia" w:eastAsiaTheme="minorEastAsia" w:cstheme="minorEastAsia"/>
          <w:szCs w:val="21"/>
        </w:rPr>
      </w:pPr>
    </w:p>
    <w:bookmarkEnd w:id="121"/>
    <w:bookmarkEnd w:id="122"/>
    <w:bookmarkEnd w:id="123"/>
    <w:bookmarkEnd w:id="124"/>
    <w:p>
      <w:pPr>
        <w:adjustRightInd w:val="0"/>
        <w:snapToGrid w:val="0"/>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21" w:name="_Toc26555"/>
      <w:bookmarkStart w:id="222" w:name="_Toc479184141"/>
      <w:bookmarkStart w:id="223" w:name="_Toc4320"/>
      <w:bookmarkStart w:id="224" w:name="_Toc476839034"/>
      <w:bookmarkStart w:id="225" w:name="_Toc7229"/>
      <w:bookmarkStart w:id="226" w:name="_Toc30406"/>
      <w:r>
        <w:rPr>
          <w:rFonts w:hint="eastAsia" w:asciiTheme="minorEastAsia" w:hAnsiTheme="minorEastAsia" w:eastAsiaTheme="minorEastAsia" w:cstheme="minorEastAsia"/>
          <w:b/>
          <w:bCs/>
          <w:spacing w:val="6"/>
          <w:szCs w:val="21"/>
        </w:rPr>
        <w:t>十六、</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21"/>
    </w:p>
    <w:p>
      <w:pPr>
        <w:adjustRightInd w:val="0"/>
        <w:snapToGrid w:val="0"/>
        <w:jc w:val="center"/>
        <w:rPr>
          <w:rFonts w:asciiTheme="minorEastAsia" w:hAnsiTheme="minorEastAsia" w:eastAsiaTheme="minorEastAsia" w:cstheme="minorEastAsia"/>
          <w:spacing w:val="6"/>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adjustRightInd w:val="0"/>
        <w:snapToGrid w:val="0"/>
        <w:rPr>
          <w:rFonts w:asciiTheme="minorEastAsia" w:hAnsiTheme="minorEastAsia" w:eastAsiaTheme="minorEastAsia" w:cstheme="minorEastAsia"/>
          <w:spacing w:val="6"/>
          <w:szCs w:val="21"/>
        </w:rPr>
      </w:pPr>
    </w:p>
    <w:p>
      <w:pPr>
        <w:adjustRightInd w:val="0"/>
        <w:snapToGrid w:val="0"/>
        <w:rPr>
          <w:rFonts w:asciiTheme="minorEastAsia" w:hAnsiTheme="minorEastAsia" w:eastAsiaTheme="minorEastAsia" w:cstheme="minorEastAsia"/>
          <w:spacing w:val="6"/>
          <w:szCs w:val="21"/>
        </w:rPr>
      </w:pPr>
    </w:p>
    <w:p>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adjustRightInd w:val="0"/>
        <w:snapToGrid w:val="0"/>
        <w:jc w:val="center"/>
        <w:outlineLvl w:val="1"/>
        <w:rPr>
          <w:rFonts w:asciiTheme="minorEastAsia" w:hAnsiTheme="minorEastAsia" w:eastAsiaTheme="minorEastAsia" w:cstheme="minorEastAsia"/>
          <w:b/>
          <w:lang w:val="zh-CN"/>
        </w:rPr>
      </w:pPr>
      <w:bookmarkStart w:id="227" w:name="_Toc31691"/>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rPr>
        <w:t>十七、</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27"/>
    </w:p>
    <w:p>
      <w:pPr>
        <w:pStyle w:val="14"/>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（供应商）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4"/>
        <w:spacing w:line="360" w:lineRule="auto"/>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1、供应商所投货物为自己制造的，也应按本声明函格式填写。</w:t>
      </w:r>
    </w:p>
    <w:p>
      <w:pPr>
        <w:pStyle w:val="14"/>
        <w:spacing w:line="360" w:lineRule="auto"/>
        <w:ind w:left="1033" w:leftChars="342" w:hanging="315" w:hangingChars="150"/>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时                 间：           年          月          日</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br w:type="textWrapping"/>
      </w:r>
      <w:r>
        <w:rPr>
          <w:rFonts w:hint="eastAsia" w:asciiTheme="minorEastAsia" w:hAnsiTheme="minorEastAsia" w:eastAsiaTheme="minorEastAsia" w:cstheme="minorEastAsia"/>
          <w:szCs w:val="21"/>
          <w:lang w:val="zh-CN"/>
        </w:rPr>
        <w:t>备注：享受政府采购支持政策的残疾人福利性单位应当同时满足以下条件：</w:t>
      </w:r>
    </w:p>
    <w:p>
      <w:pPr>
        <w:numPr>
          <w:ilvl w:val="0"/>
          <w:numId w:val="46"/>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安置的残疾人占本单位在职职工人数的比例不低于 25%（含 25%），并且安置的残疾人人数不少于 10 人（含 10 人）；</w:t>
      </w:r>
    </w:p>
    <w:p>
      <w:pPr>
        <w:numPr>
          <w:ilvl w:val="0"/>
          <w:numId w:val="46"/>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依法与安置的每位残疾人签订了一年以上（含一年）的劳动合同或服务协议；</w:t>
      </w:r>
    </w:p>
    <w:p>
      <w:pPr>
        <w:numPr>
          <w:ilvl w:val="0"/>
          <w:numId w:val="46"/>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为安置的每位残疾人按月足额缴纳了基本养老保险、基本医疗保险、失业保险、工伤保险和生育保险等社会保险费；</w:t>
      </w:r>
    </w:p>
    <w:p>
      <w:pPr>
        <w:numPr>
          <w:ilvl w:val="0"/>
          <w:numId w:val="46"/>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通过银行等金融机构向安置的每位残疾人，按月支付了不低于单位所在区县适用的经省级人民政府批准的月最低工资标准的工资；</w:t>
      </w:r>
    </w:p>
    <w:p>
      <w:pPr>
        <w:numPr>
          <w:ilvl w:val="0"/>
          <w:numId w:val="46"/>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spacing w:before="100" w:beforeAutospacing="1" w:after="100" w:afterAutospacing="1" w:line="360" w:lineRule="auto"/>
        <w:jc w:val="center"/>
        <w:outlineLvl w:val="1"/>
        <w:rPr>
          <w:rFonts w:asciiTheme="minorEastAsia" w:hAnsiTheme="minorEastAsia" w:eastAsiaTheme="minorEastAsia" w:cstheme="minorEastAsia"/>
          <w:bCs/>
          <w:szCs w:val="21"/>
          <w:u w:val="single"/>
        </w:rPr>
      </w:pPr>
      <w:bookmarkStart w:id="228" w:name="_Toc25359"/>
      <w:r>
        <w:rPr>
          <w:rFonts w:hint="eastAsia" w:asciiTheme="minorEastAsia" w:hAnsiTheme="minorEastAsia" w:eastAsiaTheme="minorEastAsia" w:cstheme="minorEastAsia"/>
          <w:b/>
        </w:rPr>
        <w:t>十八、节能环保产品证明材料（若符合）</w:t>
      </w:r>
      <w:bookmarkEnd w:id="228"/>
    </w:p>
    <w:p>
      <w:pPr>
        <w:adjustRightInd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（1）节能产品：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before="100" w:beforeAutospacing="1" w:after="100" w:afterAutospacing="1"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rPr>
        <w:t>注：供应商所提供产品如为节能环保产品，则应按本磋商文件第四章“政策支持”提供相关证明材料，并将节能、环保产品分别列入上表中，未填写本表或未提供有效认证证书的不给予价格扣除。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spacing w:before="100" w:beforeAutospacing="1" w:after="100" w:afterAutospacing="1"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zh-CN"/>
        </w:rPr>
        <w:t>时                 间：           年          月          日</w:t>
      </w:r>
    </w:p>
    <w:p>
      <w:pPr>
        <w:spacing w:before="100" w:beforeAutospacing="1" w:after="100" w:afterAutospacing="1"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jc w:val="center"/>
        <w:outlineLvl w:val="1"/>
        <w:rPr>
          <w:rFonts w:asciiTheme="minorEastAsia" w:hAnsiTheme="minorEastAsia" w:eastAsiaTheme="minorEastAsia" w:cstheme="minorEastAsia"/>
          <w:b/>
        </w:rPr>
      </w:pPr>
      <w:bookmarkStart w:id="229" w:name="_Toc27548"/>
      <w:r>
        <w:rPr>
          <w:rFonts w:hint="eastAsia" w:asciiTheme="minorEastAsia" w:hAnsiTheme="minorEastAsia" w:eastAsiaTheme="minorEastAsia" w:cstheme="minorEastAsia"/>
          <w:b/>
          <w:bCs/>
          <w:spacing w:val="6"/>
          <w:szCs w:val="21"/>
        </w:rPr>
        <w:t>十九、</w:t>
      </w:r>
      <w:r>
        <w:rPr>
          <w:rFonts w:hint="eastAsia" w:asciiTheme="minorEastAsia" w:hAnsiTheme="minorEastAsia" w:eastAsiaTheme="minorEastAsia" w:cstheme="minorEastAsia"/>
          <w:b/>
        </w:rPr>
        <w:t>无重大违法记录声明</w:t>
      </w:r>
      <w:bookmarkEnd w:id="222"/>
      <w:bookmarkEnd w:id="223"/>
      <w:bookmarkEnd w:id="224"/>
      <w:bookmarkEnd w:id="225"/>
      <w:bookmarkEnd w:id="226"/>
      <w:bookmarkEnd w:id="229"/>
    </w:p>
    <w:p>
      <w:pPr>
        <w:spacing w:line="480" w:lineRule="auto"/>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（磋商供应商应在此基础上，根据本单位实际情况进行声明）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 xml:space="preserve">）：                                     </w:t>
      </w:r>
    </w:p>
    <w:p>
      <w:pPr>
        <w:ind w:firstLine="420" w:firstLineChars="2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时                 间：           年          月          日</w:t>
      </w:r>
    </w:p>
    <w:p>
      <w:pPr>
        <w:ind w:firstLine="420" w:firstLineChars="200"/>
        <w:jc w:val="center"/>
        <w:outlineLvl w:val="1"/>
        <w:rPr>
          <w:rFonts w:asciiTheme="minorEastAsia" w:hAnsiTheme="minorEastAsia" w:eastAsiaTheme="minorEastAsia" w:cstheme="minorEastAsia"/>
          <w:spacing w:val="6"/>
          <w:szCs w:val="21"/>
        </w:rPr>
      </w:pPr>
      <w:bookmarkStart w:id="230" w:name="_Toc5812"/>
      <w:bookmarkStart w:id="231" w:name="_Toc23771"/>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spacing w:val="6"/>
          <w:szCs w:val="21"/>
        </w:rPr>
        <w:t>二十、磋商供应商认为应该提交的其它文件（格式自拟）</w:t>
      </w:r>
      <w:bookmarkEnd w:id="230"/>
      <w:bookmarkEnd w:id="231"/>
    </w:p>
    <w:sectPr>
      <w:footerReference r:id="rId7"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26</w:t>
    </w:r>
    <w:r>
      <w:rPr>
        <w:lang w:val="zh-CN"/>
      </w:rP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8240;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FF4B8943"/>
    <w:multiLevelType w:val="singleLevel"/>
    <w:tmpl w:val="FF4B8943"/>
    <w:lvl w:ilvl="0" w:tentative="0">
      <w:start w:val="1"/>
      <w:numFmt w:val="decimal"/>
      <w:suff w:val="nothing"/>
      <w:lvlText w:val="（%1）"/>
      <w:lvlJc w:val="left"/>
    </w:lvl>
  </w:abstractNum>
  <w:abstractNum w:abstractNumId="2">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3">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
    <w:nsid w:val="044F5BAD"/>
    <w:multiLevelType w:val="singleLevel"/>
    <w:tmpl w:val="044F5BAD"/>
    <w:lvl w:ilvl="0" w:tentative="0">
      <w:start w:val="1"/>
      <w:numFmt w:val="decimal"/>
      <w:suff w:val="nothing"/>
      <w:lvlText w:val="（%1）"/>
      <w:lvlJc w:val="left"/>
    </w:lvl>
  </w:abstractNum>
  <w:abstractNum w:abstractNumId="5">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8">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2">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1E84619A"/>
    <w:multiLevelType w:val="singleLevel"/>
    <w:tmpl w:val="1E84619A"/>
    <w:lvl w:ilvl="0" w:tentative="0">
      <w:start w:val="1"/>
      <w:numFmt w:val="decimal"/>
      <w:suff w:val="nothing"/>
      <w:lvlText w:val="%1、"/>
      <w:lvlJc w:val="left"/>
    </w:lvl>
  </w:abstractNum>
  <w:abstractNum w:abstractNumId="16">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7">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8">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9">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0">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2">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3">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4">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5">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6">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7">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9">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0">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1">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2">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4">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5">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6">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7">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8">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9">
    <w:nsid w:val="6F9A588E"/>
    <w:multiLevelType w:val="singleLevel"/>
    <w:tmpl w:val="6F9A588E"/>
    <w:lvl w:ilvl="0" w:tentative="0">
      <w:start w:val="8"/>
      <w:numFmt w:val="decimal"/>
      <w:suff w:val="nothing"/>
      <w:lvlText w:val="%1、"/>
      <w:lvlJc w:val="left"/>
    </w:lvl>
  </w:abstractNum>
  <w:abstractNum w:abstractNumId="40">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1">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3">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5">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7"/>
  </w:num>
  <w:num w:numId="2">
    <w:abstractNumId w:val="10"/>
  </w:num>
  <w:num w:numId="3">
    <w:abstractNumId w:val="18"/>
  </w:num>
  <w:num w:numId="4">
    <w:abstractNumId w:val="27"/>
  </w:num>
  <w:num w:numId="5">
    <w:abstractNumId w:val="13"/>
  </w:num>
  <w:num w:numId="6">
    <w:abstractNumId w:val="12"/>
  </w:num>
  <w:num w:numId="7">
    <w:abstractNumId w:val="1"/>
  </w:num>
  <w:num w:numId="8">
    <w:abstractNumId w:val="31"/>
  </w:num>
  <w:num w:numId="9">
    <w:abstractNumId w:val="15"/>
  </w:num>
  <w:num w:numId="10">
    <w:abstractNumId w:val="8"/>
  </w:num>
  <w:num w:numId="11">
    <w:abstractNumId w:val="14"/>
  </w:num>
  <w:num w:numId="12">
    <w:abstractNumId w:val="33"/>
  </w:num>
  <w:num w:numId="13">
    <w:abstractNumId w:val="44"/>
  </w:num>
  <w:num w:numId="14">
    <w:abstractNumId w:val="45"/>
  </w:num>
  <w:num w:numId="15">
    <w:abstractNumId w:val="26"/>
  </w:num>
  <w:num w:numId="16">
    <w:abstractNumId w:val="29"/>
  </w:num>
  <w:num w:numId="17">
    <w:abstractNumId w:val="32"/>
  </w:num>
  <w:num w:numId="18">
    <w:abstractNumId w:val="34"/>
  </w:num>
  <w:num w:numId="19">
    <w:abstractNumId w:val="3"/>
  </w:num>
  <w:num w:numId="20">
    <w:abstractNumId w:val="36"/>
  </w:num>
  <w:num w:numId="21">
    <w:abstractNumId w:val="5"/>
  </w:num>
  <w:num w:numId="22">
    <w:abstractNumId w:val="24"/>
  </w:num>
  <w:num w:numId="23">
    <w:abstractNumId w:val="20"/>
  </w:num>
  <w:num w:numId="24">
    <w:abstractNumId w:val="40"/>
  </w:num>
  <w:num w:numId="25">
    <w:abstractNumId w:val="11"/>
  </w:num>
  <w:num w:numId="26">
    <w:abstractNumId w:val="25"/>
  </w:num>
  <w:num w:numId="27">
    <w:abstractNumId w:val="7"/>
  </w:num>
  <w:num w:numId="28">
    <w:abstractNumId w:val="38"/>
  </w:num>
  <w:num w:numId="29">
    <w:abstractNumId w:val="43"/>
  </w:num>
  <w:num w:numId="30">
    <w:abstractNumId w:val="28"/>
  </w:num>
  <w:num w:numId="31">
    <w:abstractNumId w:val="22"/>
  </w:num>
  <w:num w:numId="32">
    <w:abstractNumId w:val="9"/>
  </w:num>
  <w:num w:numId="33">
    <w:abstractNumId w:val="19"/>
  </w:num>
  <w:num w:numId="34">
    <w:abstractNumId w:val="42"/>
  </w:num>
  <w:num w:numId="35">
    <w:abstractNumId w:val="23"/>
  </w:num>
  <w:num w:numId="36">
    <w:abstractNumId w:val="39"/>
  </w:num>
  <w:num w:numId="37">
    <w:abstractNumId w:val="41"/>
  </w:num>
  <w:num w:numId="38">
    <w:abstractNumId w:val="35"/>
  </w:num>
  <w:num w:numId="39">
    <w:abstractNumId w:val="16"/>
  </w:num>
  <w:num w:numId="40">
    <w:abstractNumId w:val="30"/>
  </w:num>
  <w:num w:numId="41">
    <w:abstractNumId w:val="2"/>
  </w:num>
  <w:num w:numId="42">
    <w:abstractNumId w:val="17"/>
  </w:num>
  <w:num w:numId="43">
    <w:abstractNumId w:val="21"/>
  </w:num>
  <w:num w:numId="44">
    <w:abstractNumId w:val="6"/>
  </w:num>
  <w:num w:numId="45">
    <w:abstractNumId w:val="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66E4"/>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7D5"/>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2769"/>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5B92"/>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322"/>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4C7"/>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5E31"/>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AC9"/>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399E"/>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2B1"/>
    <w:rsid w:val="00A92D14"/>
    <w:rsid w:val="00A930B3"/>
    <w:rsid w:val="00A93E19"/>
    <w:rsid w:val="00A9510F"/>
    <w:rsid w:val="00A96B78"/>
    <w:rsid w:val="00AA2694"/>
    <w:rsid w:val="00AA415B"/>
    <w:rsid w:val="00AA4552"/>
    <w:rsid w:val="00AA5C52"/>
    <w:rsid w:val="00AA679C"/>
    <w:rsid w:val="00AA7E55"/>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10FB"/>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3946"/>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6EE2"/>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3D30"/>
    <w:rsid w:val="00EC4122"/>
    <w:rsid w:val="00EC61CE"/>
    <w:rsid w:val="00EC7ECD"/>
    <w:rsid w:val="00ED18AC"/>
    <w:rsid w:val="00ED298B"/>
    <w:rsid w:val="00ED45B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08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63662C"/>
    <w:rsid w:val="018D0205"/>
    <w:rsid w:val="01C12A88"/>
    <w:rsid w:val="01D07706"/>
    <w:rsid w:val="0221271C"/>
    <w:rsid w:val="022D649C"/>
    <w:rsid w:val="02351774"/>
    <w:rsid w:val="023A6ECB"/>
    <w:rsid w:val="02420646"/>
    <w:rsid w:val="028223A8"/>
    <w:rsid w:val="029D4FA6"/>
    <w:rsid w:val="02A9706C"/>
    <w:rsid w:val="02DE374B"/>
    <w:rsid w:val="031C10FC"/>
    <w:rsid w:val="031C67BA"/>
    <w:rsid w:val="032A1C77"/>
    <w:rsid w:val="03511571"/>
    <w:rsid w:val="035E37BC"/>
    <w:rsid w:val="03A25185"/>
    <w:rsid w:val="03A92E0C"/>
    <w:rsid w:val="03A93F07"/>
    <w:rsid w:val="03DD17F0"/>
    <w:rsid w:val="03F730D5"/>
    <w:rsid w:val="040E4213"/>
    <w:rsid w:val="04137380"/>
    <w:rsid w:val="04160294"/>
    <w:rsid w:val="0421064D"/>
    <w:rsid w:val="0424709F"/>
    <w:rsid w:val="04273734"/>
    <w:rsid w:val="042C6AE4"/>
    <w:rsid w:val="043906A4"/>
    <w:rsid w:val="0439748C"/>
    <w:rsid w:val="04663DEE"/>
    <w:rsid w:val="047F64A2"/>
    <w:rsid w:val="048B6224"/>
    <w:rsid w:val="049C3EF3"/>
    <w:rsid w:val="04BC1BA0"/>
    <w:rsid w:val="04C10DE0"/>
    <w:rsid w:val="04CC4566"/>
    <w:rsid w:val="04FB1069"/>
    <w:rsid w:val="04FD23FC"/>
    <w:rsid w:val="05005426"/>
    <w:rsid w:val="053007E3"/>
    <w:rsid w:val="055A38B5"/>
    <w:rsid w:val="059C5F8E"/>
    <w:rsid w:val="05AD5736"/>
    <w:rsid w:val="05CA2818"/>
    <w:rsid w:val="05FA06DD"/>
    <w:rsid w:val="06023A8F"/>
    <w:rsid w:val="0611621E"/>
    <w:rsid w:val="063F258E"/>
    <w:rsid w:val="065044F8"/>
    <w:rsid w:val="0653482B"/>
    <w:rsid w:val="06600855"/>
    <w:rsid w:val="06B7286F"/>
    <w:rsid w:val="06C116BD"/>
    <w:rsid w:val="06C767F8"/>
    <w:rsid w:val="06EA2FBD"/>
    <w:rsid w:val="06FE4AAE"/>
    <w:rsid w:val="070157D1"/>
    <w:rsid w:val="07117CDC"/>
    <w:rsid w:val="07354BE2"/>
    <w:rsid w:val="07506DDE"/>
    <w:rsid w:val="076718A8"/>
    <w:rsid w:val="078360F1"/>
    <w:rsid w:val="079555F7"/>
    <w:rsid w:val="07AA21A6"/>
    <w:rsid w:val="07B323DD"/>
    <w:rsid w:val="07D33E7D"/>
    <w:rsid w:val="07DA2552"/>
    <w:rsid w:val="07E61182"/>
    <w:rsid w:val="07F876CF"/>
    <w:rsid w:val="07FA3FC0"/>
    <w:rsid w:val="08376BE0"/>
    <w:rsid w:val="08483779"/>
    <w:rsid w:val="085D5FC0"/>
    <w:rsid w:val="0886626A"/>
    <w:rsid w:val="08912C45"/>
    <w:rsid w:val="08AD0CF8"/>
    <w:rsid w:val="08AD503B"/>
    <w:rsid w:val="08C76CFD"/>
    <w:rsid w:val="08E340CC"/>
    <w:rsid w:val="08E95B0E"/>
    <w:rsid w:val="090C54BE"/>
    <w:rsid w:val="09233E00"/>
    <w:rsid w:val="092936B1"/>
    <w:rsid w:val="092B3782"/>
    <w:rsid w:val="0942003F"/>
    <w:rsid w:val="096A4BCE"/>
    <w:rsid w:val="098226D8"/>
    <w:rsid w:val="09894939"/>
    <w:rsid w:val="09916A79"/>
    <w:rsid w:val="09920E91"/>
    <w:rsid w:val="09A02CD8"/>
    <w:rsid w:val="09B2753F"/>
    <w:rsid w:val="0A00680D"/>
    <w:rsid w:val="0A165448"/>
    <w:rsid w:val="0A502EA2"/>
    <w:rsid w:val="0A5758F7"/>
    <w:rsid w:val="0A67144A"/>
    <w:rsid w:val="0A71618F"/>
    <w:rsid w:val="0A7E1671"/>
    <w:rsid w:val="0AA37590"/>
    <w:rsid w:val="0AC16F66"/>
    <w:rsid w:val="0B435CD5"/>
    <w:rsid w:val="0B456825"/>
    <w:rsid w:val="0B4B17AC"/>
    <w:rsid w:val="0B4F5787"/>
    <w:rsid w:val="0B625354"/>
    <w:rsid w:val="0B6438A9"/>
    <w:rsid w:val="0B736EE4"/>
    <w:rsid w:val="0BC22757"/>
    <w:rsid w:val="0BD0342B"/>
    <w:rsid w:val="0BE3070D"/>
    <w:rsid w:val="0C367BBD"/>
    <w:rsid w:val="0C3C4113"/>
    <w:rsid w:val="0C4225D4"/>
    <w:rsid w:val="0C49239C"/>
    <w:rsid w:val="0C4E57C8"/>
    <w:rsid w:val="0C7336D0"/>
    <w:rsid w:val="0CC36F40"/>
    <w:rsid w:val="0CF02600"/>
    <w:rsid w:val="0D162766"/>
    <w:rsid w:val="0D50445B"/>
    <w:rsid w:val="0D7807F1"/>
    <w:rsid w:val="0D895A46"/>
    <w:rsid w:val="0D9B67EB"/>
    <w:rsid w:val="0DB52075"/>
    <w:rsid w:val="0DE86CEC"/>
    <w:rsid w:val="0E0A51BD"/>
    <w:rsid w:val="0E141CA7"/>
    <w:rsid w:val="0E386D2E"/>
    <w:rsid w:val="0E442D5B"/>
    <w:rsid w:val="0E4E7B59"/>
    <w:rsid w:val="0E6E5960"/>
    <w:rsid w:val="0EAE4301"/>
    <w:rsid w:val="0EBC296D"/>
    <w:rsid w:val="0ED27024"/>
    <w:rsid w:val="0ED94F19"/>
    <w:rsid w:val="0EDC5EDB"/>
    <w:rsid w:val="0F1B0DB7"/>
    <w:rsid w:val="0F3425BB"/>
    <w:rsid w:val="0F6B2EDD"/>
    <w:rsid w:val="0F6C7EA7"/>
    <w:rsid w:val="0FA03F81"/>
    <w:rsid w:val="0FA32A0E"/>
    <w:rsid w:val="0FB65A55"/>
    <w:rsid w:val="0FC5121F"/>
    <w:rsid w:val="0FC52200"/>
    <w:rsid w:val="0FC57219"/>
    <w:rsid w:val="0FF11896"/>
    <w:rsid w:val="0FF743B8"/>
    <w:rsid w:val="104114BC"/>
    <w:rsid w:val="104F21E7"/>
    <w:rsid w:val="106060C1"/>
    <w:rsid w:val="10681B45"/>
    <w:rsid w:val="107655A7"/>
    <w:rsid w:val="10D545EB"/>
    <w:rsid w:val="10E51E7E"/>
    <w:rsid w:val="1109548A"/>
    <w:rsid w:val="110E2EE1"/>
    <w:rsid w:val="11156035"/>
    <w:rsid w:val="111F2499"/>
    <w:rsid w:val="11296D36"/>
    <w:rsid w:val="1146103D"/>
    <w:rsid w:val="116C7384"/>
    <w:rsid w:val="11E87156"/>
    <w:rsid w:val="12305D0B"/>
    <w:rsid w:val="12595354"/>
    <w:rsid w:val="12676ACE"/>
    <w:rsid w:val="12721DBF"/>
    <w:rsid w:val="128C79F5"/>
    <w:rsid w:val="12987FD1"/>
    <w:rsid w:val="12D57C7C"/>
    <w:rsid w:val="12DE2F04"/>
    <w:rsid w:val="12E1444B"/>
    <w:rsid w:val="12F453F7"/>
    <w:rsid w:val="135A65CD"/>
    <w:rsid w:val="13681291"/>
    <w:rsid w:val="139A72A6"/>
    <w:rsid w:val="139D1962"/>
    <w:rsid w:val="13D75C16"/>
    <w:rsid w:val="141A71FC"/>
    <w:rsid w:val="14393E39"/>
    <w:rsid w:val="1439492C"/>
    <w:rsid w:val="144E282E"/>
    <w:rsid w:val="14905D77"/>
    <w:rsid w:val="14C13D98"/>
    <w:rsid w:val="14C818C6"/>
    <w:rsid w:val="14D17473"/>
    <w:rsid w:val="14D2285A"/>
    <w:rsid w:val="14F848F0"/>
    <w:rsid w:val="1533008F"/>
    <w:rsid w:val="153D3401"/>
    <w:rsid w:val="155142E7"/>
    <w:rsid w:val="15855A36"/>
    <w:rsid w:val="158E06A1"/>
    <w:rsid w:val="15932B1E"/>
    <w:rsid w:val="15AF36C0"/>
    <w:rsid w:val="15EE7CEF"/>
    <w:rsid w:val="15F023BA"/>
    <w:rsid w:val="15F4337A"/>
    <w:rsid w:val="160D691C"/>
    <w:rsid w:val="16333435"/>
    <w:rsid w:val="16391530"/>
    <w:rsid w:val="166C136C"/>
    <w:rsid w:val="168C0198"/>
    <w:rsid w:val="16A60ED2"/>
    <w:rsid w:val="16C6539F"/>
    <w:rsid w:val="16C83962"/>
    <w:rsid w:val="16D62170"/>
    <w:rsid w:val="16ED23AA"/>
    <w:rsid w:val="1730286B"/>
    <w:rsid w:val="173E2364"/>
    <w:rsid w:val="174B72A9"/>
    <w:rsid w:val="1761710C"/>
    <w:rsid w:val="17812612"/>
    <w:rsid w:val="1789592C"/>
    <w:rsid w:val="17933C9F"/>
    <w:rsid w:val="17B13E29"/>
    <w:rsid w:val="17D67A38"/>
    <w:rsid w:val="17DB1463"/>
    <w:rsid w:val="17ED5B45"/>
    <w:rsid w:val="18260DD1"/>
    <w:rsid w:val="182656C2"/>
    <w:rsid w:val="18303541"/>
    <w:rsid w:val="183735E3"/>
    <w:rsid w:val="18744310"/>
    <w:rsid w:val="18A12DFD"/>
    <w:rsid w:val="18A922F3"/>
    <w:rsid w:val="18B137E8"/>
    <w:rsid w:val="18D46399"/>
    <w:rsid w:val="18F56002"/>
    <w:rsid w:val="192F50C9"/>
    <w:rsid w:val="19633F03"/>
    <w:rsid w:val="199E02FC"/>
    <w:rsid w:val="19BA1CE3"/>
    <w:rsid w:val="19DF55C2"/>
    <w:rsid w:val="19FA7D22"/>
    <w:rsid w:val="1A0C61A8"/>
    <w:rsid w:val="1A132F57"/>
    <w:rsid w:val="1A22753D"/>
    <w:rsid w:val="1A300E03"/>
    <w:rsid w:val="1A5F760F"/>
    <w:rsid w:val="1A6F3E95"/>
    <w:rsid w:val="1A6F6E85"/>
    <w:rsid w:val="1AB70FFB"/>
    <w:rsid w:val="1AD51B88"/>
    <w:rsid w:val="1B2058A0"/>
    <w:rsid w:val="1B566A66"/>
    <w:rsid w:val="1B8565CF"/>
    <w:rsid w:val="1B9104B0"/>
    <w:rsid w:val="1BAC363D"/>
    <w:rsid w:val="1BD60F79"/>
    <w:rsid w:val="1C0C60A0"/>
    <w:rsid w:val="1C41527E"/>
    <w:rsid w:val="1C49412F"/>
    <w:rsid w:val="1C4F5FC4"/>
    <w:rsid w:val="1C64078D"/>
    <w:rsid w:val="1C81524F"/>
    <w:rsid w:val="1CA121A3"/>
    <w:rsid w:val="1CDF257F"/>
    <w:rsid w:val="1CE40841"/>
    <w:rsid w:val="1CF405AE"/>
    <w:rsid w:val="1CFB22F4"/>
    <w:rsid w:val="1D014450"/>
    <w:rsid w:val="1D2A2C86"/>
    <w:rsid w:val="1D2A6659"/>
    <w:rsid w:val="1D41310E"/>
    <w:rsid w:val="1D426DC5"/>
    <w:rsid w:val="1D4377C2"/>
    <w:rsid w:val="1D54682E"/>
    <w:rsid w:val="1D575B51"/>
    <w:rsid w:val="1D956E98"/>
    <w:rsid w:val="1D9F4A19"/>
    <w:rsid w:val="1DA05599"/>
    <w:rsid w:val="1DAB519B"/>
    <w:rsid w:val="1DC65420"/>
    <w:rsid w:val="1DC94DC3"/>
    <w:rsid w:val="1DD22475"/>
    <w:rsid w:val="1E0649A4"/>
    <w:rsid w:val="1E316CE9"/>
    <w:rsid w:val="1E474E6F"/>
    <w:rsid w:val="1E4D30A6"/>
    <w:rsid w:val="1E6843C7"/>
    <w:rsid w:val="1E8E2DA3"/>
    <w:rsid w:val="1EA60FCA"/>
    <w:rsid w:val="1EA87417"/>
    <w:rsid w:val="1EC7359D"/>
    <w:rsid w:val="1ED70A99"/>
    <w:rsid w:val="1EFB0208"/>
    <w:rsid w:val="1F353005"/>
    <w:rsid w:val="1F35766F"/>
    <w:rsid w:val="1F65672E"/>
    <w:rsid w:val="1F6B4880"/>
    <w:rsid w:val="1F6D18D3"/>
    <w:rsid w:val="1F855EC8"/>
    <w:rsid w:val="1F865B87"/>
    <w:rsid w:val="1F8D0E35"/>
    <w:rsid w:val="1FAD401E"/>
    <w:rsid w:val="1FB611E4"/>
    <w:rsid w:val="1FBA2E91"/>
    <w:rsid w:val="1FC02D54"/>
    <w:rsid w:val="1FD92D82"/>
    <w:rsid w:val="1FEE1F52"/>
    <w:rsid w:val="20950348"/>
    <w:rsid w:val="20981E88"/>
    <w:rsid w:val="20A10137"/>
    <w:rsid w:val="20B97750"/>
    <w:rsid w:val="20BD2343"/>
    <w:rsid w:val="20C125E5"/>
    <w:rsid w:val="20F77EBA"/>
    <w:rsid w:val="20FE0571"/>
    <w:rsid w:val="212F48FD"/>
    <w:rsid w:val="21B23C30"/>
    <w:rsid w:val="21D5663A"/>
    <w:rsid w:val="21DE0782"/>
    <w:rsid w:val="21F60332"/>
    <w:rsid w:val="220D5F91"/>
    <w:rsid w:val="220F017A"/>
    <w:rsid w:val="223D6488"/>
    <w:rsid w:val="224F423C"/>
    <w:rsid w:val="227710AB"/>
    <w:rsid w:val="228F3998"/>
    <w:rsid w:val="229B4E78"/>
    <w:rsid w:val="22C77F82"/>
    <w:rsid w:val="22E50F21"/>
    <w:rsid w:val="22F562BD"/>
    <w:rsid w:val="231C3AC6"/>
    <w:rsid w:val="23261385"/>
    <w:rsid w:val="232B0DA0"/>
    <w:rsid w:val="233970A1"/>
    <w:rsid w:val="23726C80"/>
    <w:rsid w:val="23761275"/>
    <w:rsid w:val="238F0300"/>
    <w:rsid w:val="2390118C"/>
    <w:rsid w:val="23A33225"/>
    <w:rsid w:val="23A3458B"/>
    <w:rsid w:val="23A83880"/>
    <w:rsid w:val="23AC3B0D"/>
    <w:rsid w:val="23AE3EA4"/>
    <w:rsid w:val="23BD797B"/>
    <w:rsid w:val="23CC13DF"/>
    <w:rsid w:val="241374BB"/>
    <w:rsid w:val="24210897"/>
    <w:rsid w:val="242E0AC8"/>
    <w:rsid w:val="24474E0A"/>
    <w:rsid w:val="244E4AD0"/>
    <w:rsid w:val="246B4679"/>
    <w:rsid w:val="24846EBA"/>
    <w:rsid w:val="249900C5"/>
    <w:rsid w:val="24BF7D42"/>
    <w:rsid w:val="24D333DC"/>
    <w:rsid w:val="253A34DC"/>
    <w:rsid w:val="255D2F2A"/>
    <w:rsid w:val="256C5A3D"/>
    <w:rsid w:val="257963F1"/>
    <w:rsid w:val="25A7402B"/>
    <w:rsid w:val="25FE15DC"/>
    <w:rsid w:val="26806C09"/>
    <w:rsid w:val="26863962"/>
    <w:rsid w:val="26FA6E39"/>
    <w:rsid w:val="271E4603"/>
    <w:rsid w:val="272A0710"/>
    <w:rsid w:val="273629B8"/>
    <w:rsid w:val="27555997"/>
    <w:rsid w:val="276E4B45"/>
    <w:rsid w:val="277E0D70"/>
    <w:rsid w:val="277E0E1B"/>
    <w:rsid w:val="27C13C20"/>
    <w:rsid w:val="27E47883"/>
    <w:rsid w:val="28120519"/>
    <w:rsid w:val="281327C3"/>
    <w:rsid w:val="28195AAE"/>
    <w:rsid w:val="28323569"/>
    <w:rsid w:val="28326E12"/>
    <w:rsid w:val="28504863"/>
    <w:rsid w:val="287013AF"/>
    <w:rsid w:val="28943CBF"/>
    <w:rsid w:val="28E96526"/>
    <w:rsid w:val="28F5608F"/>
    <w:rsid w:val="28F77A34"/>
    <w:rsid w:val="29213FAC"/>
    <w:rsid w:val="292C617A"/>
    <w:rsid w:val="294019F3"/>
    <w:rsid w:val="295F6F3A"/>
    <w:rsid w:val="298168E8"/>
    <w:rsid w:val="29880DC9"/>
    <w:rsid w:val="299658C8"/>
    <w:rsid w:val="29C74336"/>
    <w:rsid w:val="2A0C4705"/>
    <w:rsid w:val="2A104C01"/>
    <w:rsid w:val="2A2219FF"/>
    <w:rsid w:val="2A2649D3"/>
    <w:rsid w:val="2A2F0453"/>
    <w:rsid w:val="2A375CB0"/>
    <w:rsid w:val="2A4F7A8E"/>
    <w:rsid w:val="2A5C693A"/>
    <w:rsid w:val="2A9D1044"/>
    <w:rsid w:val="2AA14EFF"/>
    <w:rsid w:val="2AE42B9F"/>
    <w:rsid w:val="2AFA4FF0"/>
    <w:rsid w:val="2AFF35D3"/>
    <w:rsid w:val="2B0A651F"/>
    <w:rsid w:val="2B132D50"/>
    <w:rsid w:val="2B510E0C"/>
    <w:rsid w:val="2B6076B4"/>
    <w:rsid w:val="2B617D56"/>
    <w:rsid w:val="2BEB27E3"/>
    <w:rsid w:val="2BEB2E9D"/>
    <w:rsid w:val="2BF61207"/>
    <w:rsid w:val="2C2E6F83"/>
    <w:rsid w:val="2C5D1B43"/>
    <w:rsid w:val="2C620007"/>
    <w:rsid w:val="2CD367CC"/>
    <w:rsid w:val="2CDD2B9E"/>
    <w:rsid w:val="2D09394F"/>
    <w:rsid w:val="2D110F36"/>
    <w:rsid w:val="2D6345E9"/>
    <w:rsid w:val="2D7E4209"/>
    <w:rsid w:val="2D9B288E"/>
    <w:rsid w:val="2DBD42B5"/>
    <w:rsid w:val="2DCB5DC1"/>
    <w:rsid w:val="2DCE5309"/>
    <w:rsid w:val="2DE2242A"/>
    <w:rsid w:val="2E4225F7"/>
    <w:rsid w:val="2E463849"/>
    <w:rsid w:val="2E5A5340"/>
    <w:rsid w:val="2E677780"/>
    <w:rsid w:val="2E6E73D5"/>
    <w:rsid w:val="2E81141D"/>
    <w:rsid w:val="2E9A7ADA"/>
    <w:rsid w:val="2EC304B4"/>
    <w:rsid w:val="2ED66BF3"/>
    <w:rsid w:val="2F1B0798"/>
    <w:rsid w:val="2F235807"/>
    <w:rsid w:val="2F4F0438"/>
    <w:rsid w:val="2F506BFB"/>
    <w:rsid w:val="2F7E2CC0"/>
    <w:rsid w:val="2F921764"/>
    <w:rsid w:val="2F98405A"/>
    <w:rsid w:val="2FD11EB8"/>
    <w:rsid w:val="303D5772"/>
    <w:rsid w:val="306E40F7"/>
    <w:rsid w:val="30B15581"/>
    <w:rsid w:val="30B93848"/>
    <w:rsid w:val="30BE1DE8"/>
    <w:rsid w:val="30EE16D6"/>
    <w:rsid w:val="312142FF"/>
    <w:rsid w:val="31253510"/>
    <w:rsid w:val="313177AD"/>
    <w:rsid w:val="31341EAD"/>
    <w:rsid w:val="31423CC5"/>
    <w:rsid w:val="3157256E"/>
    <w:rsid w:val="31665B97"/>
    <w:rsid w:val="31854B7E"/>
    <w:rsid w:val="31E86EE4"/>
    <w:rsid w:val="31FD6157"/>
    <w:rsid w:val="32171B71"/>
    <w:rsid w:val="322B53E9"/>
    <w:rsid w:val="32915ABA"/>
    <w:rsid w:val="329C1497"/>
    <w:rsid w:val="32A96096"/>
    <w:rsid w:val="32D72576"/>
    <w:rsid w:val="32D93319"/>
    <w:rsid w:val="330D0307"/>
    <w:rsid w:val="332C3D97"/>
    <w:rsid w:val="3360351F"/>
    <w:rsid w:val="33620CB2"/>
    <w:rsid w:val="33990A7D"/>
    <w:rsid w:val="33B17CDB"/>
    <w:rsid w:val="33E04B57"/>
    <w:rsid w:val="33FA7456"/>
    <w:rsid w:val="34024883"/>
    <w:rsid w:val="342C6E98"/>
    <w:rsid w:val="343E2F3B"/>
    <w:rsid w:val="344F7140"/>
    <w:rsid w:val="34755DB1"/>
    <w:rsid w:val="349E0FB2"/>
    <w:rsid w:val="34A96A1A"/>
    <w:rsid w:val="34B370D1"/>
    <w:rsid w:val="34CA52FD"/>
    <w:rsid w:val="34D24DAE"/>
    <w:rsid w:val="34E622D6"/>
    <w:rsid w:val="3518700F"/>
    <w:rsid w:val="352F2FF3"/>
    <w:rsid w:val="35375748"/>
    <w:rsid w:val="35486C73"/>
    <w:rsid w:val="359E09BB"/>
    <w:rsid w:val="361A4DE1"/>
    <w:rsid w:val="361F592F"/>
    <w:rsid w:val="362F79EA"/>
    <w:rsid w:val="364B4F38"/>
    <w:rsid w:val="36516B14"/>
    <w:rsid w:val="36556C85"/>
    <w:rsid w:val="367056CE"/>
    <w:rsid w:val="3675230B"/>
    <w:rsid w:val="36766F5C"/>
    <w:rsid w:val="36777C43"/>
    <w:rsid w:val="367E7A3F"/>
    <w:rsid w:val="36C1347A"/>
    <w:rsid w:val="36C31B41"/>
    <w:rsid w:val="36C532A1"/>
    <w:rsid w:val="36C9014E"/>
    <w:rsid w:val="36CE234D"/>
    <w:rsid w:val="36D347D3"/>
    <w:rsid w:val="36DA50A9"/>
    <w:rsid w:val="3736228A"/>
    <w:rsid w:val="37671725"/>
    <w:rsid w:val="376F122C"/>
    <w:rsid w:val="378E492E"/>
    <w:rsid w:val="3798526A"/>
    <w:rsid w:val="37B72EB1"/>
    <w:rsid w:val="37B90653"/>
    <w:rsid w:val="37C806F3"/>
    <w:rsid w:val="37C85C3C"/>
    <w:rsid w:val="37CF1603"/>
    <w:rsid w:val="38585500"/>
    <w:rsid w:val="385D1C71"/>
    <w:rsid w:val="388E1434"/>
    <w:rsid w:val="38BA5460"/>
    <w:rsid w:val="38C62FF5"/>
    <w:rsid w:val="38D62476"/>
    <w:rsid w:val="38E27127"/>
    <w:rsid w:val="39027E88"/>
    <w:rsid w:val="39075875"/>
    <w:rsid w:val="391904A1"/>
    <w:rsid w:val="391C718D"/>
    <w:rsid w:val="394D30B0"/>
    <w:rsid w:val="39624091"/>
    <w:rsid w:val="397C6037"/>
    <w:rsid w:val="39D43B66"/>
    <w:rsid w:val="39EC03FA"/>
    <w:rsid w:val="3A1E303B"/>
    <w:rsid w:val="3A1F74C9"/>
    <w:rsid w:val="3A2A1F54"/>
    <w:rsid w:val="3A2D40D1"/>
    <w:rsid w:val="3A314B02"/>
    <w:rsid w:val="3A5C2602"/>
    <w:rsid w:val="3A5E6F34"/>
    <w:rsid w:val="3A79657B"/>
    <w:rsid w:val="3A8B77C7"/>
    <w:rsid w:val="3A9A32EA"/>
    <w:rsid w:val="3ACD391F"/>
    <w:rsid w:val="3AD44C43"/>
    <w:rsid w:val="3B026D00"/>
    <w:rsid w:val="3B1471CB"/>
    <w:rsid w:val="3B655681"/>
    <w:rsid w:val="3B6C4553"/>
    <w:rsid w:val="3B6F3ABC"/>
    <w:rsid w:val="3B7527F4"/>
    <w:rsid w:val="3B79705E"/>
    <w:rsid w:val="3BAA143A"/>
    <w:rsid w:val="3BC378A6"/>
    <w:rsid w:val="3BDC08FD"/>
    <w:rsid w:val="3BE42ECD"/>
    <w:rsid w:val="3BFE1CAB"/>
    <w:rsid w:val="3C10260E"/>
    <w:rsid w:val="3C274A05"/>
    <w:rsid w:val="3C7511AE"/>
    <w:rsid w:val="3CA977D2"/>
    <w:rsid w:val="3CC06A87"/>
    <w:rsid w:val="3CC733AF"/>
    <w:rsid w:val="3CE30CEC"/>
    <w:rsid w:val="3CF76813"/>
    <w:rsid w:val="3CFC6063"/>
    <w:rsid w:val="3D1319B5"/>
    <w:rsid w:val="3D260CA6"/>
    <w:rsid w:val="3D520CCB"/>
    <w:rsid w:val="3D5C6974"/>
    <w:rsid w:val="3D6678B0"/>
    <w:rsid w:val="3D772181"/>
    <w:rsid w:val="3D823D30"/>
    <w:rsid w:val="3DCE6FB3"/>
    <w:rsid w:val="3DD16176"/>
    <w:rsid w:val="3E09030D"/>
    <w:rsid w:val="3E104E3F"/>
    <w:rsid w:val="3E1D6E9C"/>
    <w:rsid w:val="3E4A1BED"/>
    <w:rsid w:val="3E662345"/>
    <w:rsid w:val="3E681CBC"/>
    <w:rsid w:val="3E82228B"/>
    <w:rsid w:val="3E8242C1"/>
    <w:rsid w:val="3EB33AF3"/>
    <w:rsid w:val="3EFD0DF6"/>
    <w:rsid w:val="3EFE49C6"/>
    <w:rsid w:val="3F0A5B5C"/>
    <w:rsid w:val="3F1A0890"/>
    <w:rsid w:val="3F3F5846"/>
    <w:rsid w:val="3F71500B"/>
    <w:rsid w:val="3F801023"/>
    <w:rsid w:val="3F8064EB"/>
    <w:rsid w:val="3F982DCA"/>
    <w:rsid w:val="3FD12D26"/>
    <w:rsid w:val="3FDE4917"/>
    <w:rsid w:val="3FE36B9C"/>
    <w:rsid w:val="402F3ADF"/>
    <w:rsid w:val="40306F5A"/>
    <w:rsid w:val="40476BB3"/>
    <w:rsid w:val="40546FB6"/>
    <w:rsid w:val="40554803"/>
    <w:rsid w:val="407A60D5"/>
    <w:rsid w:val="40961808"/>
    <w:rsid w:val="40AB4DEE"/>
    <w:rsid w:val="40C44E44"/>
    <w:rsid w:val="40D24BBE"/>
    <w:rsid w:val="40EC4043"/>
    <w:rsid w:val="40F213C6"/>
    <w:rsid w:val="412008E0"/>
    <w:rsid w:val="413A6D3B"/>
    <w:rsid w:val="41515AC7"/>
    <w:rsid w:val="41902B9F"/>
    <w:rsid w:val="41C02331"/>
    <w:rsid w:val="41C13A63"/>
    <w:rsid w:val="41C67037"/>
    <w:rsid w:val="41D229E1"/>
    <w:rsid w:val="41EC6E94"/>
    <w:rsid w:val="41F72149"/>
    <w:rsid w:val="42084B65"/>
    <w:rsid w:val="42415ACC"/>
    <w:rsid w:val="427D539F"/>
    <w:rsid w:val="42991E30"/>
    <w:rsid w:val="42C5029A"/>
    <w:rsid w:val="42CB773A"/>
    <w:rsid w:val="42CE0B28"/>
    <w:rsid w:val="42CF6367"/>
    <w:rsid w:val="42DE1CCC"/>
    <w:rsid w:val="42FC0B99"/>
    <w:rsid w:val="4308546B"/>
    <w:rsid w:val="431008A3"/>
    <w:rsid w:val="43263445"/>
    <w:rsid w:val="434157E3"/>
    <w:rsid w:val="43494860"/>
    <w:rsid w:val="434D380E"/>
    <w:rsid w:val="43934189"/>
    <w:rsid w:val="439D4850"/>
    <w:rsid w:val="43C27232"/>
    <w:rsid w:val="43C94E23"/>
    <w:rsid w:val="43E4746F"/>
    <w:rsid w:val="43ED069F"/>
    <w:rsid w:val="442A6E5A"/>
    <w:rsid w:val="442E0249"/>
    <w:rsid w:val="445339EC"/>
    <w:rsid w:val="445C4B8F"/>
    <w:rsid w:val="4463104B"/>
    <w:rsid w:val="44833851"/>
    <w:rsid w:val="44926D7B"/>
    <w:rsid w:val="44982752"/>
    <w:rsid w:val="44A97A9E"/>
    <w:rsid w:val="44BF6F86"/>
    <w:rsid w:val="44C45031"/>
    <w:rsid w:val="44D53AB2"/>
    <w:rsid w:val="44F27B0D"/>
    <w:rsid w:val="450B6556"/>
    <w:rsid w:val="45485BDE"/>
    <w:rsid w:val="45543812"/>
    <w:rsid w:val="455F0FD0"/>
    <w:rsid w:val="45945C30"/>
    <w:rsid w:val="459F2306"/>
    <w:rsid w:val="459F7210"/>
    <w:rsid w:val="45A832FE"/>
    <w:rsid w:val="45AB6174"/>
    <w:rsid w:val="45BA63E5"/>
    <w:rsid w:val="45CC5EDC"/>
    <w:rsid w:val="45F73D47"/>
    <w:rsid w:val="461E4DC8"/>
    <w:rsid w:val="462D2575"/>
    <w:rsid w:val="46467FD8"/>
    <w:rsid w:val="46601D33"/>
    <w:rsid w:val="4666746C"/>
    <w:rsid w:val="467505FA"/>
    <w:rsid w:val="468720BA"/>
    <w:rsid w:val="46895AFC"/>
    <w:rsid w:val="46B54B84"/>
    <w:rsid w:val="46BC623F"/>
    <w:rsid w:val="46D855B9"/>
    <w:rsid w:val="470D2C74"/>
    <w:rsid w:val="472930AB"/>
    <w:rsid w:val="472F44CE"/>
    <w:rsid w:val="477570F1"/>
    <w:rsid w:val="47B41AAA"/>
    <w:rsid w:val="47CD38AD"/>
    <w:rsid w:val="47DB16D8"/>
    <w:rsid w:val="48416760"/>
    <w:rsid w:val="48466F81"/>
    <w:rsid w:val="484D02A2"/>
    <w:rsid w:val="486B647A"/>
    <w:rsid w:val="48896934"/>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742114"/>
    <w:rsid w:val="49754CB4"/>
    <w:rsid w:val="49921F0F"/>
    <w:rsid w:val="49C87B2C"/>
    <w:rsid w:val="49CE6B8E"/>
    <w:rsid w:val="49D72FF3"/>
    <w:rsid w:val="49E0102B"/>
    <w:rsid w:val="49FE332A"/>
    <w:rsid w:val="4A2945F2"/>
    <w:rsid w:val="4A29762E"/>
    <w:rsid w:val="4A615154"/>
    <w:rsid w:val="4A742131"/>
    <w:rsid w:val="4A96607C"/>
    <w:rsid w:val="4AB92E92"/>
    <w:rsid w:val="4B2134B8"/>
    <w:rsid w:val="4B24233C"/>
    <w:rsid w:val="4B330A0B"/>
    <w:rsid w:val="4B5E55F9"/>
    <w:rsid w:val="4B685D82"/>
    <w:rsid w:val="4B7B4674"/>
    <w:rsid w:val="4B7C663B"/>
    <w:rsid w:val="4B812078"/>
    <w:rsid w:val="4BF71347"/>
    <w:rsid w:val="4BF97932"/>
    <w:rsid w:val="4C141E75"/>
    <w:rsid w:val="4C2A4039"/>
    <w:rsid w:val="4CAE60E3"/>
    <w:rsid w:val="4CD95001"/>
    <w:rsid w:val="4CEE1D13"/>
    <w:rsid w:val="4D032DA9"/>
    <w:rsid w:val="4D0C6DBE"/>
    <w:rsid w:val="4D25615C"/>
    <w:rsid w:val="4D36054D"/>
    <w:rsid w:val="4D41137F"/>
    <w:rsid w:val="4D524AEA"/>
    <w:rsid w:val="4D5724F7"/>
    <w:rsid w:val="4D6D26D4"/>
    <w:rsid w:val="4D757452"/>
    <w:rsid w:val="4D855CF1"/>
    <w:rsid w:val="4D8C3F82"/>
    <w:rsid w:val="4DBC14B8"/>
    <w:rsid w:val="4DE936C7"/>
    <w:rsid w:val="4DF23555"/>
    <w:rsid w:val="4E050D4C"/>
    <w:rsid w:val="4E06569E"/>
    <w:rsid w:val="4E093792"/>
    <w:rsid w:val="4E1D26B7"/>
    <w:rsid w:val="4E1F052C"/>
    <w:rsid w:val="4E451D41"/>
    <w:rsid w:val="4E7A454C"/>
    <w:rsid w:val="4E85341C"/>
    <w:rsid w:val="4E9B7B12"/>
    <w:rsid w:val="4EC47712"/>
    <w:rsid w:val="4EDD3C61"/>
    <w:rsid w:val="4EF1457F"/>
    <w:rsid w:val="4F2C40A0"/>
    <w:rsid w:val="4F2F3B98"/>
    <w:rsid w:val="4F380B7A"/>
    <w:rsid w:val="4F3D7207"/>
    <w:rsid w:val="4F420D1A"/>
    <w:rsid w:val="4F4B0CB3"/>
    <w:rsid w:val="4F4F0EBF"/>
    <w:rsid w:val="4F503150"/>
    <w:rsid w:val="4F8C4B40"/>
    <w:rsid w:val="4F8D2D75"/>
    <w:rsid w:val="4FAA5CD5"/>
    <w:rsid w:val="4FBD187E"/>
    <w:rsid w:val="4FD11AC0"/>
    <w:rsid w:val="50222005"/>
    <w:rsid w:val="502F75EB"/>
    <w:rsid w:val="50400243"/>
    <w:rsid w:val="50494336"/>
    <w:rsid w:val="50784012"/>
    <w:rsid w:val="50813C12"/>
    <w:rsid w:val="5087463E"/>
    <w:rsid w:val="50A11680"/>
    <w:rsid w:val="50B46BB2"/>
    <w:rsid w:val="50B77550"/>
    <w:rsid w:val="50C773AE"/>
    <w:rsid w:val="50CD6602"/>
    <w:rsid w:val="510D0F23"/>
    <w:rsid w:val="51197B59"/>
    <w:rsid w:val="51215D4C"/>
    <w:rsid w:val="51615030"/>
    <w:rsid w:val="51627812"/>
    <w:rsid w:val="51D33F6D"/>
    <w:rsid w:val="52045DB4"/>
    <w:rsid w:val="522C275E"/>
    <w:rsid w:val="525406D0"/>
    <w:rsid w:val="529000F6"/>
    <w:rsid w:val="5296149A"/>
    <w:rsid w:val="52A65672"/>
    <w:rsid w:val="52BA4073"/>
    <w:rsid w:val="52CD7B31"/>
    <w:rsid w:val="52D576F4"/>
    <w:rsid w:val="52DF170A"/>
    <w:rsid w:val="52E25B6D"/>
    <w:rsid w:val="52EE412E"/>
    <w:rsid w:val="52F362FB"/>
    <w:rsid w:val="52F4161A"/>
    <w:rsid w:val="52F965A5"/>
    <w:rsid w:val="53081AD8"/>
    <w:rsid w:val="530E6DD1"/>
    <w:rsid w:val="53235275"/>
    <w:rsid w:val="53240623"/>
    <w:rsid w:val="53321C03"/>
    <w:rsid w:val="533415F9"/>
    <w:rsid w:val="534823B8"/>
    <w:rsid w:val="535657D0"/>
    <w:rsid w:val="535868CC"/>
    <w:rsid w:val="53597EDB"/>
    <w:rsid w:val="538D066D"/>
    <w:rsid w:val="53934B1D"/>
    <w:rsid w:val="53A2278E"/>
    <w:rsid w:val="53CB788B"/>
    <w:rsid w:val="53E32E36"/>
    <w:rsid w:val="540E1413"/>
    <w:rsid w:val="54203B94"/>
    <w:rsid w:val="5424233E"/>
    <w:rsid w:val="542A3DC2"/>
    <w:rsid w:val="542C299E"/>
    <w:rsid w:val="543642C1"/>
    <w:rsid w:val="5461235D"/>
    <w:rsid w:val="54667BA2"/>
    <w:rsid w:val="547E7555"/>
    <w:rsid w:val="54A01FAE"/>
    <w:rsid w:val="54C0256E"/>
    <w:rsid w:val="54C334B7"/>
    <w:rsid w:val="54D4667D"/>
    <w:rsid w:val="54D55C56"/>
    <w:rsid w:val="54EC389B"/>
    <w:rsid w:val="54F847D9"/>
    <w:rsid w:val="55126190"/>
    <w:rsid w:val="553D1731"/>
    <w:rsid w:val="555F3833"/>
    <w:rsid w:val="55667780"/>
    <w:rsid w:val="556E493A"/>
    <w:rsid w:val="55941D63"/>
    <w:rsid w:val="559C0CE1"/>
    <w:rsid w:val="55A4138E"/>
    <w:rsid w:val="55D11119"/>
    <w:rsid w:val="55DB1F79"/>
    <w:rsid w:val="55FB64FE"/>
    <w:rsid w:val="560A42BD"/>
    <w:rsid w:val="560C1D89"/>
    <w:rsid w:val="561F7165"/>
    <w:rsid w:val="56353B20"/>
    <w:rsid w:val="56443B98"/>
    <w:rsid w:val="56453A77"/>
    <w:rsid w:val="56757259"/>
    <w:rsid w:val="5696630E"/>
    <w:rsid w:val="56CB4BCB"/>
    <w:rsid w:val="56D12AE4"/>
    <w:rsid w:val="57391A95"/>
    <w:rsid w:val="573F3C9E"/>
    <w:rsid w:val="574C52C4"/>
    <w:rsid w:val="57526FDB"/>
    <w:rsid w:val="57572F35"/>
    <w:rsid w:val="575B33A4"/>
    <w:rsid w:val="57674A5D"/>
    <w:rsid w:val="577431F2"/>
    <w:rsid w:val="577A0CF7"/>
    <w:rsid w:val="57C90530"/>
    <w:rsid w:val="57CE0836"/>
    <w:rsid w:val="57E76E0C"/>
    <w:rsid w:val="57FB6CB9"/>
    <w:rsid w:val="58062C24"/>
    <w:rsid w:val="581746CE"/>
    <w:rsid w:val="582F44F7"/>
    <w:rsid w:val="583F27F2"/>
    <w:rsid w:val="58455B6D"/>
    <w:rsid w:val="584D29B0"/>
    <w:rsid w:val="584F7C49"/>
    <w:rsid w:val="5888302C"/>
    <w:rsid w:val="5889129A"/>
    <w:rsid w:val="58AD528C"/>
    <w:rsid w:val="58B31955"/>
    <w:rsid w:val="58BA1500"/>
    <w:rsid w:val="58BA45A1"/>
    <w:rsid w:val="594F6915"/>
    <w:rsid w:val="595B69D9"/>
    <w:rsid w:val="59737A65"/>
    <w:rsid w:val="59842DF4"/>
    <w:rsid w:val="59A0359A"/>
    <w:rsid w:val="59E52D9A"/>
    <w:rsid w:val="5A0A2A59"/>
    <w:rsid w:val="5A300449"/>
    <w:rsid w:val="5A482DEE"/>
    <w:rsid w:val="5A55295D"/>
    <w:rsid w:val="5A7E104A"/>
    <w:rsid w:val="5A8208A0"/>
    <w:rsid w:val="5A861FD5"/>
    <w:rsid w:val="5ADE2E08"/>
    <w:rsid w:val="5ADE36B9"/>
    <w:rsid w:val="5AE3253A"/>
    <w:rsid w:val="5AEA30C9"/>
    <w:rsid w:val="5AEA3475"/>
    <w:rsid w:val="5AF54C6B"/>
    <w:rsid w:val="5B087B94"/>
    <w:rsid w:val="5B0C2FBE"/>
    <w:rsid w:val="5B0E3E89"/>
    <w:rsid w:val="5B124740"/>
    <w:rsid w:val="5B3E7FCE"/>
    <w:rsid w:val="5B3F66E7"/>
    <w:rsid w:val="5B423921"/>
    <w:rsid w:val="5B872AE6"/>
    <w:rsid w:val="5BA77753"/>
    <w:rsid w:val="5BC025EF"/>
    <w:rsid w:val="5BC1299D"/>
    <w:rsid w:val="5BC24134"/>
    <w:rsid w:val="5C1203C7"/>
    <w:rsid w:val="5C1F35AE"/>
    <w:rsid w:val="5C3905BF"/>
    <w:rsid w:val="5C66397A"/>
    <w:rsid w:val="5C7349B6"/>
    <w:rsid w:val="5C824C05"/>
    <w:rsid w:val="5C8725EE"/>
    <w:rsid w:val="5C9125C3"/>
    <w:rsid w:val="5CB0251A"/>
    <w:rsid w:val="5CB22E47"/>
    <w:rsid w:val="5CB97030"/>
    <w:rsid w:val="5CBC43DA"/>
    <w:rsid w:val="5CC97332"/>
    <w:rsid w:val="5CDB72B0"/>
    <w:rsid w:val="5D187049"/>
    <w:rsid w:val="5D1D2427"/>
    <w:rsid w:val="5D6C3EA2"/>
    <w:rsid w:val="5D756277"/>
    <w:rsid w:val="5D955FBD"/>
    <w:rsid w:val="5DA62524"/>
    <w:rsid w:val="5DAC3919"/>
    <w:rsid w:val="5DB36259"/>
    <w:rsid w:val="5DBD33B2"/>
    <w:rsid w:val="5DC223CB"/>
    <w:rsid w:val="5DF66637"/>
    <w:rsid w:val="5DFF6858"/>
    <w:rsid w:val="5E185132"/>
    <w:rsid w:val="5E2A0167"/>
    <w:rsid w:val="5E49688B"/>
    <w:rsid w:val="5E5D68E8"/>
    <w:rsid w:val="5E802A96"/>
    <w:rsid w:val="5E9074FF"/>
    <w:rsid w:val="5EB62A77"/>
    <w:rsid w:val="5EB80355"/>
    <w:rsid w:val="5EBB2226"/>
    <w:rsid w:val="5EBE5F24"/>
    <w:rsid w:val="5EF07004"/>
    <w:rsid w:val="5F0E1E9A"/>
    <w:rsid w:val="5F3E60DC"/>
    <w:rsid w:val="5F414A14"/>
    <w:rsid w:val="5F860C23"/>
    <w:rsid w:val="5FC44411"/>
    <w:rsid w:val="5FE14524"/>
    <w:rsid w:val="5FFD3773"/>
    <w:rsid w:val="605C7AA6"/>
    <w:rsid w:val="605F132B"/>
    <w:rsid w:val="608510A4"/>
    <w:rsid w:val="608762FF"/>
    <w:rsid w:val="609E1C45"/>
    <w:rsid w:val="60BD4FD1"/>
    <w:rsid w:val="60C50D04"/>
    <w:rsid w:val="60D507D0"/>
    <w:rsid w:val="60EA1511"/>
    <w:rsid w:val="60EB6C34"/>
    <w:rsid w:val="60FD5C7B"/>
    <w:rsid w:val="613D7E7B"/>
    <w:rsid w:val="615B2044"/>
    <w:rsid w:val="617162E9"/>
    <w:rsid w:val="61753D26"/>
    <w:rsid w:val="61A52BAA"/>
    <w:rsid w:val="61B160E0"/>
    <w:rsid w:val="61B80811"/>
    <w:rsid w:val="61FA0AE4"/>
    <w:rsid w:val="623438BB"/>
    <w:rsid w:val="623A3D61"/>
    <w:rsid w:val="624B10F0"/>
    <w:rsid w:val="624F3E48"/>
    <w:rsid w:val="62635981"/>
    <w:rsid w:val="629B3E75"/>
    <w:rsid w:val="629B5D43"/>
    <w:rsid w:val="62A36D1F"/>
    <w:rsid w:val="62A40365"/>
    <w:rsid w:val="62A469A9"/>
    <w:rsid w:val="62A92FF1"/>
    <w:rsid w:val="62B90FFE"/>
    <w:rsid w:val="62EE7C54"/>
    <w:rsid w:val="62F6018D"/>
    <w:rsid w:val="63016E3A"/>
    <w:rsid w:val="63034141"/>
    <w:rsid w:val="63045E00"/>
    <w:rsid w:val="630A731B"/>
    <w:rsid w:val="63386B48"/>
    <w:rsid w:val="633A3FE7"/>
    <w:rsid w:val="6343759D"/>
    <w:rsid w:val="63562840"/>
    <w:rsid w:val="637141EC"/>
    <w:rsid w:val="63805B1F"/>
    <w:rsid w:val="63834973"/>
    <w:rsid w:val="638F3DC7"/>
    <w:rsid w:val="6397194C"/>
    <w:rsid w:val="63C40E19"/>
    <w:rsid w:val="63DA4B5E"/>
    <w:rsid w:val="64273E62"/>
    <w:rsid w:val="642E2892"/>
    <w:rsid w:val="64AD7C37"/>
    <w:rsid w:val="64B05758"/>
    <w:rsid w:val="64BE4B0D"/>
    <w:rsid w:val="65075A96"/>
    <w:rsid w:val="650E600B"/>
    <w:rsid w:val="650F0C7B"/>
    <w:rsid w:val="65537E4F"/>
    <w:rsid w:val="65B221E6"/>
    <w:rsid w:val="66246E35"/>
    <w:rsid w:val="66426031"/>
    <w:rsid w:val="66593B74"/>
    <w:rsid w:val="66651C8A"/>
    <w:rsid w:val="66675176"/>
    <w:rsid w:val="669F2C65"/>
    <w:rsid w:val="66B94751"/>
    <w:rsid w:val="66BE6B53"/>
    <w:rsid w:val="66C55FD8"/>
    <w:rsid w:val="66D333AF"/>
    <w:rsid w:val="67192A34"/>
    <w:rsid w:val="674A4927"/>
    <w:rsid w:val="677243C5"/>
    <w:rsid w:val="678568CD"/>
    <w:rsid w:val="67A24F14"/>
    <w:rsid w:val="67BB4EAD"/>
    <w:rsid w:val="67E453F6"/>
    <w:rsid w:val="67F130F8"/>
    <w:rsid w:val="67F84AFE"/>
    <w:rsid w:val="680878A3"/>
    <w:rsid w:val="68340476"/>
    <w:rsid w:val="683870E8"/>
    <w:rsid w:val="68457681"/>
    <w:rsid w:val="684977D5"/>
    <w:rsid w:val="68552C50"/>
    <w:rsid w:val="685D34E7"/>
    <w:rsid w:val="68A8123A"/>
    <w:rsid w:val="68B84F4C"/>
    <w:rsid w:val="69055229"/>
    <w:rsid w:val="69213316"/>
    <w:rsid w:val="6929374C"/>
    <w:rsid w:val="692F20BB"/>
    <w:rsid w:val="694A031C"/>
    <w:rsid w:val="696A0649"/>
    <w:rsid w:val="69784C3F"/>
    <w:rsid w:val="69C1095D"/>
    <w:rsid w:val="6A0138F7"/>
    <w:rsid w:val="6A1E155A"/>
    <w:rsid w:val="6A7367A0"/>
    <w:rsid w:val="6A7B5447"/>
    <w:rsid w:val="6AB26786"/>
    <w:rsid w:val="6ADB012D"/>
    <w:rsid w:val="6AE3748E"/>
    <w:rsid w:val="6AE7263A"/>
    <w:rsid w:val="6AF53FAE"/>
    <w:rsid w:val="6B0D35D0"/>
    <w:rsid w:val="6B1C3EC6"/>
    <w:rsid w:val="6B574638"/>
    <w:rsid w:val="6B615C8D"/>
    <w:rsid w:val="6B67068F"/>
    <w:rsid w:val="6B6E2E8D"/>
    <w:rsid w:val="6BAB6FBB"/>
    <w:rsid w:val="6BAC4EE9"/>
    <w:rsid w:val="6BB568D4"/>
    <w:rsid w:val="6BD6577A"/>
    <w:rsid w:val="6BDF79C7"/>
    <w:rsid w:val="6BE146ED"/>
    <w:rsid w:val="6C0060C1"/>
    <w:rsid w:val="6C0B074D"/>
    <w:rsid w:val="6C1458EF"/>
    <w:rsid w:val="6C231806"/>
    <w:rsid w:val="6C275F8B"/>
    <w:rsid w:val="6C3B15FF"/>
    <w:rsid w:val="6C3B431E"/>
    <w:rsid w:val="6C3E5116"/>
    <w:rsid w:val="6C725FD7"/>
    <w:rsid w:val="6C852D02"/>
    <w:rsid w:val="6CC0649B"/>
    <w:rsid w:val="6CEA2C90"/>
    <w:rsid w:val="6CFA5C74"/>
    <w:rsid w:val="6D2C4A68"/>
    <w:rsid w:val="6D3B2E78"/>
    <w:rsid w:val="6D3C3AC0"/>
    <w:rsid w:val="6D410335"/>
    <w:rsid w:val="6D4305C3"/>
    <w:rsid w:val="6D48445E"/>
    <w:rsid w:val="6D500B73"/>
    <w:rsid w:val="6D666AA6"/>
    <w:rsid w:val="6D687043"/>
    <w:rsid w:val="6D7D6DC8"/>
    <w:rsid w:val="6D885EAB"/>
    <w:rsid w:val="6D953F0C"/>
    <w:rsid w:val="6DB67EBB"/>
    <w:rsid w:val="6DDB598E"/>
    <w:rsid w:val="6DEF52E3"/>
    <w:rsid w:val="6E0E6A1E"/>
    <w:rsid w:val="6E2D763E"/>
    <w:rsid w:val="6E420FB1"/>
    <w:rsid w:val="6E95768E"/>
    <w:rsid w:val="6EA14900"/>
    <w:rsid w:val="6EB27AA3"/>
    <w:rsid w:val="6EF9461D"/>
    <w:rsid w:val="6F056FB5"/>
    <w:rsid w:val="6F1348E9"/>
    <w:rsid w:val="6F2A01FE"/>
    <w:rsid w:val="6F2A71A4"/>
    <w:rsid w:val="6F487F58"/>
    <w:rsid w:val="6F9415EA"/>
    <w:rsid w:val="6FAE2978"/>
    <w:rsid w:val="6FB02D87"/>
    <w:rsid w:val="6FB72F84"/>
    <w:rsid w:val="6FCA5E7C"/>
    <w:rsid w:val="6FDC37CB"/>
    <w:rsid w:val="6FE3419F"/>
    <w:rsid w:val="6FF778F1"/>
    <w:rsid w:val="700346D4"/>
    <w:rsid w:val="700706FE"/>
    <w:rsid w:val="70287F2C"/>
    <w:rsid w:val="70AF69EB"/>
    <w:rsid w:val="70F97D93"/>
    <w:rsid w:val="711407D8"/>
    <w:rsid w:val="71181113"/>
    <w:rsid w:val="711D7CA6"/>
    <w:rsid w:val="71227E63"/>
    <w:rsid w:val="71614B6B"/>
    <w:rsid w:val="718D2905"/>
    <w:rsid w:val="719909D2"/>
    <w:rsid w:val="719B61D4"/>
    <w:rsid w:val="71A10922"/>
    <w:rsid w:val="71D214DD"/>
    <w:rsid w:val="72091DAA"/>
    <w:rsid w:val="72267D97"/>
    <w:rsid w:val="724E29D1"/>
    <w:rsid w:val="728564F5"/>
    <w:rsid w:val="728B7ACE"/>
    <w:rsid w:val="728E70EC"/>
    <w:rsid w:val="729701CD"/>
    <w:rsid w:val="72AB431D"/>
    <w:rsid w:val="72DA09BB"/>
    <w:rsid w:val="72E745EF"/>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365CE"/>
    <w:rsid w:val="73E64B1D"/>
    <w:rsid w:val="73F97A1E"/>
    <w:rsid w:val="740735EA"/>
    <w:rsid w:val="7408106C"/>
    <w:rsid w:val="749E2818"/>
    <w:rsid w:val="74BE4E97"/>
    <w:rsid w:val="74D504C8"/>
    <w:rsid w:val="74F679F1"/>
    <w:rsid w:val="74F841F7"/>
    <w:rsid w:val="75003D28"/>
    <w:rsid w:val="750445F2"/>
    <w:rsid w:val="75155DD5"/>
    <w:rsid w:val="751D637E"/>
    <w:rsid w:val="751F2555"/>
    <w:rsid w:val="753504B8"/>
    <w:rsid w:val="75466A74"/>
    <w:rsid w:val="758418D8"/>
    <w:rsid w:val="75A17528"/>
    <w:rsid w:val="75AA6AC3"/>
    <w:rsid w:val="75B749A9"/>
    <w:rsid w:val="75CD3F16"/>
    <w:rsid w:val="76781DCD"/>
    <w:rsid w:val="76D84698"/>
    <w:rsid w:val="76E37239"/>
    <w:rsid w:val="775865D7"/>
    <w:rsid w:val="775B4584"/>
    <w:rsid w:val="776234AF"/>
    <w:rsid w:val="776D12AE"/>
    <w:rsid w:val="77AD0FE0"/>
    <w:rsid w:val="77B40C8D"/>
    <w:rsid w:val="77BE7384"/>
    <w:rsid w:val="78821B50"/>
    <w:rsid w:val="788E2A2A"/>
    <w:rsid w:val="78BC088E"/>
    <w:rsid w:val="78C52EE0"/>
    <w:rsid w:val="78D23C9C"/>
    <w:rsid w:val="7913610A"/>
    <w:rsid w:val="791A167A"/>
    <w:rsid w:val="796B6F7E"/>
    <w:rsid w:val="79935707"/>
    <w:rsid w:val="799A2128"/>
    <w:rsid w:val="79C30D65"/>
    <w:rsid w:val="79CC3295"/>
    <w:rsid w:val="7A0B1561"/>
    <w:rsid w:val="7A25258A"/>
    <w:rsid w:val="7A2C646D"/>
    <w:rsid w:val="7A55546C"/>
    <w:rsid w:val="7A743686"/>
    <w:rsid w:val="7A824E2E"/>
    <w:rsid w:val="7A93705D"/>
    <w:rsid w:val="7A9E7BE0"/>
    <w:rsid w:val="7AFF6437"/>
    <w:rsid w:val="7B021BF1"/>
    <w:rsid w:val="7B583BC8"/>
    <w:rsid w:val="7B637BCE"/>
    <w:rsid w:val="7B9F2862"/>
    <w:rsid w:val="7BA9751C"/>
    <w:rsid w:val="7BAB44F6"/>
    <w:rsid w:val="7BB856C6"/>
    <w:rsid w:val="7BBB27D3"/>
    <w:rsid w:val="7BC24A45"/>
    <w:rsid w:val="7BD52A90"/>
    <w:rsid w:val="7C074045"/>
    <w:rsid w:val="7C076616"/>
    <w:rsid w:val="7C0D60AB"/>
    <w:rsid w:val="7C140212"/>
    <w:rsid w:val="7C295DFC"/>
    <w:rsid w:val="7C4B37FA"/>
    <w:rsid w:val="7C58255B"/>
    <w:rsid w:val="7C5B5FF8"/>
    <w:rsid w:val="7C910DB6"/>
    <w:rsid w:val="7CF03F88"/>
    <w:rsid w:val="7CF73786"/>
    <w:rsid w:val="7D5227A0"/>
    <w:rsid w:val="7D5E51C4"/>
    <w:rsid w:val="7D7525FB"/>
    <w:rsid w:val="7DC111D1"/>
    <w:rsid w:val="7DC43A43"/>
    <w:rsid w:val="7DC74225"/>
    <w:rsid w:val="7DDA69EF"/>
    <w:rsid w:val="7E6C26A2"/>
    <w:rsid w:val="7EAE79BC"/>
    <w:rsid w:val="7EB35583"/>
    <w:rsid w:val="7EB5276C"/>
    <w:rsid w:val="7EBC57D7"/>
    <w:rsid w:val="7EC951C7"/>
    <w:rsid w:val="7ED0794B"/>
    <w:rsid w:val="7ED70A6F"/>
    <w:rsid w:val="7EE20D78"/>
    <w:rsid w:val="7F3206AA"/>
    <w:rsid w:val="7F5E6382"/>
    <w:rsid w:val="7F5F2553"/>
    <w:rsid w:val="7F89742A"/>
    <w:rsid w:val="7F9B22D0"/>
    <w:rsid w:val="7F9D24A1"/>
    <w:rsid w:val="7F9F74D0"/>
    <w:rsid w:val="7FA200C0"/>
    <w:rsid w:val="7FA23B7F"/>
    <w:rsid w:val="7FBE60DA"/>
    <w:rsid w:val="7FBF3588"/>
    <w:rsid w:val="7FDE4F4F"/>
    <w:rsid w:val="7FEB29A2"/>
    <w:rsid w:val="7FEB69A3"/>
    <w:rsid w:val="7FFB01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Char"/>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Char"/>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Char"/>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Char"/>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61</Pages>
  <Words>6442</Words>
  <Characters>36722</Characters>
  <Lines>306</Lines>
  <Paragraphs>86</Paragraphs>
  <TotalTime>1</TotalTime>
  <ScaleCrop>false</ScaleCrop>
  <LinksUpToDate>false</LinksUpToDate>
  <CharactersWithSpaces>43078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2020-07-21T03:49:00Z</dcterms:created>
  <dc:creator>风之客</dc:creator>
  <cp:lastModifiedBy>NTKO</cp:lastModifiedBy>
  <cp:lastPrinted>2019-09-01T07:55:00Z</cp:lastPrinted>
  <dcterms:modified xsi:type="dcterms:W3CDTF">2020-07-22T09:27:19Z</dcterms:modified>
  <dc:title>湖 北  招 标</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