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ascii="黑体" w:hAnsi="宋体" w:eastAsia="黑体"/>
          <w:sz w:val="30"/>
          <w:szCs w:val="30"/>
        </w:rPr>
        <w:drawing>
          <wp:anchor distT="0" distB="0" distL="114300" distR="114300" simplePos="0" relativeHeight="251658240" behindDoc="0" locked="0" layoutInCell="1" allowOverlap="1">
            <wp:simplePos x="0" y="0"/>
            <wp:positionH relativeFrom="column">
              <wp:posOffset>257810</wp:posOffset>
            </wp:positionH>
            <wp:positionV relativeFrom="paragraph">
              <wp:posOffset>229870</wp:posOffset>
            </wp:positionV>
            <wp:extent cx="1222375" cy="784860"/>
            <wp:effectExtent l="0" t="0" r="15875" b="15240"/>
            <wp:wrapSquare wrapText="bothSides"/>
            <wp:docPr id="1"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背景墙"/>
                    <pic:cNvPicPr>
                      <a:picLocks noChangeAspect="1"/>
                    </pic:cNvPicPr>
                  </pic:nvPicPr>
                  <pic:blipFill>
                    <a:blip r:embed="rId5"/>
                    <a:stretch>
                      <a:fillRect/>
                    </a:stretch>
                  </pic:blipFill>
                  <pic:spPr>
                    <a:xfrm>
                      <a:off x="0" y="0"/>
                      <a:ext cx="1222375" cy="784860"/>
                    </a:xfrm>
                    <a:prstGeom prst="rect">
                      <a:avLst/>
                    </a:prstGeom>
                    <a:noFill/>
                    <a:ln>
                      <a:noFill/>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kinsoku w:val="0"/>
        <w:overflowPunct w:val="0"/>
        <w:ind w:right="17"/>
        <w:jc w:val="center"/>
        <w:outlineLvl w:val="9"/>
        <w:rPr>
          <w:rFonts w:hint="eastAsia" w:asciiTheme="minorEastAsia" w:hAnsiTheme="minorEastAsia" w:eastAsiaTheme="minorEastAsia" w:cstheme="minorEastAsia"/>
          <w:color w:val="auto"/>
          <w:sz w:val="28"/>
        </w:rPr>
      </w:pPr>
    </w:p>
    <w:p>
      <w:pPr>
        <w:pStyle w:val="6"/>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shadow/>
          <w:color w:val="auto"/>
          <w:sz w:val="92"/>
          <w:lang w:val="en-US" w:eastAsia="zh-CN"/>
        </w:rPr>
        <w:t>询价</w:t>
      </w:r>
      <w:r>
        <w:rPr>
          <w:rFonts w:hint="eastAsia" w:asciiTheme="minorEastAsia" w:hAnsiTheme="minorEastAsia" w:eastAsiaTheme="minorEastAsia" w:cstheme="minorEastAsia"/>
          <w:shadow/>
          <w:color w:val="auto"/>
          <w:sz w:val="92"/>
        </w:rPr>
        <w:t>采购文件</w:t>
      </w:r>
    </w:p>
    <w:p>
      <w:pPr>
        <w:pStyle w:val="6"/>
        <w:kinsoku w:val="0"/>
        <w:overflowPunct w:val="0"/>
        <w:jc w:val="both"/>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spacing w:before="2" w:after="1"/>
        <w:rPr>
          <w:rFonts w:hint="eastAsia" w:asciiTheme="minorEastAsia" w:hAnsiTheme="minorEastAsia" w:eastAsiaTheme="minorEastAsia" w:cstheme="minorEastAsia"/>
          <w:color w:val="auto"/>
          <w:sz w:val="11"/>
        </w:rPr>
      </w:pPr>
    </w:p>
    <w:tbl>
      <w:tblPr>
        <w:tblStyle w:val="20"/>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35"/>
              <w:kinsoku w:val="0"/>
              <w:overflowPunct w:val="0"/>
              <w:spacing w:before="122"/>
              <w:ind w:right="53"/>
              <w:jc w:val="center"/>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35"/>
              <w:kinsoku w:val="0"/>
              <w:overflowPunct w:val="0"/>
              <w:spacing w:before="122"/>
              <w:ind w:left="55"/>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ZJZB-202006-174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35"/>
              <w:kinsoku w:val="0"/>
              <w:overflowPunct w:val="0"/>
              <w:spacing w:before="123"/>
              <w:ind w:right="53"/>
              <w:jc w:val="center"/>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35"/>
              <w:kinsoku w:val="0"/>
              <w:overflowPunct w:val="0"/>
              <w:spacing w:before="123" w:line="242" w:lineRule="auto"/>
              <w:ind w:left="55" w:right="136"/>
              <w:jc w:val="left"/>
              <w:rPr>
                <w:rFonts w:hint="eastAsia" w:asciiTheme="minorEastAsia" w:hAnsiTheme="minorEastAsia" w:eastAsiaTheme="minorEastAsia" w:cstheme="minorEastAsia"/>
                <w:b/>
                <w:color w:val="auto"/>
                <w:sz w:val="28"/>
                <w:lang w:eastAsia="zh-CN"/>
              </w:rPr>
            </w:pPr>
            <w:r>
              <w:rPr>
                <w:rFonts w:asciiTheme="minorEastAsia" w:hAnsiTheme="minorEastAsia" w:eastAsiaTheme="minorEastAsia" w:cstheme="minorEastAsia"/>
                <w:b/>
                <w:color w:val="auto"/>
                <w:sz w:val="28"/>
              </w:rPr>
              <w:t>湖北美术学院</w:t>
            </w:r>
            <w:r>
              <w:rPr>
                <w:rFonts w:hint="eastAsia" w:asciiTheme="minorEastAsia" w:hAnsiTheme="minorEastAsia" w:eastAsiaTheme="minorEastAsia" w:cstheme="minorEastAsia"/>
                <w:b/>
                <w:color w:val="auto"/>
                <w:sz w:val="28"/>
              </w:rPr>
              <w:t>洒水车采购</w:t>
            </w:r>
            <w:r>
              <w:rPr>
                <w:rFonts w:hint="eastAsia" w:asciiTheme="minorEastAsia" w:hAnsiTheme="minorEastAsia" w:eastAsiaTheme="minorEastAsia" w:cstheme="minorEastAsia"/>
                <w:b/>
                <w:color w:val="auto"/>
                <w:sz w:val="28"/>
                <w:lang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35"/>
              <w:kinsoku w:val="0"/>
              <w:overflowPunct w:val="0"/>
              <w:spacing w:before="122" w:line="299" w:lineRule="exact"/>
              <w:ind w:right="53"/>
              <w:jc w:val="center"/>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35"/>
              <w:kinsoku w:val="0"/>
              <w:overflowPunct w:val="0"/>
              <w:spacing w:before="122" w:line="299" w:lineRule="exact"/>
              <w:ind w:left="55"/>
              <w:jc w:val="left"/>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lang w:val="en-US" w:eastAsia="zh-CN"/>
              </w:rPr>
              <w:t>询价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35"/>
              <w:kinsoku w:val="0"/>
              <w:overflowPunct w:val="0"/>
              <w:spacing w:before="122" w:line="299" w:lineRule="exact"/>
              <w:ind w:right="53"/>
              <w:jc w:val="center"/>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35"/>
              <w:kinsoku w:val="0"/>
              <w:overflowPunct w:val="0"/>
              <w:spacing w:before="122" w:line="299" w:lineRule="exact"/>
              <w:ind w:left="55"/>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tbl>
      <w:tblPr>
        <w:tblStyle w:val="20"/>
        <w:tblpPr w:leftFromText="180" w:rightFromText="180" w:vertAnchor="text" w:horzAnchor="page" w:tblpX="1754" w:tblpY="404"/>
        <w:tblOverlap w:val="never"/>
        <w:tblW w:w="81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30"/>
        <w:gridCol w:w="5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130" w:type="dxa"/>
            <w:tcBorders>
              <w:top w:val="nil"/>
              <w:left w:val="nil"/>
              <w:bottom w:val="nil"/>
              <w:right w:val="nil"/>
              <w:tl2br w:val="nil"/>
              <w:tr2bl w:val="nil"/>
            </w:tcBorders>
            <w:vAlign w:val="center"/>
          </w:tcPr>
          <w:p>
            <w:pPr>
              <w:pStyle w:val="3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人：</w:t>
            </w:r>
          </w:p>
        </w:tc>
        <w:tc>
          <w:tcPr>
            <w:tcW w:w="5993" w:type="dxa"/>
            <w:tcBorders>
              <w:top w:val="nil"/>
              <w:left w:val="nil"/>
              <w:bottom w:val="nil"/>
              <w:right w:val="nil"/>
              <w:tl2br w:val="nil"/>
              <w:tr2bl w:val="nil"/>
            </w:tcBorders>
            <w:vAlign w:val="center"/>
          </w:tcPr>
          <w:p>
            <w:pPr>
              <w:pStyle w:val="3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湖北美术学院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130" w:type="dxa"/>
            <w:tcBorders>
              <w:top w:val="nil"/>
              <w:left w:val="nil"/>
              <w:bottom w:val="nil"/>
              <w:right w:val="nil"/>
              <w:tl2br w:val="nil"/>
              <w:tr2bl w:val="nil"/>
            </w:tcBorders>
            <w:vAlign w:val="center"/>
          </w:tcPr>
          <w:p>
            <w:pPr>
              <w:pStyle w:val="35"/>
              <w:kinsoku w:val="0"/>
              <w:overflowPunct w:val="0"/>
              <w:spacing w:before="122"/>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采购</w:t>
            </w:r>
            <w:r>
              <w:rPr>
                <w:rFonts w:hint="eastAsia" w:asciiTheme="minorEastAsia" w:hAnsiTheme="minorEastAsia" w:eastAsiaTheme="minorEastAsia" w:cstheme="minorEastAsia"/>
                <w:b/>
                <w:color w:val="auto"/>
                <w:sz w:val="28"/>
              </w:rPr>
              <w:t>代理机构：</w:t>
            </w:r>
          </w:p>
        </w:tc>
        <w:tc>
          <w:tcPr>
            <w:tcW w:w="5993" w:type="dxa"/>
            <w:tcBorders>
              <w:top w:val="nil"/>
              <w:left w:val="nil"/>
              <w:bottom w:val="nil"/>
              <w:right w:val="nil"/>
              <w:tl2br w:val="nil"/>
              <w:tr2bl w:val="nil"/>
            </w:tcBorders>
            <w:vAlign w:val="center"/>
          </w:tcPr>
          <w:p>
            <w:pPr>
              <w:pStyle w:val="35"/>
              <w:kinsoku w:val="0"/>
              <w:overflowPunct w:val="0"/>
              <w:spacing w:before="122"/>
              <w:ind w:left="200"/>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130" w:type="dxa"/>
            <w:tcBorders>
              <w:top w:val="nil"/>
              <w:left w:val="nil"/>
              <w:bottom w:val="nil"/>
              <w:right w:val="nil"/>
              <w:tl2br w:val="nil"/>
              <w:tr2bl w:val="nil"/>
            </w:tcBorders>
            <w:vAlign w:val="center"/>
          </w:tcPr>
          <w:p>
            <w:pPr>
              <w:pStyle w:val="3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5993" w:type="dxa"/>
            <w:tcBorders>
              <w:top w:val="nil"/>
              <w:left w:val="nil"/>
              <w:bottom w:val="nil"/>
              <w:right w:val="nil"/>
              <w:tl2br w:val="nil"/>
              <w:tr2bl w:val="nil"/>
            </w:tcBorders>
            <w:vAlign w:val="center"/>
          </w:tcPr>
          <w:p>
            <w:pPr>
              <w:pStyle w:val="3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 xml:space="preserve"> 6 </w:t>
            </w:r>
            <w:r>
              <w:rPr>
                <w:rFonts w:hint="eastAsia" w:asciiTheme="minorEastAsia" w:hAnsiTheme="minorEastAsia" w:eastAsiaTheme="minorEastAsia" w:cstheme="minorEastAsia"/>
                <w:b/>
                <w:color w:val="auto"/>
                <w:sz w:val="28"/>
              </w:rPr>
              <w:t>月</w:t>
            </w:r>
          </w:p>
        </w:tc>
      </w:tr>
    </w:tbl>
    <w:p>
      <w:pPr>
        <w:pStyle w:val="6"/>
        <w:kinsoku w:val="0"/>
        <w:overflowPunct w:val="0"/>
        <w:spacing w:before="4"/>
        <w:rPr>
          <w:rFonts w:hint="eastAsia" w:asciiTheme="minorEastAsia" w:hAnsiTheme="minorEastAsia" w:eastAsiaTheme="minorEastAsia" w:cstheme="minorEastAsia"/>
          <w:color w:val="auto"/>
          <w:sz w:val="20"/>
        </w:rPr>
      </w:pPr>
    </w:p>
    <w:p>
      <w:pPr>
        <w:pStyle w:val="14"/>
        <w:tabs>
          <w:tab w:val="right" w:leader="dot" w:pos="8306"/>
        </w:tabs>
        <w:jc w:val="center"/>
        <w:rPr>
          <w:rFonts w:hint="eastAsia"/>
          <w:sz w:val="48"/>
          <w:szCs w:val="48"/>
        </w:rPr>
      </w:pPr>
    </w:p>
    <w:p>
      <w:pPr>
        <w:rPr>
          <w:rFonts w:hint="eastAsia"/>
          <w:sz w:val="48"/>
          <w:szCs w:val="48"/>
        </w:rPr>
      </w:pPr>
      <w:r>
        <w:rPr>
          <w:rFonts w:hint="eastAsia"/>
          <w:sz w:val="48"/>
          <w:szCs w:val="48"/>
        </w:rPr>
        <w:br w:type="page"/>
      </w:r>
    </w:p>
    <w:p>
      <w:pPr>
        <w:pStyle w:val="14"/>
        <w:tabs>
          <w:tab w:val="right" w:leader="dot" w:pos="8306"/>
        </w:tabs>
        <w:jc w:val="center"/>
      </w:pPr>
      <w:r>
        <w:rPr>
          <w:rFonts w:hint="eastAsia"/>
          <w:sz w:val="48"/>
          <w:szCs w:val="48"/>
        </w:rPr>
        <w:t>目录</w:t>
      </w:r>
    </w:p>
    <w:sdt>
      <w:sdtPr>
        <w:rPr>
          <w:rFonts w:ascii="宋体" w:hAnsi="宋体" w:eastAsia="宋体" w:cs="Times New Roman"/>
          <w:kern w:val="2"/>
          <w:sz w:val="21"/>
          <w:lang w:val="en-US" w:eastAsia="zh-CN" w:bidi="ar-SA"/>
        </w:rPr>
        <w:id w:val="147476781"/>
        <w15:color w:val="DBDBDB"/>
        <w:docPartObj>
          <w:docPartGallery w:val="Table of Contents"/>
          <w:docPartUnique/>
        </w:docPartObj>
      </w:sdtPr>
      <w:sdtEndPr>
        <w:rPr>
          <w:rFonts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bookmarkStart w:id="0" w:name="_Toc29733"/>
        </w:p>
        <w:p>
          <w:pPr>
            <w:pStyle w:val="14"/>
            <w:tabs>
              <w:tab w:val="right" w:leader="dot" w:pos="9746"/>
            </w:tabs>
          </w:pPr>
          <w:r>
            <w:fldChar w:fldCharType="begin"/>
          </w:r>
          <w:r>
            <w:instrText xml:space="preserve">TOC \o "1-1" \h \u </w:instrText>
          </w:r>
          <w:r>
            <w:fldChar w:fldCharType="separate"/>
          </w:r>
          <w:r>
            <w:fldChar w:fldCharType="begin"/>
          </w:r>
          <w:r>
            <w:instrText xml:space="preserve"> HYPERLINK \l _Toc23528 </w:instrText>
          </w:r>
          <w:r>
            <w:fldChar w:fldCharType="separate"/>
          </w:r>
          <w:r>
            <w:rPr>
              <w:rFonts w:hint="default" w:ascii="宋体" w:hAnsi="宋体"/>
              <w:szCs w:val="32"/>
            </w:rPr>
            <w:t xml:space="preserve">第一章 </w:t>
          </w:r>
          <w:r>
            <w:rPr>
              <w:rFonts w:hint="eastAsia" w:ascii="宋体" w:hAnsi="宋体"/>
              <w:szCs w:val="32"/>
            </w:rPr>
            <w:t>询价邀请函（询价公告）</w:t>
          </w:r>
          <w:r>
            <w:tab/>
          </w:r>
          <w:r>
            <w:fldChar w:fldCharType="begin"/>
          </w:r>
          <w:r>
            <w:instrText xml:space="preserve"> PAGEREF _Toc23528 </w:instrText>
          </w:r>
          <w:r>
            <w:fldChar w:fldCharType="separate"/>
          </w:r>
          <w:r>
            <w:t>3</w:t>
          </w:r>
          <w:r>
            <w:fldChar w:fldCharType="end"/>
          </w:r>
          <w:r>
            <w:fldChar w:fldCharType="end"/>
          </w:r>
        </w:p>
        <w:p>
          <w:pPr>
            <w:pStyle w:val="14"/>
            <w:tabs>
              <w:tab w:val="right" w:leader="dot" w:pos="9746"/>
            </w:tabs>
          </w:pPr>
          <w:r>
            <w:fldChar w:fldCharType="begin"/>
          </w:r>
          <w:r>
            <w:instrText xml:space="preserve"> HYPERLINK \l _Toc27076 </w:instrText>
          </w:r>
          <w:r>
            <w:fldChar w:fldCharType="separate"/>
          </w:r>
          <w:r>
            <w:rPr>
              <w:rFonts w:hint="default" w:ascii="宋体" w:hAnsi="宋体"/>
              <w:szCs w:val="32"/>
            </w:rPr>
            <w:t xml:space="preserve">第二章 </w:t>
          </w:r>
          <w:r>
            <w:rPr>
              <w:rFonts w:hint="eastAsia" w:ascii="宋体" w:hAnsi="宋体"/>
              <w:szCs w:val="32"/>
            </w:rPr>
            <w:t>报价须知</w:t>
          </w:r>
          <w:r>
            <w:tab/>
          </w:r>
          <w:r>
            <w:fldChar w:fldCharType="begin"/>
          </w:r>
          <w:r>
            <w:instrText xml:space="preserve"> PAGEREF _Toc27076 </w:instrText>
          </w:r>
          <w:r>
            <w:fldChar w:fldCharType="separate"/>
          </w:r>
          <w:r>
            <w:t>7</w:t>
          </w:r>
          <w:r>
            <w:fldChar w:fldCharType="end"/>
          </w:r>
          <w:r>
            <w:fldChar w:fldCharType="end"/>
          </w:r>
        </w:p>
        <w:p>
          <w:pPr>
            <w:pStyle w:val="14"/>
            <w:tabs>
              <w:tab w:val="right" w:leader="dot" w:pos="9746"/>
            </w:tabs>
          </w:pPr>
          <w:r>
            <w:fldChar w:fldCharType="begin"/>
          </w:r>
          <w:r>
            <w:instrText xml:space="preserve"> HYPERLINK \l _Toc17414 </w:instrText>
          </w:r>
          <w:r>
            <w:fldChar w:fldCharType="separate"/>
          </w:r>
          <w:r>
            <w:rPr>
              <w:rFonts w:hint="eastAsia" w:ascii="宋体" w:hAnsi="宋体"/>
              <w:szCs w:val="32"/>
            </w:rPr>
            <w:t>第三章  采购需求</w:t>
          </w:r>
          <w:r>
            <w:tab/>
          </w:r>
          <w:r>
            <w:fldChar w:fldCharType="begin"/>
          </w:r>
          <w:r>
            <w:instrText xml:space="preserve"> PAGEREF _Toc17414 </w:instrText>
          </w:r>
          <w:r>
            <w:fldChar w:fldCharType="separate"/>
          </w:r>
          <w:r>
            <w:t>12</w:t>
          </w:r>
          <w:r>
            <w:fldChar w:fldCharType="end"/>
          </w:r>
          <w:r>
            <w:fldChar w:fldCharType="end"/>
          </w:r>
        </w:p>
        <w:p>
          <w:pPr>
            <w:pStyle w:val="14"/>
            <w:tabs>
              <w:tab w:val="right" w:leader="dot" w:pos="9746"/>
            </w:tabs>
          </w:pPr>
          <w:r>
            <w:fldChar w:fldCharType="begin"/>
          </w:r>
          <w:r>
            <w:instrText xml:space="preserve"> HYPERLINK \l _Toc10478 </w:instrText>
          </w:r>
          <w:r>
            <w:fldChar w:fldCharType="separate"/>
          </w:r>
          <w:r>
            <w:rPr>
              <w:rFonts w:hint="eastAsia" w:ascii="宋体" w:hAnsi="宋体"/>
              <w:szCs w:val="32"/>
            </w:rPr>
            <w:t>第四章  询价采购程序及评定成交标准</w:t>
          </w:r>
          <w:r>
            <w:tab/>
          </w:r>
          <w:r>
            <w:fldChar w:fldCharType="begin"/>
          </w:r>
          <w:r>
            <w:instrText xml:space="preserve"> PAGEREF _Toc10478 </w:instrText>
          </w:r>
          <w:r>
            <w:fldChar w:fldCharType="separate"/>
          </w:r>
          <w:r>
            <w:t>14</w:t>
          </w:r>
          <w:r>
            <w:fldChar w:fldCharType="end"/>
          </w:r>
          <w:r>
            <w:fldChar w:fldCharType="end"/>
          </w:r>
        </w:p>
        <w:p>
          <w:pPr>
            <w:pStyle w:val="14"/>
            <w:tabs>
              <w:tab w:val="right" w:leader="dot" w:pos="9746"/>
            </w:tabs>
          </w:pPr>
          <w:r>
            <w:fldChar w:fldCharType="begin"/>
          </w:r>
          <w:r>
            <w:instrText xml:space="preserve"> HYPERLINK \l _Toc24989 </w:instrText>
          </w:r>
          <w:r>
            <w:fldChar w:fldCharType="separate"/>
          </w:r>
          <w:r>
            <w:rPr>
              <w:rFonts w:hint="eastAsia" w:ascii="宋体" w:hAnsi="宋体"/>
              <w:szCs w:val="32"/>
            </w:rPr>
            <w:t>第五章  合同格式</w:t>
          </w:r>
          <w:r>
            <w:tab/>
          </w:r>
          <w:r>
            <w:fldChar w:fldCharType="begin"/>
          </w:r>
          <w:r>
            <w:instrText xml:space="preserve"> PAGEREF _Toc24989 </w:instrText>
          </w:r>
          <w:r>
            <w:fldChar w:fldCharType="separate"/>
          </w:r>
          <w:r>
            <w:t>16</w:t>
          </w:r>
          <w:r>
            <w:fldChar w:fldCharType="end"/>
          </w:r>
          <w:r>
            <w:fldChar w:fldCharType="end"/>
          </w:r>
        </w:p>
        <w:p>
          <w:pPr>
            <w:pStyle w:val="14"/>
            <w:tabs>
              <w:tab w:val="right" w:leader="dot" w:pos="9746"/>
            </w:tabs>
          </w:pPr>
          <w:r>
            <w:fldChar w:fldCharType="begin"/>
          </w:r>
          <w:r>
            <w:instrText xml:space="preserve"> HYPERLINK \l _Toc31245 </w:instrText>
          </w:r>
          <w:r>
            <w:fldChar w:fldCharType="separate"/>
          </w:r>
          <w:r>
            <w:rPr>
              <w:rFonts w:hint="eastAsia" w:ascii="宋体" w:hAnsi="宋体"/>
              <w:szCs w:val="32"/>
            </w:rPr>
            <w:t>第六章  响应文件格式</w:t>
          </w:r>
          <w:r>
            <w:tab/>
          </w:r>
          <w:r>
            <w:fldChar w:fldCharType="begin"/>
          </w:r>
          <w:r>
            <w:instrText xml:space="preserve"> PAGEREF _Toc31245 </w:instrText>
          </w:r>
          <w:r>
            <w:fldChar w:fldCharType="separate"/>
          </w:r>
          <w:r>
            <w:t>18</w:t>
          </w:r>
          <w:r>
            <w:fldChar w:fldCharType="end"/>
          </w:r>
          <w:r>
            <w:fldChar w:fldCharType="end"/>
          </w:r>
        </w:p>
        <w:p>
          <w:pPr>
            <w:pStyle w:val="14"/>
            <w:tabs>
              <w:tab w:val="right" w:leader="dot" w:pos="9746"/>
            </w:tabs>
          </w:pPr>
          <w:r>
            <w:fldChar w:fldCharType="begin"/>
          </w:r>
          <w:r>
            <w:instrText xml:space="preserve"> HYPERLINK \l _Toc16181 </w:instrText>
          </w:r>
          <w:r>
            <w:fldChar w:fldCharType="separate"/>
          </w:r>
          <w:r>
            <w:rPr>
              <w:rFonts w:hint="eastAsia" w:asciiTheme="minorEastAsia" w:hAnsiTheme="minorEastAsia" w:eastAsiaTheme="minorEastAsia" w:cstheme="minorEastAsia"/>
              <w:bCs/>
            </w:rPr>
            <w:t>响应文件目录</w:t>
          </w:r>
          <w:r>
            <w:tab/>
          </w:r>
          <w:r>
            <w:fldChar w:fldCharType="begin"/>
          </w:r>
          <w:r>
            <w:instrText xml:space="preserve"> PAGEREF _Toc16181 </w:instrText>
          </w:r>
          <w:r>
            <w:fldChar w:fldCharType="separate"/>
          </w:r>
          <w:r>
            <w:t>19</w:t>
          </w:r>
          <w:r>
            <w:fldChar w:fldCharType="end"/>
          </w:r>
          <w:r>
            <w:fldChar w:fldCharType="end"/>
          </w:r>
        </w:p>
        <w:p>
          <w:pPr>
            <w:pStyle w:val="14"/>
            <w:tabs>
              <w:tab w:val="right" w:leader="dot" w:pos="9746"/>
            </w:tabs>
          </w:pPr>
          <w:r>
            <w:fldChar w:fldCharType="begin"/>
          </w:r>
          <w:r>
            <w:instrText xml:space="preserve"> HYPERLINK \l _Toc642 </w:instrText>
          </w:r>
          <w:r>
            <w:fldChar w:fldCharType="separate"/>
          </w: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报价函</w:t>
          </w:r>
          <w:r>
            <w:tab/>
          </w:r>
          <w:r>
            <w:fldChar w:fldCharType="begin"/>
          </w:r>
          <w:r>
            <w:instrText xml:space="preserve"> PAGEREF _Toc642 </w:instrText>
          </w:r>
          <w:r>
            <w:fldChar w:fldCharType="separate"/>
          </w:r>
          <w:r>
            <w:t>20</w:t>
          </w:r>
          <w:r>
            <w:fldChar w:fldCharType="end"/>
          </w:r>
          <w:r>
            <w:fldChar w:fldCharType="end"/>
          </w:r>
        </w:p>
        <w:p>
          <w:pPr>
            <w:pStyle w:val="14"/>
            <w:tabs>
              <w:tab w:val="right" w:leader="dot" w:pos="9746"/>
            </w:tabs>
          </w:pPr>
          <w:r>
            <w:fldChar w:fldCharType="begin"/>
          </w:r>
          <w:r>
            <w:instrText xml:space="preserve"> HYPERLINK \l _Toc1475 </w:instrText>
          </w:r>
          <w:r>
            <w:fldChar w:fldCharType="separate"/>
          </w: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、法定代表人授权书</w:t>
          </w:r>
          <w:r>
            <w:tab/>
          </w:r>
          <w:r>
            <w:fldChar w:fldCharType="begin"/>
          </w:r>
          <w:r>
            <w:instrText xml:space="preserve"> PAGEREF _Toc1475 </w:instrText>
          </w:r>
          <w:r>
            <w:fldChar w:fldCharType="separate"/>
          </w:r>
          <w:r>
            <w:t>21</w:t>
          </w:r>
          <w:r>
            <w:fldChar w:fldCharType="end"/>
          </w:r>
          <w:r>
            <w:fldChar w:fldCharType="end"/>
          </w:r>
        </w:p>
        <w:p>
          <w:pPr>
            <w:pStyle w:val="14"/>
            <w:tabs>
              <w:tab w:val="right" w:leader="dot" w:pos="9746"/>
            </w:tabs>
          </w:pPr>
          <w:r>
            <w:fldChar w:fldCharType="begin"/>
          </w:r>
          <w:r>
            <w:instrText xml:space="preserve"> HYPERLINK \l _Toc17463 </w:instrText>
          </w:r>
          <w:r>
            <w:fldChar w:fldCharType="separate"/>
          </w: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_Toc17463 </w:instrText>
          </w:r>
          <w:r>
            <w:fldChar w:fldCharType="separate"/>
          </w:r>
          <w:r>
            <w:t>22</w:t>
          </w:r>
          <w:r>
            <w:fldChar w:fldCharType="end"/>
          </w:r>
          <w:r>
            <w:fldChar w:fldCharType="end"/>
          </w:r>
        </w:p>
        <w:p>
          <w:pPr>
            <w:pStyle w:val="14"/>
            <w:tabs>
              <w:tab w:val="right" w:leader="dot" w:pos="9746"/>
            </w:tabs>
          </w:pPr>
          <w:r>
            <w:fldChar w:fldCharType="begin"/>
          </w:r>
          <w:r>
            <w:instrText xml:space="preserve"> HYPERLINK \l _Toc24869 </w:instrText>
          </w:r>
          <w: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_Toc24869 </w:instrText>
          </w:r>
          <w:r>
            <w:fldChar w:fldCharType="separate"/>
          </w:r>
          <w:r>
            <w:t>23</w:t>
          </w:r>
          <w:r>
            <w:fldChar w:fldCharType="end"/>
          </w:r>
          <w:r>
            <w:fldChar w:fldCharType="end"/>
          </w:r>
        </w:p>
        <w:p>
          <w:pPr>
            <w:pStyle w:val="14"/>
            <w:tabs>
              <w:tab w:val="right" w:leader="dot" w:pos="9746"/>
            </w:tabs>
          </w:pPr>
          <w:r>
            <w:fldChar w:fldCharType="begin"/>
          </w:r>
          <w:r>
            <w:instrText xml:space="preserve"> HYPERLINK \l _Toc11948 </w:instrText>
          </w:r>
          <w:r>
            <w:fldChar w:fldCharType="separate"/>
          </w:r>
          <w:r>
            <w:rPr>
              <w:rFonts w:hint="eastAsia" w:asciiTheme="minorEastAsia" w:hAnsiTheme="minorEastAsia" w:eastAsiaTheme="minorEastAsia" w:cstheme="minorEastAsia"/>
              <w:bCs/>
              <w:szCs w:val="21"/>
            </w:rPr>
            <w:t>五、报价费用构成表</w:t>
          </w:r>
          <w:r>
            <w:tab/>
          </w:r>
          <w:r>
            <w:fldChar w:fldCharType="begin"/>
          </w:r>
          <w:r>
            <w:instrText xml:space="preserve"> PAGEREF _Toc11948 </w:instrText>
          </w:r>
          <w:r>
            <w:fldChar w:fldCharType="separate"/>
          </w:r>
          <w:r>
            <w:t>24</w:t>
          </w:r>
          <w:r>
            <w:fldChar w:fldCharType="end"/>
          </w:r>
          <w:r>
            <w:fldChar w:fldCharType="end"/>
          </w:r>
        </w:p>
        <w:p>
          <w:pPr>
            <w:pStyle w:val="14"/>
            <w:tabs>
              <w:tab w:val="right" w:leader="dot" w:pos="9746"/>
            </w:tabs>
          </w:pPr>
          <w:r>
            <w:fldChar w:fldCharType="begin"/>
          </w:r>
          <w:r>
            <w:instrText xml:space="preserve"> HYPERLINK \l _Toc4494 </w:instrText>
          </w:r>
          <w:r>
            <w:fldChar w:fldCharType="separate"/>
          </w:r>
          <w:r>
            <w:rPr>
              <w:rFonts w:hint="eastAsia" w:asciiTheme="minorEastAsia" w:hAnsiTheme="minorEastAsia" w:eastAsiaTheme="minorEastAsia" w:cstheme="minorEastAsia"/>
              <w:bCs/>
              <w:szCs w:val="21"/>
              <w:lang w:eastAsia="zh-CN"/>
            </w:rPr>
            <w:t>六</w:t>
          </w:r>
          <w:r>
            <w:rPr>
              <w:rFonts w:hint="eastAsia" w:asciiTheme="minorEastAsia" w:hAnsiTheme="minorEastAsia" w:eastAsiaTheme="minorEastAsia" w:cstheme="minorEastAsia"/>
              <w:bCs/>
              <w:szCs w:val="21"/>
            </w:rPr>
            <w:t>、偏离说明表</w:t>
          </w:r>
          <w:r>
            <w:tab/>
          </w:r>
          <w:r>
            <w:fldChar w:fldCharType="begin"/>
          </w:r>
          <w:r>
            <w:instrText xml:space="preserve"> PAGEREF _Toc4494 </w:instrText>
          </w:r>
          <w:r>
            <w:fldChar w:fldCharType="separate"/>
          </w:r>
          <w:r>
            <w:t>25</w:t>
          </w:r>
          <w:r>
            <w:fldChar w:fldCharType="end"/>
          </w:r>
          <w:r>
            <w:fldChar w:fldCharType="end"/>
          </w:r>
        </w:p>
        <w:p>
          <w:pPr>
            <w:pStyle w:val="14"/>
            <w:tabs>
              <w:tab w:val="right" w:leader="dot" w:pos="9746"/>
            </w:tabs>
          </w:pPr>
          <w:r>
            <w:fldChar w:fldCharType="begin"/>
          </w:r>
          <w:r>
            <w:instrText xml:space="preserve"> HYPERLINK \l _Toc7479 </w:instrText>
          </w:r>
          <w:r>
            <w:fldChar w:fldCharType="separate"/>
          </w:r>
          <w:r>
            <w:rPr>
              <w:rFonts w:hint="eastAsia" w:asciiTheme="minorEastAsia" w:hAnsiTheme="minorEastAsia" w:eastAsiaTheme="minorEastAsia" w:cstheme="minorEastAsia"/>
              <w:kern w:val="0"/>
              <w:szCs w:val="21"/>
              <w:lang w:eastAsia="zh-CN"/>
            </w:rPr>
            <w:t>七</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Cs/>
              <w:szCs w:val="21"/>
            </w:rPr>
            <w:t>类似业绩一览表</w:t>
          </w:r>
          <w:r>
            <w:tab/>
          </w:r>
          <w:r>
            <w:fldChar w:fldCharType="begin"/>
          </w:r>
          <w:r>
            <w:instrText xml:space="preserve"> PAGEREF _Toc7479 </w:instrText>
          </w:r>
          <w:r>
            <w:fldChar w:fldCharType="separate"/>
          </w:r>
          <w:r>
            <w:t>26</w:t>
          </w:r>
          <w:r>
            <w:fldChar w:fldCharType="end"/>
          </w:r>
          <w:r>
            <w:fldChar w:fldCharType="end"/>
          </w:r>
        </w:p>
        <w:p>
          <w:pPr>
            <w:pStyle w:val="14"/>
            <w:tabs>
              <w:tab w:val="right" w:leader="dot" w:pos="9746"/>
            </w:tabs>
          </w:pPr>
          <w:r>
            <w:fldChar w:fldCharType="begin"/>
          </w:r>
          <w:r>
            <w:instrText xml:space="preserve"> HYPERLINK \l _Toc22850 </w:instrText>
          </w:r>
          <w:r>
            <w:fldChar w:fldCharType="separate"/>
          </w:r>
          <w:r>
            <w:rPr>
              <w:rFonts w:hint="eastAsia" w:asciiTheme="minorEastAsia" w:hAnsiTheme="minorEastAsia" w:eastAsiaTheme="minorEastAsia" w:cstheme="minorEastAsia"/>
              <w:bCs/>
              <w:szCs w:val="21"/>
              <w:lang w:eastAsia="zh-CN"/>
            </w:rPr>
            <w:t>八</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_Toc22850 </w:instrText>
          </w:r>
          <w:r>
            <w:fldChar w:fldCharType="separate"/>
          </w:r>
          <w:r>
            <w:t>27</w:t>
          </w:r>
          <w:r>
            <w:fldChar w:fldCharType="end"/>
          </w:r>
          <w:r>
            <w:fldChar w:fldCharType="end"/>
          </w:r>
        </w:p>
        <w:p>
          <w:pPr>
            <w:pStyle w:val="14"/>
            <w:tabs>
              <w:tab w:val="right" w:leader="dot" w:pos="9746"/>
            </w:tabs>
          </w:pPr>
          <w:r>
            <w:fldChar w:fldCharType="begin"/>
          </w:r>
          <w:r>
            <w:instrText xml:space="preserve"> HYPERLINK \l _Toc21567 </w:instrText>
          </w:r>
          <w:r>
            <w:fldChar w:fldCharType="separate"/>
          </w:r>
          <w:r>
            <w:rPr>
              <w:rFonts w:hint="eastAsia" w:asciiTheme="minorEastAsia" w:hAnsiTheme="minorEastAsia" w:eastAsiaTheme="minorEastAsia" w:cstheme="minorEastAsia"/>
              <w:bCs/>
              <w:kern w:val="0"/>
              <w:szCs w:val="21"/>
              <w:lang w:eastAsia="zh-CN"/>
            </w:rPr>
            <w:t>九</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_Toc21567 </w:instrText>
          </w:r>
          <w:r>
            <w:fldChar w:fldCharType="separate"/>
          </w:r>
          <w:r>
            <w:t>28</w:t>
          </w:r>
          <w:r>
            <w:fldChar w:fldCharType="end"/>
          </w:r>
          <w:r>
            <w:fldChar w:fldCharType="end"/>
          </w:r>
        </w:p>
        <w:p>
          <w:pPr>
            <w:pStyle w:val="14"/>
            <w:tabs>
              <w:tab w:val="right" w:leader="dot" w:pos="9746"/>
            </w:tabs>
          </w:pPr>
          <w:r>
            <w:fldChar w:fldCharType="begin"/>
          </w:r>
          <w:r>
            <w:instrText xml:space="preserve"> HYPERLINK \l _Toc12632 </w:instrText>
          </w:r>
          <w: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szCs w:val="21"/>
            </w:rPr>
            <w:t>资格证明文件</w:t>
          </w:r>
          <w:r>
            <w:tab/>
          </w:r>
          <w:r>
            <w:fldChar w:fldCharType="begin"/>
          </w:r>
          <w:r>
            <w:instrText xml:space="preserve"> PAGEREF _Toc12632 </w:instrText>
          </w:r>
          <w:r>
            <w:fldChar w:fldCharType="separate"/>
          </w:r>
          <w:r>
            <w:t>29</w:t>
          </w:r>
          <w:r>
            <w:fldChar w:fldCharType="end"/>
          </w:r>
          <w:r>
            <w:fldChar w:fldCharType="end"/>
          </w:r>
        </w:p>
        <w:p>
          <w:pPr>
            <w:pStyle w:val="14"/>
            <w:tabs>
              <w:tab w:val="right" w:leader="dot" w:pos="9746"/>
            </w:tabs>
          </w:pPr>
          <w:r>
            <w:fldChar w:fldCharType="begin"/>
          </w:r>
          <w:r>
            <w:instrText xml:space="preserve"> HYPERLINK \l _Toc23951 </w:instrText>
          </w:r>
          <w: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_Toc23951 </w:instrText>
          </w:r>
          <w:r>
            <w:fldChar w:fldCharType="separate"/>
          </w:r>
          <w:r>
            <w:t>30</w:t>
          </w:r>
          <w:r>
            <w:fldChar w:fldCharType="end"/>
          </w:r>
          <w:r>
            <w:fldChar w:fldCharType="end"/>
          </w:r>
        </w:p>
        <w:p>
          <w:pPr>
            <w:pStyle w:val="14"/>
            <w:tabs>
              <w:tab w:val="right" w:leader="dot" w:pos="9746"/>
            </w:tabs>
          </w:pPr>
          <w:r>
            <w:fldChar w:fldCharType="begin"/>
          </w:r>
          <w:r>
            <w:instrText xml:space="preserve"> HYPERLINK \l _Toc17750 </w:instrText>
          </w:r>
          <w:r>
            <w:fldChar w:fldCharType="separate"/>
          </w:r>
          <w:r>
            <w:rPr>
              <w:rFonts w:hint="eastAsia" w:asciiTheme="minorEastAsia" w:hAnsiTheme="minorEastAsia" w:eastAsiaTheme="minorEastAsia" w:cstheme="minorEastAsia"/>
              <w:bCs/>
              <w:spacing w:val="6"/>
              <w:szCs w:val="21"/>
            </w:rPr>
            <w:t>十</w:t>
          </w:r>
          <w:r>
            <w:rPr>
              <w:rFonts w:hint="eastAsia" w:asciiTheme="minorEastAsia" w:hAnsiTheme="minorEastAsia" w:eastAsiaTheme="minorEastAsia" w:cstheme="minorEastAsia"/>
              <w:bCs/>
              <w:spacing w:val="6"/>
              <w:szCs w:val="21"/>
              <w:lang w:eastAsia="zh-CN"/>
            </w:rPr>
            <w:t>三</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_Toc17750 </w:instrText>
          </w:r>
          <w:r>
            <w:fldChar w:fldCharType="separate"/>
          </w:r>
          <w:r>
            <w:t>31</w:t>
          </w:r>
          <w:r>
            <w:fldChar w:fldCharType="end"/>
          </w:r>
          <w:r>
            <w:fldChar w:fldCharType="end"/>
          </w:r>
        </w:p>
        <w:p>
          <w:pPr>
            <w:pStyle w:val="14"/>
            <w:tabs>
              <w:tab w:val="right" w:leader="dot" w:pos="9746"/>
            </w:tabs>
          </w:pPr>
          <w:r>
            <w:fldChar w:fldCharType="begin"/>
          </w:r>
          <w:r>
            <w:instrText xml:space="preserve"> HYPERLINK \l _Toc25577 </w:instrText>
          </w:r>
          <w:r>
            <w:fldChar w:fldCharType="separate"/>
          </w:r>
          <w:r>
            <w:rPr>
              <w:rFonts w:hint="eastAsia" w:asciiTheme="minorEastAsia" w:hAnsiTheme="minorEastAsia" w:eastAsiaTheme="minorEastAsia" w:cstheme="minorEastAsia"/>
              <w:bCs/>
              <w:spacing w:val="6"/>
              <w:szCs w:val="21"/>
              <w:lang w:eastAsia="zh-CN"/>
            </w:rPr>
            <w:t>十四</w:t>
          </w:r>
          <w:r>
            <w:rPr>
              <w:rFonts w:hint="eastAsia" w:asciiTheme="minorEastAsia" w:hAnsiTheme="minorEastAsia" w:eastAsiaTheme="minorEastAsia" w:cstheme="minorEastAsia"/>
              <w:bCs/>
              <w:spacing w:val="6"/>
              <w:szCs w:val="21"/>
            </w:rPr>
            <w:t>、参加本次政府采购活动前3年内发生诉讼及仲裁情况表</w:t>
          </w:r>
          <w:r>
            <w:tab/>
          </w:r>
          <w:r>
            <w:fldChar w:fldCharType="begin"/>
          </w:r>
          <w:r>
            <w:instrText xml:space="preserve"> PAGEREF _Toc25577 </w:instrText>
          </w:r>
          <w:r>
            <w:fldChar w:fldCharType="separate"/>
          </w:r>
          <w:r>
            <w:t>32</w:t>
          </w:r>
          <w:r>
            <w:fldChar w:fldCharType="end"/>
          </w:r>
          <w:r>
            <w:fldChar w:fldCharType="end"/>
          </w:r>
        </w:p>
        <w:p>
          <w:pPr>
            <w:pStyle w:val="14"/>
            <w:tabs>
              <w:tab w:val="right" w:leader="dot" w:pos="9746"/>
            </w:tabs>
          </w:pPr>
          <w:r>
            <w:fldChar w:fldCharType="begin"/>
          </w:r>
          <w:r>
            <w:instrText xml:space="preserve"> HYPERLINK \l _Toc29926 </w:instrText>
          </w:r>
          <w: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lang w:eastAsia="zh-CN"/>
            </w:rPr>
            <w:t>十五</w:t>
          </w:r>
          <w:r>
            <w:rPr>
              <w:rFonts w:hint="eastAsia" w:asciiTheme="minorEastAsia" w:hAnsiTheme="minorEastAsia" w:eastAsiaTheme="minorEastAsia" w:cstheme="minorEastAsia"/>
              <w:bCs/>
              <w:kern w:val="0"/>
              <w:szCs w:val="21"/>
              <w:shd w:val="clear" w:color="auto" w:fill="FFFFFF"/>
            </w:rPr>
            <w:t>、</w:t>
          </w:r>
          <w:r>
            <w:rPr>
              <w:rFonts w:hint="eastAsia" w:asciiTheme="minorEastAsia" w:hAnsiTheme="minorEastAsia" w:eastAsiaTheme="minorEastAsia" w:cstheme="minorEastAsia"/>
              <w:bCs/>
              <w:kern w:val="0"/>
              <w:szCs w:val="21"/>
              <w:shd w:val="clear" w:color="auto" w:fill="FFFFFF"/>
              <w:lang w:eastAsia="zh-CN"/>
            </w:rPr>
            <w:t>询价</w:t>
          </w:r>
          <w:r>
            <w:rPr>
              <w:rFonts w:hint="eastAsia" w:asciiTheme="minorEastAsia" w:hAnsiTheme="minorEastAsia" w:eastAsiaTheme="minorEastAsia" w:cstheme="minorEastAsia"/>
              <w:bCs/>
              <w:kern w:val="0"/>
              <w:szCs w:val="21"/>
              <w:shd w:val="clear" w:color="auto" w:fill="FFFFFF"/>
            </w:rPr>
            <w:t>供应商认为应该提交的其它文件（格式自拟）</w:t>
          </w:r>
          <w:r>
            <w:tab/>
          </w:r>
          <w:r>
            <w:fldChar w:fldCharType="begin"/>
          </w:r>
          <w:r>
            <w:instrText xml:space="preserve"> PAGEREF _Toc29926 </w:instrText>
          </w:r>
          <w:r>
            <w:fldChar w:fldCharType="separate"/>
          </w:r>
          <w:r>
            <w:t>32</w:t>
          </w:r>
          <w:r>
            <w:fldChar w:fldCharType="end"/>
          </w:r>
          <w:r>
            <w:fldChar w:fldCharType="end"/>
          </w:r>
        </w:p>
        <w:p>
          <w:r>
            <w:fldChar w:fldCharType="end"/>
          </w:r>
        </w:p>
      </w:sdtContent>
    </w:sdt>
    <w:p>
      <w:pPr>
        <w:rPr>
          <w:rFonts w:ascii="宋体" w:hAnsi="宋体"/>
          <w:sz w:val="32"/>
          <w:szCs w:val="32"/>
        </w:rPr>
      </w:pPr>
      <w:r>
        <w:rPr>
          <w:rFonts w:hint="eastAsia" w:ascii="宋体" w:hAnsi="宋体"/>
          <w:b/>
          <w:sz w:val="32"/>
          <w:szCs w:val="32"/>
        </w:rPr>
        <w:br w:type="page"/>
      </w:r>
    </w:p>
    <w:p>
      <w:pPr>
        <w:numPr>
          <w:ilvl w:val="0"/>
          <w:numId w:val="2"/>
        </w:numPr>
        <w:spacing w:line="360" w:lineRule="auto"/>
        <w:jc w:val="center"/>
        <w:outlineLvl w:val="0"/>
        <w:rPr>
          <w:rFonts w:ascii="宋体" w:hAnsi="宋体"/>
          <w:sz w:val="32"/>
          <w:szCs w:val="32"/>
        </w:rPr>
      </w:pPr>
      <w:bookmarkStart w:id="1" w:name="_Toc5953"/>
      <w:bookmarkStart w:id="2" w:name="_Toc23528"/>
      <w:r>
        <w:rPr>
          <w:rFonts w:hint="eastAsia" w:ascii="宋体" w:hAnsi="宋体"/>
          <w:b/>
          <w:sz w:val="32"/>
          <w:szCs w:val="32"/>
        </w:rPr>
        <w:t>询价邀请函（询价公告）</w:t>
      </w:r>
      <w:bookmarkEnd w:id="0"/>
      <w:bookmarkEnd w:id="1"/>
      <w:bookmarkEnd w:id="2"/>
    </w:p>
    <w:p>
      <w:pPr>
        <w:widowControl/>
        <w:spacing w:line="360" w:lineRule="auto"/>
        <w:ind w:firstLine="420" w:firstLineChars="200"/>
        <w:jc w:val="left"/>
        <w:rPr>
          <w:rFonts w:hint="eastAsia" w:asciiTheme="minorEastAsia" w:hAnsiTheme="minorEastAsia" w:eastAsiaTheme="minorEastAsia" w:cstheme="minorEastAsia"/>
          <w:color w:val="auto"/>
          <w:sz w:val="21"/>
          <w:szCs w:val="21"/>
        </w:rPr>
      </w:pPr>
      <w:bookmarkStart w:id="3" w:name="_Toc390955783"/>
      <w:bookmarkStart w:id="4" w:name="_Toc422766880"/>
      <w:bookmarkStart w:id="5" w:name="_Toc422334105"/>
      <w:r>
        <w:rPr>
          <w:rFonts w:hint="eastAsia" w:asciiTheme="minorEastAsia" w:hAnsiTheme="minorEastAsia" w:eastAsiaTheme="minorEastAsia" w:cstheme="minorEastAsia"/>
          <w:color w:val="auto"/>
          <w:sz w:val="21"/>
          <w:szCs w:val="21"/>
        </w:rPr>
        <w:t>中经国际招标集团有限公司（以下简称“政府采购代理机构”）受</w:t>
      </w:r>
      <w:r>
        <w:rPr>
          <w:rFonts w:hint="eastAsia" w:asciiTheme="minorEastAsia" w:hAnsiTheme="minorEastAsia" w:eastAsiaTheme="minorEastAsia" w:cstheme="minorEastAsia"/>
          <w:color w:val="auto"/>
          <w:sz w:val="21"/>
          <w:szCs w:val="21"/>
          <w:u w:val="single"/>
        </w:rPr>
        <w:t>湖北美术学院</w:t>
      </w:r>
      <w:r>
        <w:rPr>
          <w:rFonts w:hint="eastAsia" w:asciiTheme="minorEastAsia" w:hAnsiTheme="minorEastAsia" w:eastAsiaTheme="minorEastAsia" w:cstheme="minorEastAsia"/>
          <w:color w:val="auto"/>
          <w:sz w:val="21"/>
          <w:szCs w:val="21"/>
          <w:u w:val="none"/>
          <w:lang w:val="en-US" w:eastAsia="zh-CN"/>
        </w:rPr>
        <w:t>（以下简称“采购人”）</w:t>
      </w:r>
      <w:r>
        <w:rPr>
          <w:rFonts w:hint="eastAsia" w:asciiTheme="minorEastAsia" w:hAnsiTheme="minorEastAsia" w:eastAsiaTheme="minorEastAsia" w:cstheme="minorEastAsia"/>
          <w:color w:val="auto"/>
          <w:sz w:val="21"/>
          <w:szCs w:val="21"/>
        </w:rPr>
        <w:t>的委托，就</w:t>
      </w:r>
      <w:r>
        <w:rPr>
          <w:rFonts w:hint="eastAsia" w:asciiTheme="minorEastAsia" w:hAnsiTheme="minorEastAsia" w:eastAsiaTheme="minorEastAsia" w:cstheme="minorEastAsia"/>
          <w:color w:val="auto"/>
          <w:sz w:val="21"/>
          <w:szCs w:val="21"/>
          <w:u w:val="single"/>
        </w:rPr>
        <w:t>湖北美术学院洒水车采购</w:t>
      </w:r>
      <w:r>
        <w:rPr>
          <w:rFonts w:hint="eastAsia" w:asciiTheme="minorEastAsia" w:hAnsiTheme="minorEastAsia" w:eastAsiaTheme="minorEastAsia" w:cstheme="minorEastAsia"/>
          <w:color w:val="auto"/>
          <w:sz w:val="21"/>
          <w:szCs w:val="21"/>
          <w:u w:val="single"/>
          <w:lang w:eastAsia="zh-CN"/>
        </w:rPr>
        <w:t>项目</w:t>
      </w:r>
      <w:r>
        <w:rPr>
          <w:rFonts w:hint="eastAsia" w:asciiTheme="minorEastAsia" w:hAnsiTheme="minorEastAsia" w:eastAsiaTheme="minorEastAsia" w:cstheme="minorEastAsia"/>
          <w:color w:val="auto"/>
          <w:sz w:val="21"/>
          <w:szCs w:val="21"/>
        </w:rPr>
        <w:t>进行询价采购。</w:t>
      </w:r>
    </w:p>
    <w:p>
      <w:pPr>
        <w:pStyle w:val="3"/>
        <w:numPr>
          <w:ilvl w:val="0"/>
          <w:numId w:val="3"/>
        </w:numPr>
        <w:tabs>
          <w:tab w:val="left" w:pos="483"/>
          <w:tab w:val="left" w:pos="567"/>
          <w:tab w:val="clear" w:pos="576"/>
        </w:tabs>
        <w:spacing w:before="260" w:after="260" w:line="360" w:lineRule="auto"/>
        <w:rPr>
          <w:rFonts w:hint="eastAsia" w:asciiTheme="minorEastAsia" w:hAnsiTheme="minorEastAsia" w:eastAsiaTheme="minorEastAsia" w:cstheme="minorEastAsia"/>
          <w:b/>
          <w:bCs w:val="0"/>
          <w:color w:val="auto"/>
          <w:sz w:val="21"/>
          <w:szCs w:val="21"/>
        </w:rPr>
      </w:pPr>
      <w:bookmarkStart w:id="6" w:name="_Toc22136"/>
      <w:bookmarkStart w:id="7" w:name="_Toc14950"/>
      <w:r>
        <w:rPr>
          <w:rFonts w:hint="eastAsia" w:asciiTheme="minorEastAsia" w:hAnsiTheme="minorEastAsia" w:eastAsiaTheme="minorEastAsia" w:cstheme="minorEastAsia"/>
          <w:b/>
          <w:bCs w:val="0"/>
          <w:color w:val="auto"/>
          <w:sz w:val="21"/>
          <w:szCs w:val="21"/>
        </w:rPr>
        <w:t>项目概况</w:t>
      </w:r>
      <w:bookmarkEnd w:id="3"/>
      <w:bookmarkEnd w:id="4"/>
      <w:bookmarkEnd w:id="5"/>
      <w:bookmarkEnd w:id="6"/>
      <w:bookmarkEnd w:id="7"/>
    </w:p>
    <w:p>
      <w:pPr>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、项目名称：湖北美术学院洒水车采购</w:t>
      </w:r>
      <w:r>
        <w:rPr>
          <w:rFonts w:hint="eastAsia" w:asciiTheme="minorEastAsia" w:hAnsiTheme="minorEastAsia" w:eastAsiaTheme="minorEastAsia" w:cstheme="minorEastAsia"/>
          <w:color w:val="auto"/>
          <w:sz w:val="21"/>
          <w:szCs w:val="21"/>
          <w:lang w:eastAsia="zh-CN"/>
        </w:rPr>
        <w:t>项目</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2、项目编号：ZJZB-202006-174 </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3、采购预算：人民币</w:t>
      </w:r>
      <w:r>
        <w:rPr>
          <w:rFonts w:hint="eastAsia" w:asciiTheme="minorEastAsia" w:hAnsiTheme="minorEastAsia" w:eastAsiaTheme="minorEastAsia" w:cstheme="minorEastAsia"/>
          <w:color w:val="auto"/>
          <w:sz w:val="21"/>
          <w:szCs w:val="21"/>
          <w:u w:val="single"/>
          <w:lang w:val="en-US" w:eastAsia="zh-CN"/>
        </w:rPr>
        <w:t>15</w:t>
      </w:r>
      <w:r>
        <w:rPr>
          <w:rFonts w:hint="eastAsia" w:asciiTheme="minorEastAsia" w:hAnsiTheme="minorEastAsia" w:eastAsiaTheme="minorEastAsia" w:cstheme="minorEastAsia"/>
          <w:color w:val="auto"/>
          <w:sz w:val="21"/>
          <w:szCs w:val="21"/>
          <w:lang w:val="en-US" w:eastAsia="zh-CN"/>
        </w:rPr>
        <w:t>万元，</w:t>
      </w:r>
      <w:r>
        <w:rPr>
          <w:rFonts w:hint="eastAsia" w:asciiTheme="minorEastAsia" w:hAnsiTheme="minorEastAsia" w:eastAsiaTheme="minorEastAsia" w:cstheme="minorEastAsia"/>
          <w:b w:val="0"/>
          <w:bCs w:val="0"/>
          <w:color w:val="auto"/>
          <w:kern w:val="2"/>
          <w:sz w:val="21"/>
          <w:szCs w:val="21"/>
          <w:lang w:val="en-US" w:eastAsia="zh-CN" w:bidi="ar-SA"/>
        </w:rPr>
        <w:t>最高限价</w:t>
      </w:r>
      <w:r>
        <w:rPr>
          <w:rFonts w:hint="eastAsia" w:asciiTheme="minorEastAsia" w:hAnsiTheme="minorEastAsia" w:eastAsiaTheme="minorEastAsia" w:cstheme="minorEastAsia"/>
          <w:color w:val="auto"/>
          <w:sz w:val="21"/>
          <w:szCs w:val="21"/>
          <w:u w:val="single"/>
          <w:lang w:val="en-US" w:eastAsia="zh-CN"/>
        </w:rPr>
        <w:t>15</w:t>
      </w:r>
      <w:r>
        <w:rPr>
          <w:rFonts w:hint="eastAsia" w:asciiTheme="minorEastAsia" w:hAnsiTheme="minorEastAsia" w:eastAsiaTheme="minorEastAsia" w:cstheme="minorEastAsia"/>
          <w:b w:val="0"/>
          <w:bCs w:val="0"/>
          <w:color w:val="auto"/>
          <w:kern w:val="2"/>
          <w:sz w:val="21"/>
          <w:szCs w:val="21"/>
          <w:lang w:val="en-US" w:eastAsia="zh-CN" w:bidi="ar-SA"/>
        </w:rPr>
        <w:t>万元；</w:t>
      </w:r>
      <w:r>
        <w:rPr>
          <w:rFonts w:hint="eastAsia" w:asciiTheme="minorEastAsia" w:hAnsiTheme="minorEastAsia" w:eastAsiaTheme="minorEastAsia" w:cstheme="minorEastAsia"/>
          <w:color w:val="auto"/>
          <w:sz w:val="21"/>
          <w:szCs w:val="21"/>
          <w:lang w:val="en-US" w:eastAsia="zh-CN"/>
        </w:rPr>
        <w:t>（含财政资金</w:t>
      </w:r>
      <w:r>
        <w:rPr>
          <w:rFonts w:hint="eastAsia" w:asciiTheme="minorEastAsia" w:hAnsiTheme="minorEastAsia" w:eastAsiaTheme="minorEastAsia" w:cstheme="minorEastAsia"/>
          <w:color w:val="auto"/>
          <w:sz w:val="21"/>
          <w:szCs w:val="21"/>
          <w:u w:val="single"/>
          <w:lang w:val="en-US" w:eastAsia="zh-CN"/>
        </w:rPr>
        <w:t xml:space="preserve"> / </w:t>
      </w:r>
      <w:r>
        <w:rPr>
          <w:rFonts w:hint="eastAsia" w:asciiTheme="minorEastAsia" w:hAnsiTheme="minorEastAsia" w:eastAsiaTheme="minorEastAsia" w:cstheme="minorEastAsia"/>
          <w:color w:val="auto"/>
          <w:sz w:val="21"/>
          <w:szCs w:val="21"/>
          <w:lang w:val="en-US" w:eastAsia="zh-CN"/>
        </w:rPr>
        <w:t>万元，其他资金</w:t>
      </w:r>
      <w:r>
        <w:rPr>
          <w:rFonts w:hint="eastAsia" w:asciiTheme="minorEastAsia" w:hAnsiTheme="minorEastAsia" w:eastAsiaTheme="minorEastAsia" w:cstheme="minorEastAsia"/>
          <w:color w:val="auto"/>
          <w:sz w:val="21"/>
          <w:szCs w:val="21"/>
          <w:u w:val="single"/>
          <w:lang w:val="en-US" w:eastAsia="zh-CN"/>
        </w:rPr>
        <w:t xml:space="preserve">15 </w:t>
      </w:r>
      <w:r>
        <w:rPr>
          <w:rFonts w:hint="eastAsia" w:asciiTheme="minorEastAsia" w:hAnsiTheme="minorEastAsia" w:eastAsiaTheme="minorEastAsia" w:cstheme="minorEastAsia"/>
          <w:color w:val="auto"/>
          <w:sz w:val="21"/>
          <w:szCs w:val="21"/>
          <w:lang w:val="en-US" w:eastAsia="zh-CN"/>
        </w:rPr>
        <w:t>万元）</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4、资金性质：自筹资金</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5、项目内容及需求：</w:t>
      </w:r>
      <w:r>
        <w:rPr>
          <w:rFonts w:hint="eastAsia" w:asciiTheme="minorEastAsia" w:hAnsiTheme="minorEastAsia" w:eastAsiaTheme="minorEastAsia" w:cstheme="minorEastAsia"/>
          <w:color w:val="auto"/>
          <w:sz w:val="21"/>
          <w:szCs w:val="21"/>
          <w:lang w:eastAsia="zh-CN"/>
        </w:rPr>
        <w:t>本次</w:t>
      </w:r>
      <w:r>
        <w:rPr>
          <w:rFonts w:hint="eastAsia" w:asciiTheme="minorEastAsia" w:hAnsiTheme="minorEastAsia" w:eastAsiaTheme="minorEastAsia" w:cstheme="minorEastAsia"/>
          <w:color w:val="auto"/>
          <w:sz w:val="21"/>
          <w:szCs w:val="21"/>
          <w:lang w:val="en-US" w:eastAsia="zh-CN"/>
        </w:rPr>
        <w:t>询价</w:t>
      </w:r>
      <w:r>
        <w:rPr>
          <w:rFonts w:hint="eastAsia" w:asciiTheme="minorEastAsia" w:hAnsiTheme="minorEastAsia" w:eastAsiaTheme="minorEastAsia" w:cstheme="minorEastAsia"/>
          <w:color w:val="auto"/>
          <w:sz w:val="21"/>
          <w:szCs w:val="21"/>
          <w:lang w:eastAsia="zh-CN"/>
        </w:rPr>
        <w:t>共分</w:t>
      </w:r>
      <w:r>
        <w:rPr>
          <w:rFonts w:hint="eastAsia" w:asciiTheme="minorEastAsia" w:hAnsiTheme="minorEastAsia" w:eastAsiaTheme="minorEastAsia" w:cstheme="minorEastAsia"/>
          <w:color w:val="auto"/>
          <w:sz w:val="21"/>
          <w:szCs w:val="21"/>
          <w:u w:val="single"/>
          <w:lang w:eastAsia="zh-CN"/>
        </w:rPr>
        <w:t>1</w:t>
      </w:r>
      <w:r>
        <w:rPr>
          <w:rFonts w:hint="eastAsia" w:asciiTheme="minorEastAsia" w:hAnsiTheme="minorEastAsia" w:eastAsiaTheme="minorEastAsia" w:cstheme="minorEastAsia"/>
          <w:color w:val="auto"/>
          <w:sz w:val="21"/>
          <w:szCs w:val="21"/>
          <w:lang w:eastAsia="zh-CN"/>
        </w:rPr>
        <w:t>个项目包，具体需求如下，详细技术规格、参数及</w:t>
      </w:r>
      <w:r>
        <w:rPr>
          <w:rFonts w:hint="eastAsia" w:asciiTheme="minorEastAsia" w:hAnsiTheme="minorEastAsia" w:eastAsiaTheme="minorEastAsia" w:cstheme="minorEastAsia"/>
          <w:color w:val="auto"/>
          <w:sz w:val="21"/>
          <w:szCs w:val="21"/>
          <w:lang w:val="en-US" w:eastAsia="zh-CN"/>
        </w:rPr>
        <w:t>商务</w:t>
      </w:r>
      <w:r>
        <w:rPr>
          <w:rFonts w:hint="eastAsia" w:asciiTheme="minorEastAsia" w:hAnsiTheme="minorEastAsia" w:eastAsiaTheme="minorEastAsia" w:cstheme="minorEastAsia"/>
          <w:color w:val="auto"/>
          <w:sz w:val="21"/>
          <w:szCs w:val="21"/>
          <w:lang w:eastAsia="zh-CN"/>
        </w:rPr>
        <w:t>要求见本项目</w:t>
      </w:r>
      <w:r>
        <w:rPr>
          <w:rFonts w:hint="eastAsia" w:asciiTheme="minorEastAsia" w:hAnsiTheme="minorEastAsia" w:eastAsiaTheme="minorEastAsia" w:cstheme="minorEastAsia"/>
          <w:color w:val="auto"/>
          <w:sz w:val="21"/>
          <w:szCs w:val="21"/>
          <w:lang w:val="en-US" w:eastAsia="zh-CN"/>
        </w:rPr>
        <w:t>询价</w:t>
      </w:r>
      <w:r>
        <w:rPr>
          <w:rFonts w:hint="eastAsia" w:asciiTheme="minorEastAsia" w:hAnsiTheme="minorEastAsia" w:eastAsiaTheme="minorEastAsia" w:cstheme="minorEastAsia"/>
          <w:color w:val="auto"/>
          <w:sz w:val="21"/>
          <w:szCs w:val="21"/>
          <w:lang w:eastAsia="zh-CN"/>
        </w:rPr>
        <w:t>文件第三章内容。</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第1包：</w:t>
      </w:r>
    </w:p>
    <w:p>
      <w:pPr>
        <w:pageBreakBefore w:val="0"/>
        <w:widowControl w:val="0"/>
        <w:numPr>
          <w:ilvl w:val="0"/>
          <w:numId w:val="4"/>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项目包编号：01</w:t>
      </w:r>
    </w:p>
    <w:p>
      <w:pPr>
        <w:pageBreakBefore w:val="0"/>
        <w:widowControl w:val="0"/>
        <w:numPr>
          <w:ilvl w:val="0"/>
          <w:numId w:val="4"/>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项目包名称：</w:t>
      </w:r>
      <w:r>
        <w:rPr>
          <w:rFonts w:hint="eastAsia" w:asciiTheme="minorEastAsia" w:hAnsiTheme="minorEastAsia" w:eastAsiaTheme="minorEastAsia" w:cstheme="minorEastAsia"/>
          <w:color w:val="auto"/>
          <w:sz w:val="21"/>
          <w:szCs w:val="21"/>
        </w:rPr>
        <w:t>洒水车采购</w:t>
      </w:r>
      <w:r>
        <w:rPr>
          <w:rFonts w:hint="eastAsia" w:asciiTheme="minorEastAsia" w:hAnsiTheme="minorEastAsia" w:eastAsiaTheme="minorEastAsia" w:cstheme="minorEastAsia"/>
          <w:color w:val="auto"/>
          <w:sz w:val="21"/>
          <w:szCs w:val="21"/>
          <w:lang w:eastAsia="zh-CN"/>
        </w:rPr>
        <w:t>项目</w:t>
      </w:r>
    </w:p>
    <w:p>
      <w:pPr>
        <w:pageBreakBefore w:val="0"/>
        <w:widowControl w:val="0"/>
        <w:numPr>
          <w:ilvl w:val="0"/>
          <w:numId w:val="4"/>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类别：货物</w:t>
      </w:r>
    </w:p>
    <w:p>
      <w:pPr>
        <w:pageBreakBefore w:val="0"/>
        <w:widowControl w:val="0"/>
        <w:numPr>
          <w:ilvl w:val="0"/>
          <w:numId w:val="4"/>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简要技术要求/项目性质：</w:t>
      </w:r>
      <w:r>
        <w:rPr>
          <w:rFonts w:hint="eastAsia" w:asciiTheme="minorEastAsia" w:hAnsiTheme="minorEastAsia" w:eastAsiaTheme="minorEastAsia" w:cstheme="minorEastAsia"/>
          <w:color w:val="auto"/>
          <w:sz w:val="21"/>
          <w:szCs w:val="21"/>
        </w:rPr>
        <w:t>(详见</w:t>
      </w:r>
      <w:r>
        <w:rPr>
          <w:rFonts w:hint="eastAsia" w:asciiTheme="minorEastAsia" w:hAnsiTheme="minorEastAsia" w:eastAsiaTheme="minorEastAsia" w:cstheme="minorEastAsia"/>
          <w:color w:val="auto"/>
          <w:sz w:val="21"/>
          <w:szCs w:val="21"/>
          <w:lang w:eastAsia="zh-CN"/>
        </w:rPr>
        <w:t>采购文件第三章“项目采购需求”）</w:t>
      </w:r>
    </w:p>
    <w:tbl>
      <w:tblPr>
        <w:tblStyle w:val="2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409"/>
        <w:gridCol w:w="1157"/>
        <w:gridCol w:w="882"/>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pct"/>
            <w:shd w:val="clear" w:color="auto" w:fill="D7D7D7" w:themeFill="background1" w:themeFillShade="D8"/>
            <w:noWrap w:val="0"/>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采购内容</w:t>
            </w:r>
          </w:p>
        </w:tc>
        <w:tc>
          <w:tcPr>
            <w:tcW w:w="1210" w:type="pct"/>
            <w:shd w:val="clear" w:color="auto" w:fill="D7D7D7" w:themeFill="background1" w:themeFillShade="D8"/>
            <w:noWrap w:val="0"/>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规格/容积</w:t>
            </w:r>
          </w:p>
        </w:tc>
        <w:tc>
          <w:tcPr>
            <w:tcW w:w="581" w:type="pct"/>
            <w:shd w:val="clear" w:color="auto" w:fill="D7D7D7" w:themeFill="background1" w:themeFillShade="D8"/>
            <w:noWrap w:val="0"/>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数量</w:t>
            </w:r>
          </w:p>
        </w:tc>
        <w:tc>
          <w:tcPr>
            <w:tcW w:w="443" w:type="pct"/>
            <w:shd w:val="clear" w:color="auto" w:fill="D7D7D7" w:themeFill="background1" w:themeFillShade="D8"/>
            <w:noWrap w:val="0"/>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1499" w:type="pct"/>
            <w:shd w:val="clear" w:color="auto" w:fill="D7D7D7" w:themeFill="background1" w:themeFillShade="D8"/>
            <w:noWrap w:val="0"/>
            <w:vAlign w:val="center"/>
          </w:tcPr>
          <w:p>
            <w:pPr>
              <w:spacing w:line="36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pct"/>
            <w:noWrap w:val="0"/>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洒水车</w:t>
            </w:r>
          </w:p>
        </w:tc>
        <w:tc>
          <w:tcPr>
            <w:tcW w:w="1210" w:type="pct"/>
            <w:noWrap w:val="0"/>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7立方米</w:t>
            </w:r>
          </w:p>
        </w:tc>
        <w:tc>
          <w:tcPr>
            <w:tcW w:w="581" w:type="pct"/>
            <w:noWrap w:val="0"/>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443" w:type="pct"/>
            <w:noWrap w:val="0"/>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1499" w:type="pct"/>
            <w:noWrap w:val="0"/>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湖北美术学院藏龙岛校区</w:t>
            </w:r>
          </w:p>
        </w:tc>
      </w:tr>
    </w:tbl>
    <w:p>
      <w:pPr>
        <w:pageBreakBefore w:val="0"/>
        <w:widowControl w:val="0"/>
        <w:numPr>
          <w:ilvl w:val="0"/>
          <w:numId w:val="4"/>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交货期：合同签订后</w:t>
      </w:r>
      <w:r>
        <w:rPr>
          <w:rFonts w:hint="eastAsia" w:asciiTheme="minorEastAsia" w:hAnsiTheme="minorEastAsia" w:eastAsiaTheme="minorEastAsia" w:cstheme="minorEastAsia"/>
          <w:color w:val="auto"/>
          <w:sz w:val="21"/>
          <w:szCs w:val="21"/>
          <w:u w:val="single"/>
          <w:lang w:val="en-US" w:eastAsia="zh-CN"/>
        </w:rPr>
        <w:t>14</w:t>
      </w:r>
      <w:r>
        <w:rPr>
          <w:rFonts w:hint="eastAsia" w:asciiTheme="minorEastAsia" w:hAnsiTheme="minorEastAsia" w:eastAsiaTheme="minorEastAsia" w:cstheme="minorEastAsia"/>
          <w:b w:val="0"/>
          <w:bCs w:val="0"/>
          <w:color w:val="auto"/>
          <w:kern w:val="2"/>
          <w:sz w:val="21"/>
          <w:szCs w:val="21"/>
          <w:lang w:val="en-US" w:eastAsia="zh-CN" w:bidi="ar-SA"/>
        </w:rPr>
        <w:t>日历天内供货。</w:t>
      </w:r>
    </w:p>
    <w:p>
      <w:pPr>
        <w:pageBreakBefore w:val="0"/>
        <w:widowControl w:val="0"/>
        <w:numPr>
          <w:ilvl w:val="0"/>
          <w:numId w:val="4"/>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质保期/保修期：底盘质保3年或36万公里（以先到为准），上装设备（洒水设备）质保一年。</w:t>
      </w:r>
    </w:p>
    <w:p>
      <w:pPr>
        <w:pageBreakBefore w:val="0"/>
        <w:widowControl w:val="0"/>
        <w:numPr>
          <w:ilvl w:val="0"/>
          <w:numId w:val="4"/>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kern w:val="2"/>
          <w:sz w:val="21"/>
          <w:szCs w:val="21"/>
          <w:lang w:val="en-US" w:eastAsia="zh-CN" w:bidi="ar-SA"/>
        </w:rPr>
        <w:t>质量标准：达到国家或行业颁布的其他现行各项技术标准和验收规范规定</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6、供应商参加询价的报价超过该包采购预算金额的，该包报价无效；</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7、采购项目需要落实的政府采购政策:本项目需落实政府采购强制、优先采购节能产品政策；政府采购优先采购环保产品政策；政府采购促进中小企业发展（监狱企业、残疾人福利性单位视同小微企业）等政策详见询价文件；</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本项目是否专门面向中小企业、监狱企业、残疾人福利性单位：</w:t>
      </w:r>
      <w:r>
        <w:rPr>
          <w:rFonts w:hint="eastAsia" w:asciiTheme="minorEastAsia" w:hAnsiTheme="minorEastAsia" w:eastAsiaTheme="minorEastAsia" w:cstheme="minorEastAsia"/>
          <w:b w:val="0"/>
          <w:bCs w:val="0"/>
          <w:color w:val="auto"/>
          <w:kern w:val="2"/>
          <w:sz w:val="21"/>
          <w:szCs w:val="21"/>
          <w:u w:val="single"/>
          <w:lang w:val="en-US" w:eastAsia="zh-CN" w:bidi="ar-SA"/>
        </w:rPr>
        <w:t>否</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8、供应商如需查询技术要求可直接到我处查阅询价文件。</w:t>
      </w:r>
    </w:p>
    <w:p>
      <w:pPr>
        <w:pStyle w:val="3"/>
        <w:numPr>
          <w:ilvl w:val="0"/>
          <w:numId w:val="3"/>
        </w:numPr>
        <w:tabs>
          <w:tab w:val="left" w:pos="483"/>
          <w:tab w:val="left" w:pos="567"/>
          <w:tab w:val="clear" w:pos="576"/>
        </w:tabs>
        <w:spacing w:before="260" w:after="260" w:line="360" w:lineRule="auto"/>
        <w:rPr>
          <w:rFonts w:hint="eastAsia" w:asciiTheme="minorEastAsia" w:hAnsiTheme="minorEastAsia" w:eastAsiaTheme="minorEastAsia" w:cstheme="minorEastAsia"/>
          <w:b/>
          <w:bCs/>
          <w:color w:val="auto"/>
          <w:sz w:val="21"/>
          <w:szCs w:val="21"/>
        </w:rPr>
      </w:pPr>
      <w:bookmarkStart w:id="8" w:name="_Toc9866"/>
      <w:bookmarkStart w:id="9" w:name="_Toc422334106"/>
      <w:bookmarkStart w:id="10" w:name="_Toc422766881"/>
      <w:bookmarkStart w:id="11" w:name="_Toc390955784"/>
      <w:bookmarkStart w:id="12" w:name="_Toc6812"/>
      <w:bookmarkStart w:id="13" w:name="_Toc259607747"/>
      <w:r>
        <w:rPr>
          <w:rFonts w:hint="eastAsia" w:asciiTheme="minorEastAsia" w:hAnsiTheme="minorEastAsia" w:eastAsiaTheme="minorEastAsia" w:cstheme="minorEastAsia"/>
          <w:b/>
          <w:bCs/>
          <w:color w:val="auto"/>
          <w:sz w:val="21"/>
          <w:szCs w:val="21"/>
        </w:rPr>
        <w:t>供应商资格要求</w:t>
      </w:r>
      <w:bookmarkEnd w:id="8"/>
      <w:bookmarkEnd w:id="9"/>
      <w:bookmarkEnd w:id="10"/>
      <w:bookmarkEnd w:id="11"/>
      <w:bookmarkEnd w:id="12"/>
      <w:bookmarkEnd w:id="13"/>
    </w:p>
    <w:p>
      <w:pPr>
        <w:spacing w:line="360" w:lineRule="auto"/>
        <w:ind w:firstLine="420" w:firstLineChars="200"/>
        <w:rPr>
          <w:rFonts w:hint="eastAsia" w:asciiTheme="minorEastAsia" w:hAnsiTheme="minorEastAsia" w:eastAsiaTheme="minorEastAsia" w:cstheme="minorEastAsia"/>
          <w:color w:val="auto"/>
          <w:sz w:val="21"/>
          <w:szCs w:val="21"/>
        </w:rPr>
      </w:pPr>
      <w:bookmarkStart w:id="14" w:name="_Toc22602"/>
      <w:r>
        <w:rPr>
          <w:rFonts w:hint="eastAsia" w:asciiTheme="minorEastAsia" w:hAnsiTheme="minorEastAsia" w:eastAsiaTheme="minorEastAsia" w:cstheme="minorEastAsia"/>
          <w:color w:val="auto"/>
          <w:sz w:val="21"/>
          <w:szCs w:val="21"/>
        </w:rPr>
        <w:t>供应商资格要求为参与本项目供应商应具备的基本条件，参加询价的供应商必须满足资格要求中的对应的所有条款，并按照相关规定在响应文件中递交资格证明文件。</w:t>
      </w:r>
    </w:p>
    <w:p>
      <w:pPr>
        <w:numPr>
          <w:ilvl w:val="0"/>
          <w:numId w:val="5"/>
        </w:num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供应商必须符合《中华人民共和国政府采购法》第二十二条要求；</w:t>
      </w:r>
    </w:p>
    <w:p>
      <w:pPr>
        <w:spacing w:line="360" w:lineRule="auto"/>
        <w:ind w:left="4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1.1具有独立承担民事责任的能力（经营范围需满足采购需求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w:t>
      </w:r>
    </w:p>
    <w:p>
      <w:pPr>
        <w:spacing w:line="360" w:lineRule="auto"/>
        <w:ind w:left="420"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1.2具有良好的商业信誉和健全的财务会计制度；</w:t>
      </w:r>
    </w:p>
    <w:p>
      <w:pPr>
        <w:spacing w:line="360" w:lineRule="auto"/>
        <w:ind w:left="420"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1.3具有履行合同所必需的设备和专业技术能力；</w:t>
      </w:r>
    </w:p>
    <w:p>
      <w:pPr>
        <w:spacing w:line="360" w:lineRule="auto"/>
        <w:ind w:left="420"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1.4有依法缴纳税收和社会保障资金的良好记录；</w:t>
      </w:r>
    </w:p>
    <w:p>
      <w:pPr>
        <w:spacing w:line="360" w:lineRule="auto"/>
        <w:ind w:left="420"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1.5参加政府采购活动前三年内（不足3年按公司成立时间起算），在经营活动中没有重大违法记录（提供书面声明，格式见询价文件第六章）</w:t>
      </w:r>
      <w:r>
        <w:rPr>
          <w:rFonts w:hint="eastAsia" w:asciiTheme="minorEastAsia" w:hAnsiTheme="minorEastAsia" w:eastAsiaTheme="minorEastAsia" w:cstheme="minorEastAsia"/>
          <w:color w:val="auto"/>
          <w:sz w:val="21"/>
          <w:szCs w:val="21"/>
          <w:lang w:eastAsia="zh-CN"/>
        </w:rPr>
        <w:t>，重大违法记录是指供应商因违法经营受到刑事处罚或者责令停产停业、吊销许可证或者执照、较大数额罚款等行政处罚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color w:val="auto"/>
          <w:sz w:val="21"/>
          <w:szCs w:val="21"/>
        </w:rPr>
        <w:t>；</w:t>
      </w:r>
    </w:p>
    <w:p>
      <w:pPr>
        <w:spacing w:line="360" w:lineRule="auto"/>
        <w:ind w:left="420"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1.6法律、行政法规规定的其他条件；</w:t>
      </w:r>
    </w:p>
    <w:p>
      <w:pPr>
        <w:numPr>
          <w:ilvl w:val="0"/>
          <w:numId w:val="5"/>
        </w:num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参加本次政府采购活动前一年内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p>
    <w:p>
      <w:pPr>
        <w:numPr>
          <w:ilvl w:val="0"/>
          <w:numId w:val="5"/>
        </w:num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如国家法律法规对市场准入有要求的还应符合相关规定；</w:t>
      </w:r>
    </w:p>
    <w:p>
      <w:pPr>
        <w:numPr>
          <w:ilvl w:val="0"/>
          <w:numId w:val="5"/>
        </w:num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u w:val="none"/>
        </w:rPr>
        <w:t>不接受</w:t>
      </w:r>
      <w:r>
        <w:rPr>
          <w:rFonts w:hint="eastAsia" w:asciiTheme="minorEastAsia" w:hAnsiTheme="minorEastAsia" w:eastAsiaTheme="minorEastAsia" w:cstheme="minorEastAsia"/>
          <w:color w:val="auto"/>
          <w:sz w:val="21"/>
          <w:szCs w:val="21"/>
        </w:rPr>
        <w:t>联合体参与询价。</w:t>
      </w:r>
    </w:p>
    <w:p>
      <w:pPr>
        <w:pStyle w:val="3"/>
        <w:numPr>
          <w:ilvl w:val="0"/>
          <w:numId w:val="3"/>
        </w:numPr>
        <w:tabs>
          <w:tab w:val="left" w:pos="483"/>
          <w:tab w:val="left" w:pos="567"/>
          <w:tab w:val="clear" w:pos="576"/>
        </w:tabs>
        <w:spacing w:before="260" w:after="260" w:line="360" w:lineRule="auto"/>
        <w:rPr>
          <w:rFonts w:hint="eastAsia" w:asciiTheme="minorEastAsia" w:hAnsiTheme="minorEastAsia" w:eastAsiaTheme="minorEastAsia" w:cstheme="minorEastAsia"/>
          <w:color w:val="auto"/>
          <w:sz w:val="21"/>
          <w:szCs w:val="21"/>
        </w:rPr>
      </w:pPr>
      <w:bookmarkStart w:id="15" w:name="_Toc11986"/>
      <w:r>
        <w:rPr>
          <w:rFonts w:hint="eastAsia" w:asciiTheme="minorEastAsia" w:hAnsiTheme="minorEastAsia" w:eastAsiaTheme="minorEastAsia" w:cstheme="minorEastAsia"/>
          <w:color w:val="auto"/>
          <w:sz w:val="21"/>
          <w:szCs w:val="21"/>
        </w:rPr>
        <w:t>询价文件的获取</w:t>
      </w:r>
      <w:bookmarkEnd w:id="14"/>
      <w:bookmarkEnd w:id="15"/>
    </w:p>
    <w:p>
      <w:pPr>
        <w:spacing w:line="360" w:lineRule="auto"/>
        <w:ind w:firstLine="420" w:firstLineChars="200"/>
        <w:rPr>
          <w:rFonts w:hint="eastAsia" w:asciiTheme="minorEastAsia" w:hAnsiTheme="minorEastAsia" w:eastAsiaTheme="minorEastAsia" w:cstheme="minorEastAsia"/>
          <w:color w:val="auto"/>
          <w:sz w:val="21"/>
          <w:szCs w:val="21"/>
        </w:rPr>
      </w:pPr>
      <w:bookmarkStart w:id="16" w:name="_Toc24221"/>
      <w:r>
        <w:rPr>
          <w:rFonts w:hint="eastAsia" w:asciiTheme="minorEastAsia" w:hAnsiTheme="minorEastAsia" w:eastAsiaTheme="minorEastAsia" w:cstheme="minorEastAsia"/>
          <w:color w:val="auto"/>
          <w:sz w:val="21"/>
          <w:szCs w:val="21"/>
        </w:rPr>
        <w:t>获取时间：</w:t>
      </w:r>
      <w:r>
        <w:rPr>
          <w:rFonts w:hint="eastAsia" w:asciiTheme="minorEastAsia" w:hAnsiTheme="minorEastAsia" w:eastAsiaTheme="minorEastAsia" w:cstheme="minorEastAsia"/>
          <w:color w:val="auto"/>
          <w:sz w:val="21"/>
          <w:szCs w:val="21"/>
          <w:lang w:eastAsia="zh-CN"/>
        </w:rPr>
        <w:t>2020</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日起至</w:t>
      </w:r>
      <w:r>
        <w:rPr>
          <w:rFonts w:hint="eastAsia" w:asciiTheme="minorEastAsia" w:hAnsiTheme="minorEastAsia" w:eastAsiaTheme="minorEastAsia" w:cstheme="minorEastAsia"/>
          <w:color w:val="auto"/>
          <w:sz w:val="21"/>
          <w:szCs w:val="21"/>
          <w:lang w:eastAsia="zh-CN"/>
        </w:rPr>
        <w:t>2020</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日每天上午09:00～12:00、下午14:30～17:00，法定节假日以及休息日（周六周日）除外；</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获取地点：网上获取；</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获取方式：</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招标文件费用并确认后获取招标文件。"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因疫情原因，本项目采取网上获取文件的方式，请各</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将以下资料加盖公章扫描后传至2102252595@qq.com（邮件主题名称必须备注所投项目名称及公司姓名，否则不予受理），以邮箱显示收到的时间为准，递交资料后请联系代理机构工作人员支付</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文件费用并确认后获取</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w:t>
      </w:r>
      <w:r>
        <w:rPr>
          <w:rFonts w:hint="eastAsia" w:asciiTheme="minorEastAsia" w:hAnsiTheme="minorEastAsia" w:eastAsiaTheme="minorEastAsia" w:cstheme="minorEastAsia"/>
          <w:color w:val="auto"/>
          <w:sz w:val="21"/>
          <w:szCs w:val="21"/>
        </w:rPr>
        <w:fldChar w:fldCharType="end"/>
      </w:r>
    </w:p>
    <w:p>
      <w:pPr>
        <w:spacing w:line="360" w:lineRule="auto"/>
        <w:ind w:left="473" w:leftChars="22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①法定代表人身份证明书（格式附后）及法定代表人身份证真彩扫描件或法定代表人授权书（格式附后）及受托人身份证真彩扫描件；</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②营业执照真彩扫描件；</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③项目报名表（格式附后）；</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文件人民币400元/本，售后不退，不办理邮寄；</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pStyle w:val="3"/>
        <w:numPr>
          <w:ilvl w:val="1"/>
          <w:numId w:val="0"/>
        </w:numPr>
        <w:tabs>
          <w:tab w:val="left" w:pos="483"/>
          <w:tab w:val="left" w:pos="567"/>
          <w:tab w:val="clear" w:pos="576"/>
        </w:tabs>
        <w:spacing w:before="260" w:after="260" w:line="360" w:lineRule="auto"/>
        <w:rPr>
          <w:rFonts w:hint="eastAsia" w:asciiTheme="minorEastAsia" w:hAnsiTheme="minorEastAsia" w:eastAsiaTheme="minorEastAsia" w:cstheme="minorEastAsia"/>
          <w:color w:val="auto"/>
          <w:sz w:val="21"/>
          <w:szCs w:val="21"/>
        </w:rPr>
      </w:pPr>
      <w:bookmarkStart w:id="17" w:name="_Toc1939"/>
      <w:r>
        <w:rPr>
          <w:rFonts w:hint="eastAsia" w:asciiTheme="minorEastAsia" w:hAnsiTheme="minorEastAsia" w:eastAsiaTheme="minorEastAsia" w:cstheme="minorEastAsia"/>
          <w:color w:val="auto"/>
          <w:sz w:val="21"/>
          <w:szCs w:val="21"/>
        </w:rPr>
        <w:t>四、文件送达地点及截止时间</w:t>
      </w:r>
      <w:bookmarkEnd w:id="16"/>
      <w:bookmarkEnd w:id="17"/>
    </w:p>
    <w:p>
      <w:pPr>
        <w:spacing w:line="360" w:lineRule="auto"/>
        <w:ind w:firstLine="420" w:firstLineChars="200"/>
        <w:rPr>
          <w:rFonts w:hint="eastAsia" w:asciiTheme="minorEastAsia" w:hAnsiTheme="minorEastAsia" w:eastAsiaTheme="minorEastAsia" w:cstheme="minorEastAsia"/>
          <w:color w:val="auto"/>
          <w:sz w:val="21"/>
          <w:szCs w:val="21"/>
        </w:rPr>
      </w:pPr>
      <w:bookmarkStart w:id="18" w:name="_Toc13436"/>
      <w:bookmarkStart w:id="19" w:name="_Toc422766884"/>
      <w:bookmarkStart w:id="20" w:name="_Toc418862562"/>
      <w:r>
        <w:rPr>
          <w:rFonts w:hint="eastAsia" w:asciiTheme="minorEastAsia" w:hAnsiTheme="minorEastAsia" w:eastAsiaTheme="minorEastAsia" w:cstheme="minorEastAsia"/>
          <w:color w:val="auto"/>
          <w:sz w:val="21"/>
          <w:szCs w:val="21"/>
        </w:rPr>
        <w:t>送达地点：武昌区中北路岳家嘴立交山河企业大厦4806室</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截止时间：</w:t>
      </w:r>
      <w:r>
        <w:rPr>
          <w:rFonts w:hint="eastAsia" w:asciiTheme="minorEastAsia" w:hAnsiTheme="minorEastAsia" w:eastAsiaTheme="minorEastAsia" w:cstheme="minorEastAsia"/>
          <w:color w:val="auto"/>
          <w:sz w:val="21"/>
          <w:szCs w:val="21"/>
          <w:lang w:eastAsia="zh-CN"/>
        </w:rPr>
        <w:t>2020</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 xml:space="preserve"> 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 xml:space="preserve">14:00 </w:t>
      </w:r>
      <w:r>
        <w:rPr>
          <w:rFonts w:hint="eastAsia" w:asciiTheme="minorEastAsia" w:hAnsiTheme="minorEastAsia" w:eastAsiaTheme="minorEastAsia" w:cstheme="minorEastAsia"/>
          <w:color w:val="auto"/>
          <w:sz w:val="21"/>
          <w:szCs w:val="21"/>
        </w:rPr>
        <w:t>时（北京时间），截止时间前半小时开始接收文件</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参加要求：响应文件须密封后由响应文件合法签署人（指法定代表人或授权委托人）于截止时间前递至上述送达地点。需携带法定代表人身份证明书（或法定代表人授权书）和本人身份证原件出席开标会。逾期送达或未密封的响应文件恕不接受。</w:t>
      </w:r>
      <w:bookmarkEnd w:id="18"/>
      <w:bookmarkEnd w:id="19"/>
      <w:bookmarkEnd w:id="20"/>
    </w:p>
    <w:p>
      <w:pPr>
        <w:tabs>
          <w:tab w:val="left" w:pos="483"/>
          <w:tab w:val="left" w:pos="567"/>
        </w:tabs>
        <w:spacing w:before="260" w:after="260" w:line="360" w:lineRule="auto"/>
        <w:outlineLvl w:val="1"/>
        <w:rPr>
          <w:rFonts w:hint="eastAsia" w:asciiTheme="minorEastAsia" w:hAnsiTheme="minorEastAsia" w:eastAsiaTheme="minorEastAsia" w:cstheme="minorEastAsia"/>
          <w:b/>
          <w:bCs/>
          <w:color w:val="auto"/>
          <w:sz w:val="21"/>
          <w:szCs w:val="21"/>
        </w:rPr>
      </w:pPr>
      <w:bookmarkStart w:id="21" w:name="_Toc24948"/>
      <w:bookmarkStart w:id="22" w:name="_Toc390955790"/>
      <w:bookmarkStart w:id="23" w:name="_Toc422766885"/>
      <w:bookmarkStart w:id="24" w:name="_Toc17285"/>
      <w:bookmarkStart w:id="25" w:name="_Toc422334110"/>
      <w:r>
        <w:rPr>
          <w:rFonts w:hint="eastAsia" w:asciiTheme="minorEastAsia" w:hAnsiTheme="minorEastAsia" w:eastAsiaTheme="minorEastAsia" w:cstheme="minorEastAsia"/>
          <w:b/>
          <w:bCs/>
          <w:color w:val="auto"/>
          <w:sz w:val="21"/>
          <w:szCs w:val="21"/>
        </w:rPr>
        <w:t>五、采购人联系方式</w:t>
      </w:r>
      <w:bookmarkEnd w:id="21"/>
      <w:bookmarkEnd w:id="22"/>
      <w:bookmarkEnd w:id="23"/>
      <w:bookmarkEnd w:id="24"/>
      <w:bookmarkEnd w:id="25"/>
    </w:p>
    <w:p>
      <w:pPr>
        <w:spacing w:line="360" w:lineRule="auto"/>
        <w:ind w:firstLine="420" w:firstLineChars="200"/>
        <w:rPr>
          <w:rFonts w:hint="eastAsia" w:asciiTheme="minorEastAsia" w:hAnsiTheme="minorEastAsia" w:eastAsiaTheme="minorEastAsia" w:cstheme="minorEastAsia"/>
          <w:color w:val="auto"/>
          <w:sz w:val="21"/>
          <w:szCs w:val="21"/>
        </w:rPr>
      </w:pPr>
      <w:bookmarkStart w:id="26" w:name="_Toc17133"/>
      <w:bookmarkStart w:id="27" w:name="_Toc15509"/>
      <w:r>
        <w:rPr>
          <w:rFonts w:hint="eastAsia" w:asciiTheme="minorEastAsia" w:hAnsiTheme="minorEastAsia" w:eastAsiaTheme="minorEastAsia" w:cstheme="minorEastAsia"/>
          <w:color w:val="auto"/>
          <w:sz w:val="21"/>
          <w:szCs w:val="21"/>
        </w:rPr>
        <w:t>采 购 人： 湖北美术学院</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地    址： 武汉市江夏区粟庙路6号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采购部门联系人：汪老师</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联系电话：027- 81318329 </w:t>
      </w:r>
    </w:p>
    <w:p>
      <w:pPr>
        <w:pStyle w:val="3"/>
        <w:numPr>
          <w:ilvl w:val="1"/>
          <w:numId w:val="0"/>
        </w:numPr>
        <w:tabs>
          <w:tab w:val="left" w:pos="483"/>
          <w:tab w:val="left" w:pos="567"/>
          <w:tab w:val="clear" w:pos="576"/>
        </w:tabs>
        <w:spacing w:before="260" w:after="260"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六、政府采购代理机构联系方式</w:t>
      </w:r>
      <w:bookmarkEnd w:id="26"/>
      <w:bookmarkEnd w:id="27"/>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代理机构：中经国际招标集团有限公司</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    址：武汉市武昌区中北路岳家嘴立交山河企业大厦4805室</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联 系 人：张梦、叶汪笛、彭盼明</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电    话：027-87820788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邮    箱：2102252595@qq.com</w:t>
      </w:r>
    </w:p>
    <w:p>
      <w:pPr>
        <w:pStyle w:val="3"/>
        <w:numPr>
          <w:ilvl w:val="1"/>
          <w:numId w:val="0"/>
        </w:numPr>
        <w:tabs>
          <w:tab w:val="left" w:pos="483"/>
          <w:tab w:val="left" w:pos="567"/>
          <w:tab w:val="clear" w:pos="576"/>
        </w:tabs>
        <w:spacing w:before="260" w:after="260" w:line="360" w:lineRule="auto"/>
        <w:rPr>
          <w:rFonts w:hint="eastAsia" w:asciiTheme="minorEastAsia" w:hAnsiTheme="minorEastAsia" w:eastAsiaTheme="minorEastAsia" w:cstheme="minorEastAsia"/>
          <w:color w:val="auto"/>
          <w:sz w:val="21"/>
          <w:szCs w:val="21"/>
        </w:rPr>
      </w:pPr>
      <w:bookmarkStart w:id="28" w:name="_Toc422334112"/>
      <w:bookmarkStart w:id="29" w:name="_Toc29009"/>
      <w:bookmarkStart w:id="30" w:name="_Toc25568"/>
      <w:bookmarkStart w:id="31" w:name="_Toc390955792"/>
      <w:bookmarkStart w:id="32" w:name="_Toc422766887"/>
      <w:r>
        <w:rPr>
          <w:rFonts w:hint="eastAsia" w:asciiTheme="minorEastAsia" w:hAnsiTheme="minorEastAsia" w:eastAsiaTheme="minorEastAsia" w:cstheme="minorEastAsia"/>
          <w:color w:val="auto"/>
          <w:sz w:val="21"/>
          <w:szCs w:val="21"/>
        </w:rPr>
        <w:t>七、信息发布媒体</w:t>
      </w:r>
      <w:bookmarkEnd w:id="28"/>
      <w:bookmarkEnd w:id="29"/>
      <w:bookmarkEnd w:id="30"/>
      <w:bookmarkEnd w:id="31"/>
      <w:bookmarkEnd w:id="32"/>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（一）《中经国际招标集团有限公司官网》（网址：</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"http://www.ccgp-hubei.gov.cn/）"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http://www.ceitcl.com/）</w:t>
      </w:r>
      <w:r>
        <w:rPr>
          <w:rFonts w:hint="eastAsia" w:asciiTheme="minorEastAsia" w:hAnsiTheme="minorEastAsia" w:eastAsiaTheme="minorEastAsia" w:cstheme="minorEastAsia"/>
          <w:color w:val="auto"/>
          <w:sz w:val="21"/>
          <w:szCs w:val="21"/>
        </w:rPr>
        <w:fldChar w:fldCharType="end"/>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（二）《中国采购与招标网》（网址：https://www.chinabidding.cn/）</w:t>
      </w:r>
    </w:p>
    <w:p>
      <w:pPr>
        <w:spacing w:line="360" w:lineRule="auto"/>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采购公告期限：自以上网站发布公告次日起</w:t>
      </w:r>
      <w:r>
        <w:rPr>
          <w:rFonts w:hint="eastAsia" w:asciiTheme="minorEastAsia" w:hAnsiTheme="minorEastAsia" w:eastAsiaTheme="minorEastAsia" w:cstheme="minorEastAsia"/>
          <w:color w:val="auto"/>
          <w:sz w:val="21"/>
          <w:szCs w:val="21"/>
          <w:u w:val="single"/>
          <w:lang w:val="en-US" w:eastAsia="zh-CN"/>
        </w:rPr>
        <w:t>3</w:t>
      </w:r>
      <w:r>
        <w:rPr>
          <w:rFonts w:hint="eastAsia" w:asciiTheme="minorEastAsia" w:hAnsiTheme="minorEastAsia" w:eastAsiaTheme="minorEastAsia" w:cstheme="minorEastAsia"/>
          <w:color w:val="auto"/>
          <w:sz w:val="21"/>
          <w:szCs w:val="21"/>
        </w:rPr>
        <w:t>个工作日，本项目将在以上网站发布所有信息，请参加本项目竞标的供应商密切关注。</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b/>
          <w:color w:val="auto"/>
          <w:kern w:val="2"/>
          <w:sz w:val="21"/>
          <w:szCs w:val="21"/>
          <w:lang w:val="en-US" w:eastAsia="zh-CN" w:bidi="ar-SA"/>
        </w:rPr>
        <w:t>八、 注意事项</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1、供应商在获取本项目</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文件前须仔细阅读资格要求内容，并按</w:t>
      </w:r>
      <w:r>
        <w:rPr>
          <w:rFonts w:hint="eastAsia" w:asciiTheme="minorEastAsia" w:hAnsiTheme="minorEastAsia" w:eastAsiaTheme="minorEastAsia" w:cstheme="minorEastAsia"/>
          <w:color w:val="auto"/>
          <w:sz w:val="21"/>
          <w:szCs w:val="21"/>
          <w:lang w:eastAsia="zh-CN"/>
        </w:rPr>
        <w:t>询价文件</w:t>
      </w:r>
      <w:r>
        <w:rPr>
          <w:rFonts w:hint="eastAsia" w:asciiTheme="minorEastAsia" w:hAnsiTheme="minorEastAsia" w:eastAsiaTheme="minorEastAsia" w:cstheme="minorEastAsia"/>
          <w:color w:val="auto"/>
          <w:sz w:val="21"/>
          <w:szCs w:val="21"/>
        </w:rPr>
        <w:t>规定要求在响应文件中递交合格有效的资格证明文件，资格审查不合格将导致竞标失败。</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2、供应商对自己所提供的资格证明材料的真实性负责，无论何时，如发现供应商提供虚假的材料，将按照《中华人民共和国政府采购法》及本项目</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文件的有关规定进行严肃处理，并在相关网站上进行通报。</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3、请供应商仔细阅读本</w:t>
      </w:r>
      <w:r>
        <w:rPr>
          <w:rFonts w:hint="eastAsia" w:asciiTheme="minorEastAsia" w:hAnsiTheme="minorEastAsia" w:eastAsiaTheme="minorEastAsia" w:cstheme="minorEastAsia"/>
          <w:color w:val="auto"/>
          <w:sz w:val="21"/>
          <w:szCs w:val="21"/>
          <w:lang w:eastAsia="zh-CN"/>
        </w:rPr>
        <w:t>询价文件</w:t>
      </w:r>
      <w:r>
        <w:rPr>
          <w:rFonts w:hint="eastAsia" w:asciiTheme="minorEastAsia" w:hAnsiTheme="minorEastAsia" w:eastAsiaTheme="minorEastAsia" w:cstheme="minorEastAsia"/>
          <w:color w:val="auto"/>
          <w:sz w:val="21"/>
          <w:szCs w:val="21"/>
        </w:rPr>
        <w:t>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4、关于本项目</w:t>
      </w:r>
      <w:r>
        <w:rPr>
          <w:rFonts w:hint="eastAsia" w:asciiTheme="minorEastAsia" w:hAnsiTheme="minorEastAsia" w:eastAsiaTheme="minorEastAsia" w:cstheme="minorEastAsia"/>
          <w:color w:val="auto"/>
          <w:sz w:val="21"/>
          <w:szCs w:val="21"/>
          <w:lang w:eastAsia="zh-CN"/>
        </w:rPr>
        <w:t>询价文件</w:t>
      </w:r>
      <w:r>
        <w:rPr>
          <w:rFonts w:hint="eastAsia" w:asciiTheme="minorEastAsia" w:hAnsiTheme="minorEastAsia" w:eastAsiaTheme="minorEastAsia" w:cstheme="minorEastAsia"/>
          <w:color w:val="auto"/>
          <w:sz w:val="21"/>
          <w:szCs w:val="21"/>
        </w:rPr>
        <w:t>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ind w:firstLine="420" w:firstLineChars="200"/>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中经国际招标集团有限公司</w:t>
      </w:r>
    </w:p>
    <w:p>
      <w:pPr>
        <w:wordWrap w:val="0"/>
        <w:spacing w:line="360" w:lineRule="auto"/>
        <w:ind w:firstLine="420" w:firstLineChars="200"/>
        <w:jc w:val="righ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2020</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日</w:t>
      </w:r>
    </w:p>
    <w:p>
      <w:pPr>
        <w:numPr>
          <w:ilvl w:val="0"/>
          <w:numId w:val="2"/>
        </w:numPr>
        <w:spacing w:line="360" w:lineRule="auto"/>
        <w:jc w:val="center"/>
        <w:outlineLvl w:val="0"/>
        <w:rPr>
          <w:rFonts w:ascii="宋体" w:hAnsi="宋体"/>
          <w:b/>
          <w:color w:val="auto"/>
          <w:sz w:val="32"/>
          <w:szCs w:val="32"/>
        </w:rPr>
      </w:pPr>
      <w:r>
        <w:rPr>
          <w:rFonts w:hint="eastAsia" w:asciiTheme="minorEastAsia" w:hAnsiTheme="minorEastAsia" w:eastAsiaTheme="minorEastAsia" w:cstheme="minorEastAsia"/>
          <w:color w:val="auto"/>
          <w:sz w:val="21"/>
          <w:szCs w:val="21"/>
        </w:rPr>
        <w:br w:type="page"/>
      </w:r>
      <w:bookmarkStart w:id="33" w:name="_Toc30066"/>
      <w:bookmarkStart w:id="34" w:name="_Toc16238"/>
      <w:bookmarkStart w:id="35" w:name="_Toc27076"/>
      <w:r>
        <w:rPr>
          <w:rFonts w:hint="eastAsia" w:ascii="宋体" w:hAnsi="宋体"/>
          <w:b/>
          <w:color w:val="auto"/>
          <w:sz w:val="32"/>
          <w:szCs w:val="32"/>
        </w:rPr>
        <w:t>报价须知</w:t>
      </w:r>
      <w:bookmarkEnd w:id="33"/>
      <w:bookmarkEnd w:id="34"/>
      <w:bookmarkEnd w:id="35"/>
    </w:p>
    <w:p>
      <w:pPr>
        <w:pStyle w:val="3"/>
        <w:numPr>
          <w:ilvl w:val="0"/>
          <w:numId w:val="6"/>
        </w:numPr>
        <w:spacing w:before="260" w:after="260" w:line="360" w:lineRule="auto"/>
        <w:jc w:val="left"/>
        <w:rPr>
          <w:rFonts w:hint="eastAsia" w:asciiTheme="minorEastAsia" w:hAnsiTheme="minorEastAsia" w:eastAsiaTheme="minorEastAsia" w:cstheme="minorEastAsia"/>
          <w:color w:val="auto"/>
          <w:sz w:val="21"/>
          <w:szCs w:val="21"/>
          <w:lang w:val="zh-CN"/>
        </w:rPr>
      </w:pPr>
      <w:bookmarkStart w:id="36" w:name="_Toc11687"/>
      <w:bookmarkStart w:id="37" w:name="_Toc5144"/>
      <w:bookmarkStart w:id="38" w:name="_Toc259028747"/>
      <w:r>
        <w:rPr>
          <w:rFonts w:hint="eastAsia" w:asciiTheme="minorEastAsia" w:hAnsiTheme="minorEastAsia" w:eastAsiaTheme="minorEastAsia" w:cstheme="minorEastAsia"/>
          <w:color w:val="auto"/>
          <w:sz w:val="21"/>
          <w:szCs w:val="21"/>
        </w:rPr>
        <w:t>报价须知</w:t>
      </w:r>
      <w:r>
        <w:rPr>
          <w:rFonts w:hint="eastAsia" w:asciiTheme="minorEastAsia" w:hAnsiTheme="minorEastAsia" w:eastAsiaTheme="minorEastAsia" w:cstheme="minorEastAsia"/>
          <w:color w:val="auto"/>
          <w:sz w:val="21"/>
          <w:szCs w:val="21"/>
          <w:lang w:val="zh-CN"/>
        </w:rPr>
        <w:t>前附表</w:t>
      </w:r>
      <w:bookmarkEnd w:id="36"/>
      <w:bookmarkEnd w:id="37"/>
      <w:bookmarkEnd w:id="38"/>
    </w:p>
    <w:p>
      <w:pPr>
        <w:autoSpaceDE w:val="0"/>
        <w:autoSpaceDN w:val="0"/>
        <w:adjustRightInd w:val="0"/>
        <w:spacing w:line="360" w:lineRule="auto"/>
        <w:ind w:firstLine="359" w:firstLineChars="171"/>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供应商应仔细阅读询价文件的第二章“报价须知”，下面所列资料是对“报价须知”的具体补充和说明。</w:t>
      </w:r>
      <w:r>
        <w:rPr>
          <w:rFonts w:hint="eastAsia" w:asciiTheme="minorEastAsia" w:hAnsiTheme="minorEastAsia" w:eastAsiaTheme="minorEastAsia" w:cstheme="minorEastAsia"/>
          <w:color w:val="auto"/>
          <w:sz w:val="21"/>
          <w:szCs w:val="21"/>
          <w:lang w:val="zh-CN"/>
        </w:rPr>
        <w:t>如有矛盾，应以本表为准。</w:t>
      </w:r>
    </w:p>
    <w:tbl>
      <w:tblPr>
        <w:tblStyle w:val="20"/>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6"/>
        <w:gridCol w:w="2313"/>
        <w:gridCol w:w="5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tblHeader/>
          <w:jc w:val="center"/>
        </w:trPr>
        <w:tc>
          <w:tcPr>
            <w:tcW w:w="836"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31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592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313" w:type="dxa"/>
            <w:vAlign w:val="center"/>
          </w:tcPr>
          <w:p>
            <w:pPr>
              <w:pStyle w:val="18"/>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5923"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湖北美术学院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313" w:type="dxa"/>
            <w:vAlign w:val="center"/>
          </w:tcPr>
          <w:p>
            <w:pPr>
              <w:pStyle w:val="18"/>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zh-CN"/>
              </w:rPr>
              <w:t>监管部门</w:t>
            </w:r>
          </w:p>
        </w:tc>
        <w:tc>
          <w:tcPr>
            <w:tcW w:w="5923" w:type="dxa"/>
            <w:vAlign w:val="center"/>
          </w:tcPr>
          <w:p>
            <w:pPr>
              <w:spacing w:line="240" w:lineRule="auto"/>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rPr>
              <w:t>湖北美术学院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政府采购代理机构</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 xml:space="preserve">中经国际招标集团有限公司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2.4</w:t>
            </w:r>
          </w:p>
        </w:tc>
        <w:tc>
          <w:tcPr>
            <w:tcW w:w="231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供应商资格要求</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见本询价文件第一章第二款要求。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交货期</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质保期</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28"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响应文件数量</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正本一份（须提供真彩扫描件）、副本两份，电子版一份（加盖公章后的PDF扫描件格式），所有投标文件概不退还。投标文件按包分开制作，分开密封。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响应文件递交截止时间及递交地点</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见本询价文件第一章要求。</w:t>
            </w:r>
            <w:bookmarkStart w:id="207" w:name="_GoBack"/>
            <w:bookmarkEnd w:id="20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投标报价</w:t>
            </w:r>
          </w:p>
        </w:tc>
        <w:tc>
          <w:tcPr>
            <w:tcW w:w="5923" w:type="dxa"/>
            <w:vAlign w:val="center"/>
          </w:tcPr>
          <w:p>
            <w:pPr>
              <w:tabs>
                <w:tab w:val="left" w:pos="864"/>
              </w:tabs>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所供设备为交钥匙工程，投标报价包括</w:t>
            </w:r>
            <w:r>
              <w:rPr>
                <w:rFonts w:hint="eastAsia" w:asciiTheme="minorEastAsia" w:hAnsiTheme="minorEastAsia" w:eastAsiaTheme="minorEastAsia" w:cstheme="minorEastAsia"/>
                <w:sz w:val="21"/>
                <w:szCs w:val="21"/>
                <w:lang w:val="zh-CN" w:eastAsia="zh-CN"/>
              </w:rPr>
              <w:t>货物本身、</w:t>
            </w:r>
            <w:r>
              <w:rPr>
                <w:rFonts w:hint="eastAsia" w:asciiTheme="minorEastAsia" w:hAnsiTheme="minorEastAsia" w:eastAsiaTheme="minorEastAsia" w:cstheme="minorEastAsia"/>
                <w:sz w:val="21"/>
                <w:szCs w:val="21"/>
                <w:lang w:val="zh-CN"/>
              </w:rPr>
              <w:t>送货、安装、调试、培训等费用。供应商在本次采购报价应为固定总价，一次性包干，合同签订后采购人未提出增加工作内容的情况下，合同价不得调整。对于询价文件中未列明，而供应商认为必需的费用也需列入总报价。在合同实施时，采购人将不予支付成交供应商没有列入的项目费用，并认为此项目的费用已包括在总报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付款与结算</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保证金金额</w:t>
            </w:r>
            <w:r>
              <w:rPr>
                <w:rFonts w:hint="eastAsia" w:asciiTheme="minorEastAsia" w:hAnsiTheme="minorEastAsia" w:eastAsiaTheme="minorEastAsia" w:cstheme="minorEastAsia"/>
                <w:sz w:val="21"/>
                <w:szCs w:val="21"/>
                <w:lang w:eastAsia="zh-CN"/>
              </w:rPr>
              <w:t>及</w:t>
            </w:r>
            <w:r>
              <w:rPr>
                <w:rFonts w:hint="eastAsia" w:asciiTheme="minorEastAsia" w:hAnsiTheme="minorEastAsia" w:eastAsiaTheme="minorEastAsia" w:cstheme="minorEastAsia"/>
                <w:sz w:val="21"/>
                <w:szCs w:val="21"/>
              </w:rPr>
              <w:t>提交形式</w:t>
            </w:r>
            <w:r>
              <w:rPr>
                <w:rFonts w:hint="eastAsia" w:asciiTheme="minorEastAsia" w:hAnsiTheme="minorEastAsia" w:eastAsiaTheme="minorEastAsia" w:cstheme="minorEastAsia"/>
                <w:sz w:val="21"/>
                <w:szCs w:val="21"/>
                <w:lang w:eastAsia="zh-CN"/>
              </w:rPr>
              <w:t>（本项目不适用）</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 xml:space="preserve">金    </w:t>
            </w:r>
            <w:r>
              <w:rPr>
                <w:rFonts w:hint="eastAsia" w:asciiTheme="minorEastAsia" w:hAnsiTheme="minorEastAsia" w:eastAsiaTheme="minorEastAsia" w:cstheme="minorEastAsia"/>
                <w:color w:val="auto"/>
                <w:sz w:val="21"/>
                <w:szCs w:val="21"/>
              </w:rPr>
              <w:t>额：</w:t>
            </w:r>
            <w:r>
              <w:rPr>
                <w:rFonts w:hint="eastAsia" w:asciiTheme="minorEastAsia" w:hAnsiTheme="minorEastAsia" w:eastAsiaTheme="minorEastAsia" w:cstheme="minorEastAsia"/>
                <w:color w:val="auto"/>
                <w:sz w:val="21"/>
                <w:szCs w:val="21"/>
                <w:lang w:val="en-US" w:eastAsia="zh-CN"/>
              </w:rPr>
              <w:t>/</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供应商缴纳投标保证金必须从供应商的基本帐户以支票、汇票、本票、电汇或者金融机构、担保机构出具的保函等非现金形式一次性汇至中经国际招标集团有限公司湖北分公司专用账户,截止时间为递交响应文件截止时间，以</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代理公司银行到账信息为准。成交供应商签订合同后须将合同扫描件（PDF版）发送至2102252595@qq.com邮箱备案后方可退还保证金。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23"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成交服务费</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国家发展与改革委员会办公厅发改办价格【2003】857号文的规定，经与采购人协商，由成交供应商按国家发展计划委员会计价格【2002】1980号文规定货物类取费标准70%向采购代理机构支付招标代理服务费，招标代理服务费由成交供应商在领取中标通知书的同时，向代理机构一次性支付。不足叁仟元的按叁仟元保底收费计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报价有效期</w:t>
            </w:r>
          </w:p>
        </w:tc>
        <w:tc>
          <w:tcPr>
            <w:tcW w:w="5923" w:type="dxa"/>
            <w:vAlign w:val="center"/>
          </w:tcPr>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本项目报价有效期为</w:t>
            </w:r>
            <w:r>
              <w:rPr>
                <w:rFonts w:hint="eastAsia" w:asciiTheme="minorEastAsia" w:hAnsiTheme="minorEastAsia" w:eastAsiaTheme="minorEastAsia" w:cstheme="minorEastAsia"/>
                <w:sz w:val="21"/>
                <w:szCs w:val="21"/>
                <w:u w:val="single"/>
              </w:rPr>
              <w:t>90</w:t>
            </w:r>
            <w:r>
              <w:rPr>
                <w:rFonts w:hint="eastAsia" w:asciiTheme="minorEastAsia" w:hAnsiTheme="minorEastAsia" w:eastAsiaTheme="minorEastAsia" w:cstheme="minorEastAsia"/>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10.1</w:t>
            </w:r>
          </w:p>
        </w:tc>
        <w:tc>
          <w:tcPr>
            <w:tcW w:w="2313"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履约保证金</w:t>
            </w:r>
          </w:p>
        </w:tc>
        <w:tc>
          <w:tcPr>
            <w:tcW w:w="5923"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由供需双方在签订合同时商订。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9072" w:type="dxa"/>
            <w:gridSpan w:val="3"/>
            <w:vAlign w:val="center"/>
          </w:tcPr>
          <w:p>
            <w:pPr>
              <w:autoSpaceDE w:val="0"/>
              <w:autoSpaceDN w:val="0"/>
              <w:adjustRightInd w:val="0"/>
              <w:snapToGrid w:val="0"/>
              <w:spacing w:beforeLines="10" w:afterLines="10" w:line="240" w:lineRule="auto"/>
              <w:ind w:right="21" w:rightChars="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应提交的资格证明文件（实质性要求）</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详见第一章《询价采购公告》第二款“资格要求”，须提供的证明文件包括但不限于： </w:t>
            </w: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1、具有独立承担民事责任的能力；</w:t>
            </w: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2、具有良好的商业信誉和健全的财务会计制度；</w:t>
            </w: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良好的商业信誉证明材料（自拟），财务状况报告（供应商是法人的，应提供近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 </w:t>
            </w: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3、具有履行合同所必需的设备和专业技术能力的证明材料；（自拟）</w:t>
            </w: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竞标截止时间前一段时间（至少提供一个月）缴纳税收的凭据（完税证明、缴款书、银行代扣（代缴）转账凭证等均可）；（2）供应商依法缴纳社会保障资金的证明材料：竞标截止时间前一段时间（至少提供一个月）缴纳社会保险的凭据（专用发票或社会保险缴纳清单或转账凭证等均可）；（3）供应商为其他组织或自然人的，也需要按此项规定提供缴纳税收的凭据和缴纳社会保险的凭据；（4）递交响应文件截止时间的当月成立但因税务机关原因导致其尚未依法缴纳税收的供应商，提供依法缴纳税收承诺书原件（格式自拟），该承诺书视同税收缴纳凭据。（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 </w:t>
            </w: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5、参加政府采购活动前三年内（不足3年按公司成立时间起算），在经营活动中没有重大违法记录（提供书面声明，格式见询价文件第六章）；</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6、符合本文件第一章第二款资格要求的所有证明资料。 </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竞标单位本身，参股或控股单位及独立法人子公司的材料不能作为证明材料，但竞标单位兼并的企业的材料可作为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313"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样品要求</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提交及退还样品的相关规定：无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sz w:val="21"/>
                <w:szCs w:val="21"/>
                <w:lang w:val="en-US" w:eastAsia="zh-CN"/>
              </w:rPr>
            </w:pPr>
            <w:r>
              <w:rPr>
                <w:rFonts w:hint="eastAsia" w:asciiTheme="minorEastAsia" w:hAnsiTheme="minorEastAsia" w:eastAsiaTheme="minorEastAsia" w:cstheme="minorEastAsia"/>
                <w:snapToGrid w:val="0"/>
                <w:sz w:val="21"/>
                <w:szCs w:val="21"/>
                <w:lang w:val="en-US" w:eastAsia="zh-CN"/>
              </w:rPr>
              <w:t>3</w:t>
            </w:r>
          </w:p>
        </w:tc>
        <w:tc>
          <w:tcPr>
            <w:tcW w:w="2313"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sz w:val="21"/>
                <w:szCs w:val="21"/>
                <w:lang w:val="zh-CN"/>
              </w:rPr>
            </w:pPr>
            <w:r>
              <w:rPr>
                <w:rFonts w:hint="eastAsia" w:asciiTheme="minorEastAsia" w:hAnsiTheme="minorEastAsia" w:eastAsiaTheme="minorEastAsia" w:cstheme="minorEastAsia"/>
                <w:snapToGrid w:val="0"/>
                <w:sz w:val="21"/>
                <w:szCs w:val="21"/>
                <w:lang w:val="zh-CN"/>
              </w:rPr>
              <w:t>询价小组人数</w:t>
            </w:r>
          </w:p>
        </w:tc>
        <w:tc>
          <w:tcPr>
            <w:tcW w:w="5923" w:type="dxa"/>
            <w:vAlign w:val="center"/>
          </w:tcPr>
          <w:p>
            <w:pPr>
              <w:autoSpaceDE w:val="0"/>
              <w:autoSpaceDN w:val="0"/>
              <w:adjustRightInd w:val="0"/>
              <w:spacing w:line="240" w:lineRule="auto"/>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lang w:val="zh-CN"/>
              </w:rPr>
              <w:t>3人或3人以上单数组成，其中采购人代表不超过成员总数的三分之一，外聘经济及技术专家在政府采购专家库中随机抽取。</w:t>
            </w:r>
          </w:p>
        </w:tc>
      </w:tr>
    </w:tbl>
    <w:p>
      <w:pPr>
        <w:sectPr>
          <w:pgSz w:w="11906" w:h="16838"/>
          <w:pgMar w:top="1440" w:right="1080" w:bottom="1440" w:left="1080" w:header="851" w:footer="992" w:gutter="0"/>
          <w:cols w:space="425" w:num="1"/>
          <w:docGrid w:type="lines" w:linePitch="312" w:charSpace="0"/>
        </w:sectPr>
      </w:pPr>
    </w:p>
    <w:p>
      <w:pPr>
        <w:pStyle w:val="3"/>
        <w:numPr>
          <w:ilvl w:val="3"/>
          <w:numId w:val="7"/>
        </w:numPr>
        <w:spacing w:before="260" w:after="260" w:line="360" w:lineRule="auto"/>
        <w:jc w:val="left"/>
        <w:rPr>
          <w:rFonts w:ascii="宋体" w:hAnsi="宋体" w:cs="宋体"/>
          <w:sz w:val="21"/>
          <w:szCs w:val="21"/>
        </w:rPr>
      </w:pPr>
      <w:bookmarkStart w:id="39" w:name="_Toc8124"/>
      <w:bookmarkStart w:id="40" w:name="_Toc3403"/>
      <w:bookmarkStart w:id="41" w:name="_Toc23808"/>
      <w:r>
        <w:rPr>
          <w:rFonts w:hint="eastAsia" w:ascii="宋体" w:hAnsi="宋体" w:cs="宋体"/>
          <w:sz w:val="21"/>
          <w:szCs w:val="21"/>
        </w:rPr>
        <w:t>供应商须知</w:t>
      </w:r>
      <w:bookmarkEnd w:id="39"/>
      <w:bookmarkEnd w:id="40"/>
      <w:bookmarkEnd w:id="41"/>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2" w:name="_Toc5396"/>
      <w:bookmarkStart w:id="43" w:name="_Toc26891"/>
      <w:bookmarkStart w:id="44" w:name="_Toc24461"/>
      <w:r>
        <w:rPr>
          <w:rFonts w:hint="eastAsia" w:ascii="宋体" w:hAnsi="宋体" w:cs="宋体"/>
          <w:b/>
          <w:snapToGrid w:val="0"/>
          <w:kern w:val="0"/>
          <w:sz w:val="21"/>
          <w:szCs w:val="21"/>
          <w:lang w:val="zh-CN"/>
        </w:rPr>
        <w:t>适用范围</w:t>
      </w:r>
      <w:bookmarkEnd w:id="42"/>
      <w:bookmarkEnd w:id="43"/>
      <w:bookmarkEnd w:id="44"/>
    </w:p>
    <w:p>
      <w:pPr>
        <w:numPr>
          <w:ilvl w:val="1"/>
          <w:numId w:val="9"/>
        </w:numPr>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本询价文件适用于本询价邀请函中所述项目的货物及相关服务的采购。</w:t>
      </w:r>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5" w:name="_Toc1257"/>
      <w:bookmarkStart w:id="46" w:name="_Toc21023"/>
      <w:bookmarkStart w:id="47" w:name="_Toc16183"/>
      <w:r>
        <w:rPr>
          <w:rFonts w:hint="eastAsia" w:ascii="宋体" w:hAnsi="宋体" w:cs="宋体"/>
          <w:b/>
          <w:snapToGrid w:val="0"/>
          <w:kern w:val="0"/>
          <w:sz w:val="21"/>
          <w:szCs w:val="21"/>
          <w:lang w:val="zh-CN"/>
        </w:rPr>
        <w:t>定义</w:t>
      </w:r>
      <w:bookmarkEnd w:id="45"/>
      <w:bookmarkEnd w:id="46"/>
      <w:bookmarkEnd w:id="47"/>
    </w:p>
    <w:p>
      <w:pPr>
        <w:numPr>
          <w:ilvl w:val="1"/>
          <w:numId w:val="10"/>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“采购人”是指:见供应商须知前附表。</w:t>
      </w:r>
    </w:p>
    <w:p>
      <w:pPr>
        <w:numPr>
          <w:ilvl w:val="1"/>
          <w:numId w:val="10"/>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“监管部门”是指: 见供应商须知前附表。</w:t>
      </w:r>
    </w:p>
    <w:p>
      <w:pPr>
        <w:numPr>
          <w:ilvl w:val="1"/>
          <w:numId w:val="10"/>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“政府采购代理机构”是指: 见供应商须知前附表。</w:t>
      </w:r>
    </w:p>
    <w:p>
      <w:pPr>
        <w:numPr>
          <w:ilvl w:val="1"/>
          <w:numId w:val="10"/>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合格的供应商</w:t>
      </w:r>
    </w:p>
    <w:p>
      <w:pPr>
        <w:numPr>
          <w:ilvl w:val="2"/>
          <w:numId w:val="11"/>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符合《政府采购法》第二十二条规定的供应商。</w:t>
      </w:r>
    </w:p>
    <w:p>
      <w:pPr>
        <w:numPr>
          <w:ilvl w:val="2"/>
          <w:numId w:val="11"/>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符合本《询价文件》供应商须知前附表规定的供应商。</w:t>
      </w:r>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8" w:name="_Toc7033"/>
      <w:bookmarkStart w:id="49" w:name="_Toc8184"/>
      <w:bookmarkStart w:id="50" w:name="_Toc32604"/>
      <w:r>
        <w:rPr>
          <w:rFonts w:hint="eastAsia" w:ascii="宋体" w:hAnsi="宋体" w:cs="宋体"/>
          <w:b/>
          <w:snapToGrid w:val="0"/>
          <w:kern w:val="0"/>
          <w:sz w:val="21"/>
          <w:szCs w:val="21"/>
          <w:lang w:val="zh-CN"/>
        </w:rPr>
        <w:t>合格的货物和服务</w:t>
      </w:r>
      <w:bookmarkEnd w:id="48"/>
      <w:bookmarkEnd w:id="49"/>
      <w:bookmarkEnd w:id="50"/>
    </w:p>
    <w:p>
      <w:pPr>
        <w:numPr>
          <w:ilvl w:val="1"/>
          <w:numId w:val="12"/>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货物”是指供应商制造或组织符合询价文件要求的货物等。询价文件中没有提及货物来源地的，根据《政府采购法》的相关规定均应是本国货物，另有规定的除外。货物必须是其合法生产的符合国家有关标准要求的货物。</w:t>
      </w:r>
    </w:p>
    <w:p>
      <w:pPr>
        <w:numPr>
          <w:ilvl w:val="1"/>
          <w:numId w:val="12"/>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“服务”是指</w:t>
      </w:r>
      <w:r>
        <w:rPr>
          <w:rFonts w:hint="eastAsia" w:ascii="宋体" w:hAnsi="宋体" w:cs="宋体"/>
          <w:sz w:val="21"/>
          <w:szCs w:val="21"/>
        </w:rPr>
        <w:t>询价文件规定投标须承担</w:t>
      </w:r>
      <w:r>
        <w:rPr>
          <w:rFonts w:hint="eastAsia" w:ascii="宋体" w:hAnsi="宋体" w:cs="宋体"/>
          <w:snapToGrid w:val="0"/>
          <w:kern w:val="0"/>
          <w:sz w:val="21"/>
          <w:szCs w:val="21"/>
          <w:lang w:val="zh-CN"/>
        </w:rPr>
        <w:t>其他义务，包括但不限于：供应商须承担的运输、安装、调试、技术支持、培训以及其他类似附加服务的义务。</w:t>
      </w:r>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1" w:name="_Toc21406"/>
      <w:bookmarkStart w:id="52" w:name="_Toc19234"/>
      <w:bookmarkStart w:id="53" w:name="_Toc18725"/>
      <w:r>
        <w:rPr>
          <w:rFonts w:hint="eastAsia" w:ascii="宋体" w:hAnsi="宋体" w:cs="宋体"/>
          <w:b/>
          <w:snapToGrid w:val="0"/>
          <w:kern w:val="0"/>
          <w:sz w:val="21"/>
          <w:szCs w:val="21"/>
          <w:lang w:val="zh-CN"/>
        </w:rPr>
        <w:t>投标费用</w:t>
      </w:r>
      <w:bookmarkEnd w:id="51"/>
      <w:bookmarkEnd w:id="52"/>
      <w:bookmarkEnd w:id="53"/>
    </w:p>
    <w:p>
      <w:pPr>
        <w:numPr>
          <w:ilvl w:val="1"/>
          <w:numId w:val="13"/>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供应商应承担所有与准备和参加询价有关的费用。不论询价的结果如何，政府采购代理机构和采购人均无义务和责任承担这些费用。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4.2  本询价文件的解释权在中经国际招标集团有限公司。</w:t>
      </w:r>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4" w:name="_Toc19366"/>
      <w:bookmarkStart w:id="55" w:name="_Toc17016"/>
      <w:bookmarkStart w:id="56" w:name="_Toc12677"/>
      <w:r>
        <w:rPr>
          <w:rFonts w:hint="eastAsia" w:ascii="宋体" w:hAnsi="宋体" w:cs="宋体"/>
          <w:b/>
          <w:snapToGrid w:val="0"/>
          <w:kern w:val="0"/>
          <w:sz w:val="21"/>
          <w:szCs w:val="21"/>
          <w:lang w:val="zh-CN"/>
        </w:rPr>
        <w:t>交货期及质保期</w:t>
      </w:r>
      <w:bookmarkEnd w:id="54"/>
      <w:bookmarkEnd w:id="55"/>
      <w:bookmarkEnd w:id="56"/>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5.1  交货期：见供应商须知前附表。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w:t>
      </w:r>
      <w:r>
        <w:rPr>
          <w:rFonts w:hint="eastAsia" w:ascii="宋体" w:hAnsi="宋体" w:cs="宋体"/>
          <w:snapToGrid w:val="0"/>
          <w:kern w:val="0"/>
          <w:sz w:val="21"/>
          <w:szCs w:val="21"/>
        </w:rPr>
        <w:t>2</w:t>
      </w:r>
      <w:r>
        <w:rPr>
          <w:rFonts w:hint="eastAsia" w:ascii="宋体" w:hAnsi="宋体" w:cs="宋体"/>
          <w:snapToGrid w:val="0"/>
          <w:kern w:val="0"/>
          <w:sz w:val="21"/>
          <w:szCs w:val="21"/>
          <w:lang w:val="zh-CN"/>
        </w:rPr>
        <w:t xml:space="preserve">  质保期：见供应商须知前附表。</w:t>
      </w:r>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7" w:name="_Toc5685"/>
      <w:bookmarkStart w:id="58" w:name="_Toc20411"/>
      <w:bookmarkStart w:id="59" w:name="_Toc26490"/>
      <w:r>
        <w:rPr>
          <w:rFonts w:hint="eastAsia" w:ascii="宋体" w:hAnsi="宋体" w:cs="宋体"/>
          <w:b/>
          <w:sz w:val="21"/>
          <w:szCs w:val="21"/>
        </w:rPr>
        <w:t>响应文件</w:t>
      </w:r>
      <w:r>
        <w:rPr>
          <w:rFonts w:hint="eastAsia" w:ascii="宋体" w:hAnsi="宋体" w:cs="宋体"/>
          <w:b/>
          <w:snapToGrid w:val="0"/>
          <w:kern w:val="0"/>
          <w:sz w:val="21"/>
          <w:szCs w:val="21"/>
          <w:lang w:val="zh-CN"/>
        </w:rPr>
        <w:t>编制</w:t>
      </w:r>
      <w:r>
        <w:rPr>
          <w:rFonts w:hint="eastAsia" w:ascii="宋体" w:hAnsi="宋体" w:cs="宋体"/>
          <w:b/>
          <w:sz w:val="21"/>
          <w:szCs w:val="21"/>
        </w:rPr>
        <w:t>基本要求及递交</w:t>
      </w:r>
      <w:bookmarkEnd w:id="57"/>
      <w:bookmarkEnd w:id="58"/>
      <w:bookmarkEnd w:id="59"/>
    </w:p>
    <w:p>
      <w:pPr>
        <w:tabs>
          <w:tab w:val="left" w:pos="1290"/>
        </w:tabs>
        <w:spacing w:line="360" w:lineRule="auto"/>
        <w:jc w:val="left"/>
        <w:rPr>
          <w:rFonts w:ascii="宋体" w:hAnsi="宋体" w:cs="宋体"/>
          <w:sz w:val="21"/>
          <w:szCs w:val="21"/>
        </w:rPr>
      </w:pPr>
      <w:r>
        <w:rPr>
          <w:rFonts w:hint="eastAsia" w:ascii="宋体" w:hAnsi="宋体" w:cs="宋体"/>
          <w:sz w:val="21"/>
          <w:szCs w:val="21"/>
        </w:rPr>
        <w:t>6.1  响应文件的数量：见供应商须知前附表。</w:t>
      </w:r>
    </w:p>
    <w:p>
      <w:pPr>
        <w:numPr>
          <w:ilvl w:val="1"/>
          <w:numId w:val="14"/>
        </w:numPr>
        <w:tabs>
          <w:tab w:val="clear" w:pos="360"/>
        </w:tabs>
        <w:spacing w:line="360" w:lineRule="auto"/>
        <w:ind w:left="0" w:firstLine="0"/>
        <w:jc w:val="left"/>
        <w:rPr>
          <w:rFonts w:ascii="宋体" w:hAnsi="宋体" w:cs="宋体"/>
          <w:sz w:val="21"/>
          <w:szCs w:val="21"/>
        </w:rPr>
      </w:pPr>
      <w:r>
        <w:rPr>
          <w:rFonts w:hint="eastAsia" w:ascii="宋体" w:hAnsi="宋体" w:cs="宋体"/>
          <w:sz w:val="21"/>
          <w:szCs w:val="21"/>
        </w:rPr>
        <w:t xml:space="preserve"> 响应文件的制作：供应商应认真阅读本询价文件，按询价文件的要求编制响应文件，对本询价文件的商务要求和技术条款作出实质性的响应和答复。</w:t>
      </w:r>
    </w:p>
    <w:p>
      <w:pPr>
        <w:numPr>
          <w:ilvl w:val="1"/>
          <w:numId w:val="14"/>
        </w:numPr>
        <w:spacing w:line="360" w:lineRule="auto"/>
        <w:jc w:val="left"/>
        <w:rPr>
          <w:rFonts w:ascii="宋体" w:hAnsi="宋体" w:cs="宋体"/>
          <w:sz w:val="21"/>
          <w:szCs w:val="21"/>
        </w:rPr>
      </w:pPr>
      <w:r>
        <w:rPr>
          <w:rFonts w:hint="eastAsia" w:ascii="宋体" w:hAnsi="宋体" w:cs="宋体"/>
          <w:sz w:val="21"/>
          <w:szCs w:val="21"/>
        </w:rPr>
        <w:t xml:space="preserve"> 响应文件应按本询价文件的全部内容，包括所有的补充通知及附件进行编制。</w:t>
      </w:r>
    </w:p>
    <w:p>
      <w:pPr>
        <w:numPr>
          <w:ilvl w:val="1"/>
          <w:numId w:val="14"/>
        </w:numPr>
        <w:tabs>
          <w:tab w:val="left" w:pos="180"/>
        </w:tabs>
        <w:spacing w:line="360" w:lineRule="auto"/>
        <w:ind w:left="0" w:firstLine="0"/>
        <w:jc w:val="left"/>
        <w:rPr>
          <w:rFonts w:ascii="宋体" w:hAnsi="宋体" w:cs="宋体"/>
          <w:sz w:val="21"/>
          <w:szCs w:val="21"/>
        </w:rPr>
      </w:pPr>
      <w:r>
        <w:rPr>
          <w:rFonts w:hint="eastAsia" w:ascii="宋体" w:hAnsi="宋体" w:cs="宋体"/>
          <w:sz w:val="21"/>
          <w:szCs w:val="21"/>
        </w:rPr>
        <w:t xml:space="preserve"> 如因供应商只填写和提供了本询价文件要求的部分内容和附件，而给评审造成困难，其可能导致的结果和责任由供应商自行承担。</w:t>
      </w:r>
    </w:p>
    <w:p>
      <w:pPr>
        <w:numPr>
          <w:ilvl w:val="1"/>
          <w:numId w:val="14"/>
        </w:numPr>
        <w:tabs>
          <w:tab w:val="left" w:pos="180"/>
        </w:tabs>
        <w:spacing w:line="360" w:lineRule="auto"/>
        <w:ind w:left="864" w:hanging="864"/>
        <w:jc w:val="left"/>
        <w:rPr>
          <w:rFonts w:ascii="宋体" w:hAnsi="宋体" w:cs="宋体"/>
          <w:sz w:val="21"/>
          <w:szCs w:val="21"/>
        </w:rPr>
      </w:pPr>
      <w:r>
        <w:rPr>
          <w:rFonts w:hint="eastAsia" w:ascii="宋体" w:hAnsi="宋体" w:cs="宋体"/>
          <w:sz w:val="21"/>
          <w:szCs w:val="21"/>
          <w:lang w:val="zh-CN"/>
        </w:rPr>
        <w:t>询价供应商应当对询价响应文件进行装订，对未经装订的询价响应文件可能发生的文件散落或缺损，由此产生的后果其责任由询价供应商承担。</w:t>
      </w:r>
    </w:p>
    <w:p>
      <w:pPr>
        <w:numPr>
          <w:ilvl w:val="1"/>
          <w:numId w:val="14"/>
        </w:numPr>
        <w:tabs>
          <w:tab w:val="left" w:pos="180"/>
        </w:tabs>
        <w:spacing w:line="360" w:lineRule="auto"/>
        <w:jc w:val="left"/>
        <w:rPr>
          <w:rFonts w:ascii="宋体" w:hAnsi="宋体" w:cs="宋体"/>
          <w:sz w:val="21"/>
          <w:szCs w:val="21"/>
        </w:rPr>
      </w:pPr>
      <w:r>
        <w:rPr>
          <w:rFonts w:hint="eastAsia" w:ascii="宋体" w:hAnsi="宋体" w:cs="宋体"/>
          <w:sz w:val="21"/>
          <w:szCs w:val="21"/>
        </w:rPr>
        <w:t xml:space="preserve"> 响应文件的密封：响应文件必须密封，并须在密封件启封处加盖公章。</w:t>
      </w:r>
    </w:p>
    <w:p>
      <w:pPr>
        <w:numPr>
          <w:ilvl w:val="1"/>
          <w:numId w:val="14"/>
        </w:numPr>
        <w:spacing w:line="360" w:lineRule="auto"/>
        <w:jc w:val="left"/>
        <w:rPr>
          <w:rFonts w:ascii="宋体" w:hAnsi="宋体" w:cs="宋体"/>
          <w:sz w:val="21"/>
          <w:szCs w:val="21"/>
        </w:rPr>
      </w:pPr>
      <w:r>
        <w:rPr>
          <w:rFonts w:hint="eastAsia" w:ascii="宋体" w:hAnsi="宋体" w:cs="宋体"/>
          <w:sz w:val="21"/>
          <w:szCs w:val="21"/>
        </w:rPr>
        <w:t xml:space="preserve"> 响应文件的有效期：递交响应文件的截止时间起90日历天</w:t>
      </w:r>
    </w:p>
    <w:p>
      <w:pPr>
        <w:numPr>
          <w:ilvl w:val="1"/>
          <w:numId w:val="14"/>
        </w:numPr>
        <w:tabs>
          <w:tab w:val="left" w:pos="180"/>
          <w:tab w:val="clear" w:pos="360"/>
        </w:tabs>
        <w:spacing w:line="360" w:lineRule="auto"/>
        <w:ind w:left="0" w:firstLine="0"/>
        <w:jc w:val="left"/>
        <w:rPr>
          <w:rFonts w:ascii="宋体" w:hAnsi="宋体" w:cs="宋体"/>
          <w:sz w:val="21"/>
          <w:szCs w:val="21"/>
        </w:rPr>
      </w:pPr>
      <w:r>
        <w:rPr>
          <w:rFonts w:hint="eastAsia" w:ascii="宋体" w:hAnsi="宋体" w:cs="宋体"/>
          <w:sz w:val="21"/>
          <w:szCs w:val="21"/>
        </w:rPr>
        <w:t xml:space="preserve"> 响应文件的签署：响应文件须由参加报价供应商的法人代表或法定代表授权人在询价文件规定签名、盖章处逐一签名和加盖公章。否则，其响应文件无效。响应文件应尽量避免涂改、行间插字或删除，若出现上述情况，改动之处须加盖单位公章且由供应商的法定代表人或其正式授权的代表签字或盖章。签字或盖章的具体要求见供应商须知前附表。响应文件因字迹潦草或表达不清所引起的后果由供应商负责。</w:t>
      </w:r>
    </w:p>
    <w:p>
      <w:pPr>
        <w:numPr>
          <w:ilvl w:val="1"/>
          <w:numId w:val="14"/>
        </w:numPr>
        <w:spacing w:line="360" w:lineRule="auto"/>
        <w:jc w:val="left"/>
        <w:rPr>
          <w:rFonts w:ascii="宋体" w:hAnsi="宋体" w:cs="宋体"/>
          <w:sz w:val="21"/>
          <w:szCs w:val="21"/>
        </w:rPr>
      </w:pPr>
      <w:r>
        <w:rPr>
          <w:rFonts w:hint="eastAsia" w:ascii="宋体" w:hAnsi="宋体" w:cs="宋体"/>
          <w:sz w:val="21"/>
          <w:szCs w:val="21"/>
        </w:rPr>
        <w:t xml:space="preserve"> 除询价文件的技术规格中另有规定外，计量单位应使用中华人民共和国法定计量单位。</w:t>
      </w:r>
    </w:p>
    <w:p>
      <w:pPr>
        <w:numPr>
          <w:ilvl w:val="1"/>
          <w:numId w:val="14"/>
        </w:numPr>
        <w:spacing w:line="360" w:lineRule="auto"/>
        <w:jc w:val="left"/>
        <w:rPr>
          <w:rFonts w:ascii="宋体" w:hAnsi="宋体" w:cs="宋体"/>
          <w:sz w:val="21"/>
          <w:szCs w:val="21"/>
        </w:rPr>
      </w:pPr>
      <w:r>
        <w:rPr>
          <w:rFonts w:hint="eastAsia" w:ascii="宋体" w:hAnsi="宋体" w:cs="宋体"/>
          <w:sz w:val="21"/>
          <w:szCs w:val="21"/>
        </w:rPr>
        <w:t>响应文件递交截止时间及地点：见供应商须知前附表。</w:t>
      </w:r>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0" w:name="_Toc4523"/>
      <w:bookmarkStart w:id="61" w:name="_Toc1134"/>
      <w:bookmarkStart w:id="62" w:name="_Toc30923"/>
      <w:r>
        <w:rPr>
          <w:rFonts w:hint="eastAsia" w:ascii="宋体" w:hAnsi="宋体" w:cs="宋体"/>
          <w:b/>
          <w:sz w:val="21"/>
          <w:szCs w:val="21"/>
        </w:rPr>
        <w:t>报价及付款结算要求</w:t>
      </w:r>
      <w:bookmarkEnd w:id="60"/>
      <w:bookmarkEnd w:id="61"/>
      <w:bookmarkEnd w:id="62"/>
    </w:p>
    <w:p>
      <w:pPr>
        <w:numPr>
          <w:ilvl w:val="1"/>
          <w:numId w:val="15"/>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报价的价格构成：见供应商须知前附表。</w:t>
      </w:r>
    </w:p>
    <w:p>
      <w:pPr>
        <w:numPr>
          <w:ilvl w:val="1"/>
          <w:numId w:val="15"/>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付款与结算要求：见供应商须知前附表。</w:t>
      </w:r>
    </w:p>
    <w:p>
      <w:pPr>
        <w:numPr>
          <w:ilvl w:val="1"/>
          <w:numId w:val="15"/>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报价超过采购预算的响应文件将被视为无效文件。</w:t>
      </w:r>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3" w:name="_Toc8960"/>
      <w:bookmarkStart w:id="64" w:name="_Toc22148"/>
      <w:bookmarkStart w:id="65" w:name="_Toc21267"/>
      <w:r>
        <w:rPr>
          <w:rFonts w:hint="eastAsia" w:ascii="宋体" w:hAnsi="宋体" w:cs="宋体"/>
          <w:b/>
          <w:sz w:val="21"/>
          <w:szCs w:val="21"/>
        </w:rPr>
        <w:t>询价采购活动报价保证金</w:t>
      </w:r>
      <w:bookmarkEnd w:id="63"/>
      <w:bookmarkEnd w:id="64"/>
      <w:bookmarkEnd w:id="65"/>
    </w:p>
    <w:p>
      <w:pPr>
        <w:numPr>
          <w:ilvl w:val="1"/>
          <w:numId w:val="16"/>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保证金金额：见供应商须知前附表。</w:t>
      </w:r>
    </w:p>
    <w:p>
      <w:pPr>
        <w:numPr>
          <w:ilvl w:val="1"/>
          <w:numId w:val="16"/>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保证金形式：见供应商须知前附表。</w:t>
      </w:r>
    </w:p>
    <w:p>
      <w:pPr>
        <w:numPr>
          <w:ilvl w:val="1"/>
          <w:numId w:val="16"/>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保证金的递交时间：应于供应商须知前附表规定的响应文件递交截止时间之前递交至中经国际招标集团有限公司，保证金的真实性在财务进账时查证，如发生退票和不能进账，其后果由供应商自负。</w:t>
      </w:r>
    </w:p>
    <w:p>
      <w:pPr>
        <w:numPr>
          <w:ilvl w:val="1"/>
          <w:numId w:val="16"/>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未按时递交保证金或保证金金额不足的供应商，其响应文件将被视为无效文件。</w:t>
      </w:r>
    </w:p>
    <w:p>
      <w:pPr>
        <w:numPr>
          <w:ilvl w:val="1"/>
          <w:numId w:val="16"/>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未成交的供应商，在成交通知书发出后五个工作日内退还未成交供应商的投标保证金。</w:t>
      </w:r>
    </w:p>
    <w:p>
      <w:pPr>
        <w:numPr>
          <w:ilvl w:val="1"/>
          <w:numId w:val="16"/>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成交供应商的投标保证金，在成交供应商与采购人签订合同后5个工作日内不计利息原额退还。</w:t>
      </w:r>
    </w:p>
    <w:p>
      <w:pPr>
        <w:numPr>
          <w:ilvl w:val="3"/>
          <w:numId w:val="8"/>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6" w:name="_Toc25722"/>
      <w:bookmarkStart w:id="67" w:name="_Toc23126"/>
      <w:bookmarkStart w:id="68" w:name="_Toc18073"/>
      <w:r>
        <w:rPr>
          <w:rFonts w:hint="eastAsia" w:ascii="宋体" w:hAnsi="宋体" w:cs="宋体"/>
          <w:b/>
          <w:sz w:val="21"/>
          <w:szCs w:val="21"/>
        </w:rPr>
        <w:t>采购代理服务费</w:t>
      </w:r>
      <w:bookmarkEnd w:id="66"/>
      <w:bookmarkEnd w:id="67"/>
      <w:bookmarkEnd w:id="68"/>
    </w:p>
    <w:p>
      <w:pPr>
        <w:tabs>
          <w:tab w:val="left" w:pos="540"/>
        </w:tabs>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9.1  采购代理服务费及其收取方式：见供应商须知前附表</w:t>
      </w:r>
    </w:p>
    <w:p>
      <w:pPr>
        <w:numPr>
          <w:ilvl w:val="3"/>
          <w:numId w:val="8"/>
        </w:numPr>
        <w:tabs>
          <w:tab w:val="left" w:pos="540"/>
          <w:tab w:val="clear" w:pos="2325"/>
        </w:tabs>
        <w:autoSpaceDE w:val="0"/>
        <w:autoSpaceDN w:val="0"/>
        <w:adjustRightInd w:val="0"/>
        <w:spacing w:line="360" w:lineRule="auto"/>
        <w:ind w:left="0" w:firstLine="0"/>
        <w:jc w:val="left"/>
        <w:outlineLvl w:val="1"/>
        <w:rPr>
          <w:rFonts w:ascii="宋体" w:hAnsi="宋体" w:cs="宋体"/>
          <w:b/>
          <w:sz w:val="21"/>
          <w:szCs w:val="21"/>
        </w:rPr>
      </w:pPr>
      <w:bookmarkStart w:id="69" w:name="_Toc32426"/>
      <w:r>
        <w:rPr>
          <w:rFonts w:hint="eastAsia" w:ascii="宋体" w:hAnsi="宋体" w:cs="宋体"/>
          <w:b/>
          <w:sz w:val="21"/>
          <w:szCs w:val="21"/>
        </w:rPr>
        <w:t>履约</w:t>
      </w:r>
      <w:r>
        <w:rPr>
          <w:rFonts w:ascii="宋体" w:hAnsi="宋体" w:cs="宋体"/>
          <w:b/>
          <w:sz w:val="21"/>
          <w:szCs w:val="21"/>
        </w:rPr>
        <w:t>保证金</w:t>
      </w:r>
      <w:bookmarkEnd w:id="69"/>
    </w:p>
    <w:p>
      <w:pPr>
        <w:tabs>
          <w:tab w:val="left" w:pos="540"/>
        </w:tabs>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10</w:t>
      </w:r>
      <w:r>
        <w:rPr>
          <w:rFonts w:ascii="宋体" w:hAnsi="宋体" w:cs="宋体"/>
          <w:snapToGrid w:val="0"/>
          <w:kern w:val="0"/>
          <w:sz w:val="21"/>
          <w:szCs w:val="21"/>
          <w:lang w:val="zh-CN"/>
        </w:rPr>
        <w:t>.1</w:t>
      </w:r>
      <w:r>
        <w:rPr>
          <w:rFonts w:hint="eastAsia" w:ascii="宋体" w:hAnsi="宋体" w:cs="宋体"/>
          <w:snapToGrid w:val="0"/>
          <w:kern w:val="0"/>
          <w:sz w:val="21"/>
          <w:szCs w:val="21"/>
          <w:lang w:val="zh-CN"/>
        </w:rPr>
        <w:t>询价采购文件对履约保证金有规定的，成交供应商应按规定在签订合同前缴纳履约保证金。有关履约保证金的规定询价供应商须知前附表。</w:t>
      </w:r>
    </w:p>
    <w:p>
      <w:pPr>
        <w:pStyle w:val="2"/>
        <w:spacing w:line="360" w:lineRule="auto"/>
        <w:jc w:val="left"/>
        <w:rPr>
          <w:sz w:val="21"/>
          <w:szCs w:val="21"/>
          <w:lang w:val="zh-CN"/>
        </w:rPr>
        <w:sectPr>
          <w:pgSz w:w="11906" w:h="16838"/>
          <w:pgMar w:top="1361" w:right="1361" w:bottom="1361" w:left="1361" w:header="851" w:footer="992" w:gutter="0"/>
          <w:cols w:space="0" w:num="1"/>
          <w:rtlGutter w:val="0"/>
          <w:docGrid w:type="lines" w:linePitch="313" w:charSpace="0"/>
        </w:sectPr>
      </w:pPr>
    </w:p>
    <w:p>
      <w:pPr>
        <w:spacing w:line="240" w:lineRule="auto"/>
        <w:jc w:val="center"/>
        <w:outlineLvl w:val="0"/>
        <w:rPr>
          <w:rFonts w:ascii="宋体" w:hAnsi="宋体"/>
          <w:b/>
          <w:sz w:val="32"/>
          <w:szCs w:val="32"/>
        </w:rPr>
      </w:pPr>
      <w:bookmarkStart w:id="70" w:name="_Toc19850"/>
      <w:bookmarkStart w:id="71" w:name="_Toc22739"/>
      <w:bookmarkStart w:id="72" w:name="_Toc17414"/>
      <w:r>
        <w:rPr>
          <w:rFonts w:hint="eastAsia" w:ascii="宋体" w:hAnsi="宋体"/>
          <w:b/>
          <w:sz w:val="32"/>
          <w:szCs w:val="32"/>
        </w:rPr>
        <w:t>第三章  采购需求</w:t>
      </w:r>
      <w:bookmarkEnd w:id="70"/>
      <w:bookmarkEnd w:id="71"/>
      <w:bookmarkEnd w:id="72"/>
    </w:p>
    <w:p>
      <w:pPr>
        <w:pStyle w:val="3"/>
        <w:keepNext/>
        <w:keepLines/>
        <w:pageBreakBefore w:val="0"/>
        <w:widowControl w:val="0"/>
        <w:numPr>
          <w:ilvl w:val="0"/>
          <w:numId w:val="17"/>
        </w:numPr>
        <w:kinsoku/>
        <w:wordWrap/>
        <w:overflowPunct/>
        <w:topLinePunct w:val="0"/>
        <w:autoSpaceDE/>
        <w:autoSpaceDN/>
        <w:bidi w:val="0"/>
        <w:adjustRightInd/>
        <w:snapToGrid/>
        <w:spacing w:line="360" w:lineRule="auto"/>
        <w:ind w:left="0" w:firstLine="0"/>
        <w:textAlignment w:val="auto"/>
        <w:rPr>
          <w:rFonts w:hint="eastAsia" w:asciiTheme="minorEastAsia" w:hAnsiTheme="minorEastAsia" w:eastAsiaTheme="minorEastAsia" w:cstheme="minorEastAsia"/>
          <w:color w:val="auto"/>
          <w:sz w:val="21"/>
          <w:szCs w:val="21"/>
        </w:rPr>
      </w:pPr>
      <w:bookmarkStart w:id="73" w:name="_Toc11131"/>
      <w:bookmarkStart w:id="74" w:name="_Toc6744"/>
      <w:r>
        <w:rPr>
          <w:rFonts w:hint="eastAsia" w:asciiTheme="minorEastAsia" w:hAnsiTheme="minorEastAsia" w:eastAsiaTheme="minorEastAsia" w:cstheme="minorEastAsia"/>
          <w:color w:val="auto"/>
          <w:sz w:val="21"/>
          <w:szCs w:val="21"/>
        </w:rPr>
        <w:t>技术部分要求</w:t>
      </w:r>
      <w:bookmarkEnd w:id="73"/>
      <w:bookmarkEnd w:id="74"/>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1、项目概况：目前现有的洒水车在我校已使用十年。洒水车作为一个特殊车辆，在冬季使用较少，夏季使用频繁，且为了水压足够，常年需要挂低档高转速运转。从使用特点上造成车辆损耗大于家用车，每年都要花费一笔费用用于该车辆的维修。</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75" w:name="_Toc6528"/>
      <w:bookmarkStart w:id="76" w:name="_Toc327"/>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品牌为东风牌，</w:t>
      </w:r>
      <w:r>
        <w:rPr>
          <w:rFonts w:hint="eastAsia" w:asciiTheme="minorEastAsia" w:hAnsiTheme="minorEastAsia" w:eastAsiaTheme="minorEastAsia" w:cstheme="minorEastAsia"/>
          <w:color w:val="auto"/>
          <w:sz w:val="21"/>
          <w:szCs w:val="21"/>
        </w:rPr>
        <w:t>发动机排量不小于1.5L，满足国六排放标准，车辆轴距3800mm左右；</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、罐体有效容积不小于7立方米,运输介质:水,密度1000千克/每立方米。</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洒水车基本设备设备要求：前对冲（锥形头冲洗公路路面）；后洒（公路路面喷洒降尘养护）；侧喷；高位侧花洒（路边绿化带浇灌养护）；后工作平台高压水炮（喷水方式从雾状到柱状线性可调，最大射程30米）；水泵：自吸式离心水泵，可自吸自排，可泵进泵出。</w:t>
      </w:r>
    </w:p>
    <w:p>
      <w:pPr>
        <w:spacing w:line="360" w:lineRule="auto"/>
        <w:ind w:firstLine="420" w:firstLineChars="200"/>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、所有出水口在驾驶室内用电控按钮操作控制开闭，不需要人工下车扳动阀门。方便，快捷，提高操作舒适性，可灵活避让行人。</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FF0000"/>
          <w:sz w:val="21"/>
          <w:szCs w:val="21"/>
          <w:lang w:val="en-US" w:eastAsia="zh-CN"/>
        </w:rPr>
        <w:t>6、车内须配置冷、暖空调，洒水车需带洒水工作音乐提醒装置，以方便行人及车辆避让。</w:t>
      </w:r>
    </w:p>
    <w:p>
      <w:pPr>
        <w:tabs>
          <w:tab w:val="left" w:pos="576"/>
        </w:tabs>
        <w:spacing w:before="260" w:after="260" w:line="360" w:lineRule="auto"/>
        <w:outlineLvl w:val="1"/>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二、商务部分要求</w:t>
      </w:r>
      <w:bookmarkEnd w:id="75"/>
      <w:bookmarkEnd w:id="76"/>
    </w:p>
    <w:p>
      <w:pPr>
        <w:autoSpaceDE w:val="0"/>
        <w:autoSpaceDN w:val="0"/>
        <w:adjustRightIn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1、违约责任：</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1.1所有拟派服务人员及服务内容均需按照</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文件指标要求及竞标响应情况进行检查核对后方可签订合同，不满足</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1.3因成交供应商原因服务质量及诚信要求达不到约定的标准，由成交供应商向采购人支付合同价款10%的违约金。</w:t>
      </w:r>
    </w:p>
    <w:p>
      <w:pPr>
        <w:tabs>
          <w:tab w:val="left" w:pos="607"/>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en-US" w:eastAsia="zh-CN"/>
        </w:rPr>
        <w:t>2、</w:t>
      </w:r>
      <w:r>
        <w:rPr>
          <w:rFonts w:hint="eastAsia" w:asciiTheme="minorEastAsia" w:hAnsiTheme="minorEastAsia" w:eastAsiaTheme="minorEastAsia" w:cstheme="minorEastAsia"/>
          <w:snapToGrid w:val="0"/>
          <w:color w:val="auto"/>
          <w:kern w:val="0"/>
          <w:sz w:val="21"/>
          <w:szCs w:val="21"/>
          <w:lang w:val="zh-CN"/>
        </w:rPr>
        <w:t>验收内容：</w:t>
      </w:r>
    </w:p>
    <w:p>
      <w:pPr>
        <w:tabs>
          <w:tab w:val="left" w:pos="607"/>
        </w:tabs>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en-US" w:eastAsia="zh-CN"/>
        </w:rPr>
        <w:t>2</w:t>
      </w:r>
      <w:r>
        <w:rPr>
          <w:rFonts w:hint="eastAsia" w:asciiTheme="minorEastAsia" w:hAnsiTheme="minorEastAsia" w:eastAsiaTheme="minorEastAsia" w:cstheme="minorEastAsia"/>
          <w:snapToGrid w:val="0"/>
          <w:color w:val="auto"/>
          <w:kern w:val="0"/>
          <w:sz w:val="21"/>
          <w:szCs w:val="21"/>
          <w:lang w:val="zh-CN"/>
        </w:rPr>
        <w:t>.1所有产品是否符合国家标准、国际标准或行业标准；</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en-US" w:eastAsia="zh-CN"/>
        </w:rPr>
        <w:t>2</w:t>
      </w:r>
      <w:r>
        <w:rPr>
          <w:rFonts w:hint="eastAsia" w:asciiTheme="minorEastAsia" w:hAnsiTheme="minorEastAsia" w:eastAsiaTheme="minorEastAsia" w:cstheme="minorEastAsia"/>
          <w:snapToGrid w:val="0"/>
          <w:color w:val="auto"/>
          <w:kern w:val="0"/>
          <w:sz w:val="21"/>
          <w:szCs w:val="21"/>
          <w:lang w:val="zh-CN"/>
        </w:rPr>
        <w:t>.2所有产品是否满足询价文件的要求及响应文件的承诺</w:t>
      </w:r>
    </w:p>
    <w:p>
      <w:pPr>
        <w:autoSpaceDE w:val="0"/>
        <w:autoSpaceDN w:val="0"/>
        <w:adjustRightIn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、交货地点：</w:t>
      </w:r>
      <w:r>
        <w:rPr>
          <w:rFonts w:hint="eastAsia" w:asciiTheme="minorEastAsia" w:hAnsiTheme="minorEastAsia" w:eastAsiaTheme="minorEastAsia" w:cstheme="minorEastAsia"/>
          <w:color w:val="auto"/>
          <w:sz w:val="21"/>
          <w:szCs w:val="21"/>
          <w:lang w:eastAsia="zh-CN"/>
        </w:rPr>
        <w:t>湖北美术学院藏龙岛校区；</w:t>
      </w:r>
    </w:p>
    <w:p>
      <w:pPr>
        <w:autoSpaceDE w:val="0"/>
        <w:autoSpaceDN w:val="0"/>
        <w:adjustRightInd w:val="0"/>
        <w:spacing w:line="36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4、交货期：合同签订后</w:t>
      </w:r>
      <w:r>
        <w:rPr>
          <w:rFonts w:hint="eastAsia" w:asciiTheme="minorEastAsia" w:hAnsiTheme="minorEastAsia" w:eastAsiaTheme="minorEastAsia" w:cstheme="minorEastAsia"/>
          <w:color w:val="auto"/>
          <w:sz w:val="21"/>
          <w:szCs w:val="21"/>
          <w:u w:val="single"/>
          <w:lang w:val="en-US" w:eastAsia="zh-CN"/>
        </w:rPr>
        <w:t>14</w:t>
      </w:r>
      <w:r>
        <w:rPr>
          <w:rFonts w:hint="eastAsia" w:asciiTheme="minorEastAsia" w:hAnsiTheme="minorEastAsia" w:eastAsiaTheme="minorEastAsia" w:cstheme="minorEastAsia"/>
          <w:color w:val="auto"/>
          <w:sz w:val="21"/>
          <w:szCs w:val="21"/>
          <w:lang w:val="en-US" w:eastAsia="zh-CN"/>
        </w:rPr>
        <w:t>日历天内供货。</w:t>
      </w:r>
    </w:p>
    <w:p>
      <w:pPr>
        <w:autoSpaceDE w:val="0"/>
        <w:autoSpaceDN w:val="0"/>
        <w:adjustRightInd w:val="0"/>
        <w:spacing w:line="36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5、质保期/保修期：底盘质保3年或36万公里（以先到为准），上装设备（洒水设备）质保一年。</w:t>
      </w:r>
    </w:p>
    <w:p>
      <w:pPr>
        <w:autoSpaceDE w:val="0"/>
        <w:autoSpaceDN w:val="0"/>
        <w:adjustRightIn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 xml:space="preserve">、履约保证金：合同金额的5%，签订合同前5个工作日递交，以支票、汇票、本票或者金融机构、担保机构出具的保函等非现金形式提交。合同签订后，履约保证金转为质保金，一年后无息退还，按采购人财务处相关规定办理； </w:t>
      </w:r>
    </w:p>
    <w:p>
      <w:pPr>
        <w:autoSpaceDE w:val="0"/>
        <w:autoSpaceDN w:val="0"/>
        <w:adjustRightInd w:val="0"/>
        <w:spacing w:line="36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、付款方式：甲乙双方按成交价签订合同，乙方提供符合甲方要求的车辆，甲方验收合格后支付20%的预付款；乙方协助甲方完成车辆上牌、过户等工作后，甲方于5个工作日内将合同款项支付至乙方。</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8、维修方案及期限：</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8.1跟踪服务时间：终身；</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8.2在交客户使用之日起，在正常使用范围内，行驶</w:t>
      </w:r>
      <w:r>
        <w:rPr>
          <w:rFonts w:hint="eastAsia" w:asciiTheme="minorEastAsia" w:hAnsiTheme="minorEastAsia" w:eastAsiaTheme="minorEastAsia" w:cstheme="minorEastAsia"/>
          <w:b w:val="0"/>
          <w:bCs w:val="0"/>
          <w:color w:val="FF0000"/>
          <w:kern w:val="2"/>
          <w:sz w:val="21"/>
          <w:szCs w:val="21"/>
          <w:lang w:val="en-US" w:eastAsia="zh-CN" w:bidi="ar-SA"/>
        </w:rPr>
        <w:t>36万公里</w:t>
      </w:r>
      <w:r>
        <w:rPr>
          <w:rFonts w:hint="eastAsia" w:asciiTheme="minorEastAsia" w:hAnsiTheme="minorEastAsia" w:eastAsiaTheme="minorEastAsia" w:cstheme="minorEastAsia"/>
          <w:color w:val="FF0000"/>
          <w:sz w:val="21"/>
          <w:szCs w:val="21"/>
          <w:lang w:val="en-US" w:eastAsia="zh-CN"/>
        </w:rPr>
        <w:t>内或三年内免费修理（不包括易损件和电器部分），超过质保期，只收取零件费；</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8.3服务到达时间： 2小时内到达；</w:t>
      </w:r>
    </w:p>
    <w:p>
      <w:pPr>
        <w:autoSpaceDE w:val="0"/>
        <w:autoSpaceDN w:val="0"/>
        <w:adjustRightInd w:val="0"/>
        <w:spacing w:line="36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9、质保期后配件供应价格方式：根据用户需求，用户所在地底盘技术服务站统一供货或由我厂售后服务部直接供给配件；配件只收成本费用，不加其他费用。</w:t>
      </w:r>
    </w:p>
    <w:p>
      <w:pPr>
        <w:tabs>
          <w:tab w:val="left" w:pos="607"/>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 w:val="21"/>
          <w:szCs w:val="21"/>
          <w:lang w:eastAsia="zh-CN"/>
        </w:rPr>
      </w:pPr>
      <w:r>
        <w:rPr>
          <w:rFonts w:hint="eastAsia" w:asciiTheme="minorEastAsia" w:hAnsiTheme="minorEastAsia" w:eastAsiaTheme="minorEastAsia" w:cstheme="minorEastAsia"/>
          <w:snapToGrid w:val="0"/>
          <w:color w:val="auto"/>
          <w:kern w:val="0"/>
          <w:sz w:val="21"/>
          <w:szCs w:val="21"/>
          <w:lang w:val="en-US" w:eastAsia="zh-CN"/>
        </w:rPr>
        <w:t>10、</w:t>
      </w:r>
      <w:r>
        <w:rPr>
          <w:rFonts w:hint="eastAsia" w:asciiTheme="minorEastAsia" w:hAnsiTheme="minorEastAsia" w:eastAsiaTheme="minorEastAsia" w:cstheme="minorEastAsia"/>
          <w:snapToGrid w:val="0"/>
          <w:color w:val="auto"/>
          <w:kern w:val="0"/>
          <w:sz w:val="21"/>
          <w:szCs w:val="21"/>
          <w:lang w:eastAsia="zh-CN"/>
        </w:rPr>
        <w:t>其他要求：</w:t>
      </w:r>
    </w:p>
    <w:p>
      <w:pPr>
        <w:tabs>
          <w:tab w:val="left" w:pos="607"/>
        </w:tabs>
        <w:autoSpaceDE w:val="0"/>
        <w:autoSpaceDN w:val="0"/>
        <w:adjustRightInd w:val="0"/>
        <w:spacing w:line="360" w:lineRule="auto"/>
        <w:ind w:firstLine="420" w:firstLineChars="200"/>
        <w:jc w:val="left"/>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snapToGrid w:val="0"/>
          <w:color w:val="FF0000"/>
          <w:kern w:val="0"/>
          <w:sz w:val="21"/>
          <w:szCs w:val="21"/>
          <w:lang w:val="en-US" w:eastAsia="zh-CN"/>
        </w:rPr>
        <w:t>★10.1</w:t>
      </w:r>
      <w:r>
        <w:rPr>
          <w:rFonts w:hint="eastAsia" w:asciiTheme="minorEastAsia" w:hAnsiTheme="minorEastAsia" w:eastAsiaTheme="minorEastAsia" w:cstheme="minorEastAsia"/>
          <w:b w:val="0"/>
          <w:bCs w:val="0"/>
          <w:snapToGrid w:val="0"/>
          <w:color w:val="FF0000"/>
          <w:kern w:val="0"/>
          <w:sz w:val="21"/>
          <w:szCs w:val="21"/>
          <w:lang w:eastAsia="zh-CN"/>
        </w:rPr>
        <w:t>乙方应协助甲方完成车辆上牌的一切手续，期间产生的费用（包括裸车价、送车到采购人单位的过路费、油费、临时牌照费、上牌服务费（含工本）的等相关费用）由乙方承担，甲方负责车辆保险费用和相应的购置税和车船税等税费。</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10.2</w:t>
      </w:r>
      <w:r>
        <w:rPr>
          <w:rFonts w:hint="eastAsia" w:asciiTheme="minorEastAsia" w:hAnsiTheme="minorEastAsia" w:eastAsiaTheme="minorEastAsia" w:cstheme="minorEastAsia"/>
          <w:color w:val="auto"/>
          <w:sz w:val="21"/>
          <w:szCs w:val="21"/>
        </w:rPr>
        <w:t>上述办理证、照等人工、交通、食宿等其他所有成本采购人不再另行支付，视为包含在报价表单价中。</w:t>
      </w:r>
    </w:p>
    <w:p>
      <w:pPr>
        <w:spacing w:line="360" w:lineRule="auto"/>
        <w:rPr>
          <w:rFonts w:hint="eastAsia" w:asciiTheme="minorEastAsia" w:hAnsiTheme="minorEastAsia" w:eastAsiaTheme="minorEastAsia" w:cstheme="minorEastAsia"/>
          <w:b/>
          <w:bCs/>
          <w:color w:val="auto"/>
          <w:sz w:val="21"/>
          <w:szCs w:val="21"/>
          <w:lang w:eastAsia="zh-CN"/>
        </w:rPr>
      </w:pPr>
      <w:bookmarkStart w:id="77" w:name="_Toc3078"/>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color w:val="auto"/>
          <w:sz w:val="21"/>
          <w:szCs w:val="21"/>
          <w:lang w:eastAsia="zh-CN"/>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不具有唯一性，供应商可提供同等档次或更高档次产品，并提供相应技术参数证明其符合采购需求或优于采购需求，否则视其为不满足采购需求。</w:t>
      </w:r>
      <w:r>
        <w:rPr>
          <w:rFonts w:hint="eastAsia" w:asciiTheme="minorEastAsia" w:hAnsiTheme="minorEastAsia" w:eastAsiaTheme="minorEastAsia" w:cstheme="minorEastAsia"/>
          <w:b/>
          <w:sz w:val="21"/>
          <w:szCs w:val="21"/>
        </w:rPr>
        <w:br w:type="page"/>
      </w:r>
    </w:p>
    <w:p>
      <w:pPr>
        <w:spacing w:line="360" w:lineRule="auto"/>
        <w:jc w:val="center"/>
        <w:outlineLvl w:val="0"/>
        <w:rPr>
          <w:rFonts w:ascii="宋体" w:hAnsi="宋体"/>
          <w:b/>
          <w:sz w:val="32"/>
          <w:szCs w:val="32"/>
        </w:rPr>
      </w:pPr>
      <w:bookmarkStart w:id="78" w:name="_Toc10478"/>
      <w:bookmarkStart w:id="79" w:name="_Toc9865"/>
      <w:r>
        <w:rPr>
          <w:rFonts w:hint="eastAsia" w:ascii="宋体" w:hAnsi="宋体"/>
          <w:b/>
          <w:sz w:val="32"/>
          <w:szCs w:val="32"/>
        </w:rPr>
        <w:t>第四章  询价采购程序及评定成交标准</w:t>
      </w:r>
      <w:bookmarkEnd w:id="77"/>
      <w:bookmarkEnd w:id="78"/>
      <w:bookmarkEnd w:id="79"/>
    </w:p>
    <w:p>
      <w:pPr>
        <w:numPr>
          <w:ilvl w:val="0"/>
          <w:numId w:val="18"/>
        </w:numPr>
        <w:spacing w:line="360" w:lineRule="auto"/>
        <w:ind w:firstLine="0"/>
        <w:jc w:val="left"/>
        <w:outlineLvl w:val="1"/>
        <w:rPr>
          <w:rFonts w:ascii="宋体" w:hAnsi="宋体" w:cs="宋体"/>
          <w:b/>
          <w:bCs/>
          <w:szCs w:val="21"/>
        </w:rPr>
      </w:pPr>
      <w:bookmarkStart w:id="80" w:name="_Toc21248"/>
      <w:bookmarkStart w:id="81" w:name="_Toc16999"/>
      <w:bookmarkStart w:id="82" w:name="_Toc27934"/>
      <w:r>
        <w:rPr>
          <w:rFonts w:hint="eastAsia" w:ascii="宋体" w:hAnsi="宋体" w:cs="宋体"/>
          <w:b/>
          <w:bCs/>
          <w:szCs w:val="21"/>
        </w:rPr>
        <w:t>询价采购程序</w:t>
      </w:r>
      <w:bookmarkEnd w:id="80"/>
      <w:bookmarkEnd w:id="81"/>
      <w:bookmarkEnd w:id="82"/>
    </w:p>
    <w:p>
      <w:pPr>
        <w:numPr>
          <w:ilvl w:val="0"/>
          <w:numId w:val="19"/>
        </w:numPr>
        <w:spacing w:line="360" w:lineRule="auto"/>
        <w:ind w:firstLineChars="200"/>
        <w:jc w:val="left"/>
        <w:rPr>
          <w:rFonts w:ascii="宋体" w:hAnsi="宋体" w:cs="宋体"/>
          <w:szCs w:val="21"/>
        </w:rPr>
      </w:pPr>
      <w:r>
        <w:rPr>
          <w:rFonts w:hint="eastAsia" w:ascii="宋体" w:hAnsi="宋体" w:cs="宋体"/>
          <w:szCs w:val="21"/>
        </w:rPr>
        <w:t>成立询价小组</w:t>
      </w:r>
    </w:p>
    <w:p>
      <w:pPr>
        <w:spacing w:line="360" w:lineRule="auto"/>
        <w:ind w:firstLine="420" w:firstLineChars="200"/>
        <w:jc w:val="left"/>
        <w:rPr>
          <w:rFonts w:ascii="宋体" w:hAnsi="宋体" w:cs="宋体"/>
          <w:szCs w:val="21"/>
        </w:rPr>
      </w:pPr>
      <w:r>
        <w:rPr>
          <w:rFonts w:hint="eastAsia" w:ascii="宋体" w:hAnsi="宋体" w:cs="宋体"/>
          <w:szCs w:val="21"/>
        </w:rPr>
        <w:t>中经国际招标集团有限公司将组织询价小组，询价小组由有关专家三人以上的单数组成。询价小组应当对采购项目的价格构成和评定成交的标准等事项作出规定。</w:t>
      </w:r>
    </w:p>
    <w:p>
      <w:pPr>
        <w:spacing w:line="360" w:lineRule="auto"/>
        <w:ind w:firstLine="420" w:firstLineChars="200"/>
        <w:jc w:val="left"/>
        <w:rPr>
          <w:rFonts w:ascii="宋体" w:hAnsi="宋体" w:cs="宋体"/>
          <w:color w:val="000000" w:themeColor="text1"/>
          <w:szCs w:val="21"/>
        </w:rPr>
      </w:pPr>
      <w:r>
        <w:rPr>
          <w:rFonts w:hint="eastAsia" w:ascii="宋体" w:hAnsi="宋体" w:cs="宋体"/>
          <w:szCs w:val="21"/>
        </w:rPr>
        <w:t>询</w:t>
      </w:r>
      <w:r>
        <w:rPr>
          <w:rFonts w:hint="eastAsia" w:ascii="宋体" w:hAnsi="宋体" w:cs="宋体"/>
          <w:color w:val="000000" w:themeColor="text1"/>
          <w:szCs w:val="21"/>
        </w:rPr>
        <w:t>价小组人数详见《供应商须知前附表》。</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询价小组中的评审专家人数不小于询价成员总数的</w:t>
      </w:r>
      <w:r>
        <w:rPr>
          <w:rFonts w:ascii="宋体" w:hAnsi="宋体" w:cs="宋体"/>
          <w:color w:val="000000" w:themeColor="text1"/>
          <w:szCs w:val="21"/>
        </w:rPr>
        <w:t>2/3</w:t>
      </w:r>
      <w:r>
        <w:rPr>
          <w:rFonts w:hint="eastAsia" w:ascii="宋体" w:hAnsi="宋体" w:cs="宋体"/>
          <w:color w:val="000000" w:themeColor="text1"/>
          <w:szCs w:val="21"/>
        </w:rPr>
        <w:t>，评审专家的产生详见《供应商须知前附表》</w:t>
      </w:r>
    </w:p>
    <w:p>
      <w:pPr>
        <w:numPr>
          <w:ilvl w:val="0"/>
          <w:numId w:val="19"/>
        </w:numPr>
        <w:spacing w:line="360" w:lineRule="auto"/>
        <w:ind w:firstLineChars="200"/>
        <w:jc w:val="left"/>
        <w:rPr>
          <w:rFonts w:ascii="宋体" w:hAnsi="宋体" w:cs="宋体"/>
          <w:szCs w:val="21"/>
        </w:rPr>
      </w:pPr>
      <w:r>
        <w:rPr>
          <w:rFonts w:hint="eastAsia" w:ascii="宋体" w:hAnsi="宋体" w:cs="宋体"/>
          <w:color w:val="000000" w:themeColor="text1"/>
          <w:szCs w:val="21"/>
        </w:rPr>
        <w:t>确定被询价的</w:t>
      </w:r>
      <w:r>
        <w:rPr>
          <w:rFonts w:hint="eastAsia" w:ascii="宋体" w:hAnsi="宋体" w:cs="宋体"/>
          <w:szCs w:val="21"/>
        </w:rPr>
        <w:t>供应商名单</w:t>
      </w:r>
    </w:p>
    <w:p>
      <w:pPr>
        <w:spacing w:line="360" w:lineRule="auto"/>
        <w:ind w:firstLine="420" w:firstLineChars="200"/>
        <w:jc w:val="left"/>
        <w:rPr>
          <w:rFonts w:ascii="宋体" w:hAnsi="宋体" w:cs="宋体"/>
          <w:szCs w:val="21"/>
        </w:rPr>
      </w:pPr>
      <w:r>
        <w:rPr>
          <w:rFonts w:hint="eastAsia" w:ascii="宋体" w:hAnsi="宋体" w:cs="宋体"/>
          <w:szCs w:val="21"/>
        </w:rPr>
        <w:t>根据采购需求，从符合相应资格条件的供应商名单中确定不少于三家的供应商，并向其发出询价通知书让其报价。</w:t>
      </w:r>
    </w:p>
    <w:p>
      <w:pPr>
        <w:numPr>
          <w:ilvl w:val="0"/>
          <w:numId w:val="19"/>
        </w:numPr>
        <w:spacing w:line="360" w:lineRule="auto"/>
        <w:ind w:firstLineChars="200"/>
        <w:jc w:val="left"/>
        <w:rPr>
          <w:rFonts w:ascii="宋体" w:hAnsi="宋体" w:cs="宋体"/>
          <w:szCs w:val="21"/>
        </w:rPr>
      </w:pPr>
      <w:r>
        <w:rPr>
          <w:rFonts w:hint="eastAsia" w:ascii="宋体" w:hAnsi="宋体" w:cs="宋体"/>
          <w:szCs w:val="21"/>
        </w:rPr>
        <w:t>询价</w:t>
      </w:r>
    </w:p>
    <w:p>
      <w:pPr>
        <w:spacing w:line="360" w:lineRule="auto"/>
        <w:ind w:firstLine="420" w:firstLineChars="200"/>
        <w:jc w:val="left"/>
        <w:rPr>
          <w:rFonts w:ascii="宋体" w:hAnsi="宋体" w:cs="宋体"/>
          <w:szCs w:val="21"/>
        </w:rPr>
      </w:pPr>
      <w:r>
        <w:rPr>
          <w:rFonts w:hint="eastAsia" w:ascii="宋体" w:hAnsi="宋体" w:cs="宋体"/>
          <w:szCs w:val="21"/>
        </w:rPr>
        <w:t>询价小组要求被询价的供应商一次报出不得更改的价格。</w:t>
      </w:r>
    </w:p>
    <w:p>
      <w:pPr>
        <w:numPr>
          <w:ilvl w:val="0"/>
          <w:numId w:val="19"/>
        </w:numPr>
        <w:spacing w:line="360" w:lineRule="auto"/>
        <w:ind w:firstLineChars="200"/>
        <w:jc w:val="left"/>
        <w:rPr>
          <w:rFonts w:ascii="宋体" w:hAnsi="宋体" w:cs="宋体"/>
          <w:szCs w:val="21"/>
        </w:rPr>
      </w:pPr>
      <w:r>
        <w:rPr>
          <w:rFonts w:hint="eastAsia" w:ascii="宋体" w:hAnsi="宋体" w:cs="宋体"/>
          <w:szCs w:val="21"/>
        </w:rPr>
        <w:t>中小企业</w:t>
      </w:r>
    </w:p>
    <w:p>
      <w:pPr>
        <w:spacing w:line="360" w:lineRule="auto"/>
        <w:ind w:firstLine="420" w:firstLineChars="200"/>
        <w:jc w:val="left"/>
        <w:rPr>
          <w:rFonts w:ascii="宋体" w:hAnsi="宋体" w:cs="宋体"/>
          <w:szCs w:val="21"/>
        </w:rPr>
      </w:pPr>
      <w:r>
        <w:rPr>
          <w:rFonts w:hint="eastAsia" w:ascii="宋体" w:hAnsi="宋体" w:cs="宋体"/>
          <w:szCs w:val="21"/>
        </w:rPr>
        <w:t>如符合工信部联企业〔2011〕300号文中对中小企业划型标准的，需提供本单位的《中小企业声明函》（详见附件）及企业相关证明材料。</w:t>
      </w:r>
    </w:p>
    <w:p>
      <w:pPr>
        <w:spacing w:line="360" w:lineRule="auto"/>
        <w:ind w:firstLine="420" w:firstLineChars="200"/>
        <w:jc w:val="left"/>
        <w:rPr>
          <w:rFonts w:ascii="宋体" w:hAnsi="宋体" w:cs="宋体"/>
          <w:szCs w:val="21"/>
        </w:rPr>
      </w:pPr>
      <w:r>
        <w:rPr>
          <w:rFonts w:hint="eastAsia" w:ascii="宋体" w:hAnsi="宋体" w:cs="宋体"/>
          <w:szCs w:val="21"/>
        </w:rPr>
        <w:t>证明材料需为政府相关职能部门或行业主管部门或行业协会出具的企业划型证明材料，需同时提供制造商及代理商双方的证明材料（制造商直接谈判的仅需提供制造商材料），并填写《中小企业声明函》，材料不全的不予折扣。</w:t>
      </w:r>
    </w:p>
    <w:p>
      <w:pPr>
        <w:spacing w:line="360" w:lineRule="auto"/>
        <w:ind w:firstLine="420" w:firstLineChars="200"/>
        <w:jc w:val="left"/>
        <w:rPr>
          <w:rFonts w:ascii="宋体" w:hAnsi="宋体" w:cs="宋体"/>
          <w:szCs w:val="21"/>
        </w:rPr>
      </w:pPr>
      <w:r>
        <w:rPr>
          <w:rFonts w:hint="eastAsia" w:ascii="宋体" w:hAnsi="宋体" w:cs="宋体"/>
          <w:szCs w:val="21"/>
        </w:rPr>
        <w:t>经评委会审核确认供应商符合工信部联企业〔2011〕300号文中对中小企业划型标准的，将根据财库〔2011〕181号文的相关规定在评定时对小型和微型企业产品的价格给予6%的扣除后的价格参与评审。</w:t>
      </w:r>
    </w:p>
    <w:p>
      <w:pPr>
        <w:numPr>
          <w:ilvl w:val="0"/>
          <w:numId w:val="19"/>
        </w:numPr>
        <w:spacing w:line="360" w:lineRule="auto"/>
        <w:ind w:firstLineChars="200"/>
        <w:jc w:val="left"/>
        <w:rPr>
          <w:rFonts w:ascii="宋体" w:hAnsi="宋体" w:cs="宋体"/>
          <w:szCs w:val="21"/>
        </w:rPr>
      </w:pPr>
      <w:r>
        <w:rPr>
          <w:rFonts w:hint="eastAsia" w:ascii="宋体" w:hAnsi="宋体" w:cs="宋体"/>
          <w:szCs w:val="21"/>
        </w:rPr>
        <w:t>节能环保</w:t>
      </w:r>
    </w:p>
    <w:p>
      <w:pPr>
        <w:spacing w:line="360" w:lineRule="auto"/>
        <w:ind w:firstLine="420" w:firstLineChars="200"/>
        <w:jc w:val="left"/>
        <w:rPr>
          <w:rFonts w:ascii="宋体" w:hAnsi="宋体" w:cs="宋体"/>
          <w:szCs w:val="21"/>
        </w:rPr>
      </w:pPr>
      <w:r>
        <w:rPr>
          <w:rFonts w:hint="eastAsia" w:ascii="宋体" w:hAnsi="宋体" w:cs="宋体"/>
          <w:szCs w:val="21"/>
        </w:rPr>
        <w:t>按照财政部、国家发展改革委关于印发《节能产品政府采购实施意见》的通知（财库【2004】185号）/《关于环境标志产品政府采购实施的意见》（财库【2006】）90号）文件执行。</w:t>
      </w:r>
    </w:p>
    <w:p>
      <w:pPr>
        <w:spacing w:line="360" w:lineRule="auto"/>
        <w:ind w:firstLine="420" w:firstLineChars="200"/>
        <w:jc w:val="left"/>
        <w:rPr>
          <w:rFonts w:ascii="宋体" w:hAnsi="宋体" w:cs="宋体"/>
          <w:szCs w:val="21"/>
        </w:rPr>
      </w:pPr>
      <w:r>
        <w:rPr>
          <w:rFonts w:hint="eastAsia" w:ascii="宋体" w:hAnsi="宋体" w:cs="宋体"/>
          <w:szCs w:val="21"/>
        </w:rPr>
        <w:t>如供应商所投产品符合以上文件的政策支持，须提供产品认证证书（合格有效时间内的）、清单公告媒体的网页打印件并作出明显标识。</w:t>
      </w:r>
    </w:p>
    <w:p>
      <w:pPr>
        <w:spacing w:line="360" w:lineRule="auto"/>
        <w:ind w:firstLine="420" w:firstLineChars="200"/>
        <w:jc w:val="left"/>
        <w:rPr>
          <w:rFonts w:ascii="宋体" w:hAnsi="宋体" w:cs="宋体"/>
          <w:szCs w:val="21"/>
        </w:rPr>
      </w:pPr>
      <w:r>
        <w:rPr>
          <w:rFonts w:hint="eastAsia" w:ascii="宋体" w:hAnsi="宋体" w:cs="宋体"/>
          <w:szCs w:val="21"/>
        </w:rPr>
        <w:t>经评委会审核确认供应商所投产品在清单内，符合政策支持要求的，最终报价相同的情况下，将优先采购节能环保产品。</w:t>
      </w:r>
    </w:p>
    <w:p>
      <w:pPr>
        <w:numPr>
          <w:ilvl w:val="0"/>
          <w:numId w:val="18"/>
        </w:numPr>
        <w:spacing w:line="360" w:lineRule="auto"/>
        <w:ind w:firstLine="0"/>
        <w:jc w:val="left"/>
        <w:outlineLvl w:val="1"/>
        <w:rPr>
          <w:rFonts w:ascii="宋体" w:hAnsi="宋体" w:cs="宋体"/>
          <w:b/>
          <w:bCs/>
          <w:szCs w:val="21"/>
        </w:rPr>
      </w:pPr>
      <w:bookmarkStart w:id="83" w:name="_Toc2134"/>
      <w:bookmarkStart w:id="84" w:name="_Toc25153"/>
      <w:bookmarkStart w:id="85" w:name="_Toc7066"/>
      <w:r>
        <w:rPr>
          <w:rFonts w:hint="eastAsia" w:ascii="宋体" w:hAnsi="宋体" w:cs="宋体"/>
          <w:szCs w:val="21"/>
        </w:rPr>
        <w:t>确定成交供应商</w:t>
      </w:r>
      <w:bookmarkEnd w:id="83"/>
      <w:bookmarkEnd w:id="84"/>
      <w:bookmarkEnd w:id="85"/>
    </w:p>
    <w:p>
      <w:pPr>
        <w:spacing w:line="360" w:lineRule="auto"/>
        <w:ind w:firstLine="420" w:firstLineChars="200"/>
        <w:jc w:val="left"/>
        <w:rPr>
          <w:rFonts w:ascii="宋体" w:hAnsi="宋体" w:cs="宋体"/>
          <w:szCs w:val="21"/>
        </w:rPr>
      </w:pPr>
      <w:r>
        <w:rPr>
          <w:rFonts w:hint="eastAsia" w:ascii="宋体" w:hAnsi="宋体" w:cs="宋体"/>
          <w:szCs w:val="21"/>
        </w:rPr>
        <w:t>询价小组将</w:t>
      </w:r>
      <w:r>
        <w:rPr>
          <w:rFonts w:ascii="宋体" w:hAnsi="宋体"/>
          <w:szCs w:val="21"/>
        </w:rPr>
        <w:t>应当从质量和服务均能满足采购文件实质性响应要求的供应商中，按照最后报价由低到高的顺序提出3名以上成交候选人。</w:t>
      </w:r>
    </w:p>
    <w:p>
      <w:pPr>
        <w:numPr>
          <w:ilvl w:val="0"/>
          <w:numId w:val="18"/>
        </w:numPr>
        <w:spacing w:line="360" w:lineRule="auto"/>
        <w:ind w:firstLine="0"/>
        <w:jc w:val="left"/>
        <w:outlineLvl w:val="1"/>
        <w:rPr>
          <w:rFonts w:ascii="宋体" w:hAnsi="宋体" w:cs="宋体"/>
          <w:szCs w:val="21"/>
        </w:rPr>
      </w:pPr>
      <w:bookmarkStart w:id="86" w:name="_Toc18905"/>
      <w:bookmarkStart w:id="87" w:name="_Toc6014"/>
      <w:bookmarkStart w:id="88" w:name="_Toc26738"/>
      <w:r>
        <w:rPr>
          <w:rFonts w:hint="eastAsia" w:ascii="宋体" w:hAnsi="宋体" w:cs="宋体"/>
          <w:szCs w:val="21"/>
        </w:rPr>
        <w:t>废标条款</w:t>
      </w:r>
      <w:bookmarkEnd w:id="86"/>
      <w:bookmarkEnd w:id="87"/>
      <w:bookmarkEnd w:id="88"/>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属于下列情况之一者为废标：</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响应文件送达的时间已超过规定的报价截止时间；</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供应商未按本询价采购文件要求递交竞标保证金；</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响应文件未按本询价采购文件要求制作、密封；</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 xml:space="preserve">响应文件未按询价采购文件规定要求签署、盖章； </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响应文件内容不符合本询价采购文件的要求；</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供应商未按本询价采购文件要求提供相关资格证明文件；</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供应商竞标总报价超过了本项目采购预算，采购人无力支付；</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供应商发生影响采购公正的违法、违规行为；</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供应商在采购过程中使用不真实材料.</w:t>
      </w:r>
    </w:p>
    <w:p>
      <w:pPr>
        <w:numPr>
          <w:ilvl w:val="0"/>
          <w:numId w:val="18"/>
        </w:numPr>
        <w:spacing w:line="360" w:lineRule="auto"/>
        <w:ind w:firstLine="0"/>
        <w:jc w:val="left"/>
        <w:outlineLvl w:val="1"/>
        <w:rPr>
          <w:rFonts w:ascii="宋体" w:hAnsi="宋体" w:cs="宋体"/>
          <w:szCs w:val="21"/>
        </w:rPr>
      </w:pPr>
      <w:bookmarkStart w:id="89" w:name="_Toc27566"/>
      <w:bookmarkStart w:id="90" w:name="_Toc20546"/>
      <w:bookmarkStart w:id="91" w:name="_Toc29639"/>
      <w:r>
        <w:rPr>
          <w:rFonts w:hint="eastAsia" w:ascii="宋体" w:hAnsi="宋体" w:cs="宋体"/>
          <w:szCs w:val="21"/>
        </w:rPr>
        <w:t>成交的标准</w:t>
      </w:r>
      <w:bookmarkEnd w:id="89"/>
      <w:bookmarkEnd w:id="90"/>
      <w:bookmarkEnd w:id="91"/>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必须符合下列各项条件：</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供应商已按本询价采购文件要求递交竞标保证金；</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供应商全部实质性响应本询价采购文件的各项要求；</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供应商具备生产、提供项目所需产品、服务的综合能力；</w:t>
      </w:r>
    </w:p>
    <w:p>
      <w:pPr>
        <w:numPr>
          <w:ilvl w:val="0"/>
          <w:numId w:val="21"/>
        </w:numPr>
        <w:tabs>
          <w:tab w:val="left" w:pos="0"/>
          <w:tab w:val="left" w:pos="360"/>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供应商满足本询价采购项目的技术及交货（工期）要求，能保证质量，确保项目按时实施；</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供应商的响应文件完整齐全；</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供应商能提供最佳服务。</w:t>
      </w:r>
    </w:p>
    <w:p>
      <w:pPr>
        <w:spacing w:line="360" w:lineRule="auto"/>
        <w:jc w:val="left"/>
        <w:rPr>
          <w:lang w:val="zh-CN"/>
        </w:rPr>
        <w:sectPr>
          <w:pgSz w:w="11906" w:h="16838"/>
          <w:pgMar w:top="1440" w:right="1080" w:bottom="1440" w:left="1080" w:header="851" w:footer="992" w:gutter="0"/>
          <w:cols w:space="425" w:num="1"/>
          <w:docGrid w:type="lines" w:linePitch="312" w:charSpace="0"/>
        </w:sectPr>
      </w:pPr>
    </w:p>
    <w:p>
      <w:pPr>
        <w:spacing w:line="360" w:lineRule="auto"/>
        <w:jc w:val="center"/>
        <w:outlineLvl w:val="0"/>
        <w:rPr>
          <w:rFonts w:asciiTheme="minorEastAsia" w:hAnsiTheme="minorEastAsia" w:eastAsiaTheme="minorEastAsia" w:cstheme="minorEastAsia"/>
          <w:b/>
          <w:bCs/>
          <w:szCs w:val="21"/>
        </w:rPr>
      </w:pPr>
      <w:bookmarkStart w:id="92" w:name="_Toc29253"/>
      <w:bookmarkStart w:id="93" w:name="_Toc26293"/>
      <w:bookmarkStart w:id="94" w:name="_Toc24989"/>
      <w:r>
        <w:rPr>
          <w:rFonts w:hint="eastAsia" w:ascii="宋体" w:hAnsi="宋体"/>
          <w:b/>
          <w:sz w:val="32"/>
          <w:szCs w:val="32"/>
        </w:rPr>
        <w:t>第五章  合同格式</w:t>
      </w:r>
      <w:bookmarkEnd w:id="92"/>
      <w:bookmarkEnd w:id="93"/>
      <w:bookmarkEnd w:id="94"/>
      <w:bookmarkStart w:id="95" w:name="_Hlt3013633"/>
      <w:bookmarkEnd w:id="95"/>
      <w:bookmarkStart w:id="96" w:name="_Hlt4556400"/>
      <w:bookmarkEnd w:id="96"/>
      <w:bookmarkStart w:id="97" w:name="_Hlt4569098"/>
      <w:bookmarkEnd w:id="97"/>
    </w:p>
    <w:p>
      <w:pPr>
        <w:spacing w:line="360" w:lineRule="auto"/>
        <w:ind w:firstLine="42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bCs/>
          <w:sz w:val="21"/>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合　　同　　</w:t>
      </w:r>
      <w:r>
        <w:rPr>
          <w:rFonts w:hint="eastAsia" w:asciiTheme="minorEastAsia" w:hAnsiTheme="minorEastAsia" w:eastAsiaTheme="minorEastAsia" w:cstheme="minorEastAsia"/>
          <w:b/>
          <w:kern w:val="0"/>
          <w:sz w:val="21"/>
          <w:szCs w:val="21"/>
          <w:lang w:val="en-US" w:eastAsia="zh-CN"/>
        </w:rPr>
        <w:t>协    议   书</w:t>
      </w:r>
    </w:p>
    <w:p>
      <w:pPr>
        <w:autoSpaceDE w:val="0"/>
        <w:autoSpaceDN w:val="0"/>
        <w:adjustRightInd w:val="0"/>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合同编号：</w:t>
      </w:r>
    </w:p>
    <w:p>
      <w:pPr>
        <w:autoSpaceDE w:val="0"/>
        <w:autoSpaceDN w:val="0"/>
        <w:adjustRightInd w:val="0"/>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签订日期：</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签订合同地点：</w:t>
      </w:r>
    </w:p>
    <w:p>
      <w:pPr>
        <w:pStyle w:val="16"/>
        <w:spacing w:line="360" w:lineRule="auto"/>
        <w:ind w:firstLine="416"/>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3.供方保证全部按合同条款规定的内容和交货期向需方提供合格的</w:t>
      </w:r>
      <w:r>
        <w:rPr>
          <w:rFonts w:hint="eastAsia" w:asciiTheme="minorEastAsia" w:hAnsiTheme="minorEastAsia" w:eastAsiaTheme="minorEastAsia" w:cstheme="minorEastAsia"/>
          <w:kern w:val="0"/>
          <w:sz w:val="21"/>
          <w:szCs w:val="21"/>
          <w:u w:val="single"/>
        </w:rPr>
        <w:t>（工程/货物/服务）</w:t>
      </w:r>
      <w:r>
        <w:rPr>
          <w:rFonts w:hint="eastAsia" w:asciiTheme="minorEastAsia" w:hAnsiTheme="minorEastAsia" w:eastAsiaTheme="minorEastAsia" w:cstheme="minorEastAsia"/>
          <w:kern w:val="0"/>
          <w:sz w:val="21"/>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 w:val="21"/>
          <w:szCs w:val="21"/>
        </w:rPr>
      </w:pPr>
      <w:r>
        <w:rPr>
          <w:rFonts w:hint="eastAsia" w:asciiTheme="minorEastAsia" w:hAnsiTheme="minorEastAsia" w:eastAsiaTheme="minorEastAsia" w:cstheme="minorEastAsia"/>
          <w:b/>
          <w:bCs w:val="0"/>
          <w:kern w:val="0"/>
          <w:sz w:val="21"/>
          <w:szCs w:val="21"/>
        </w:rPr>
        <w:t>4.</w:t>
      </w:r>
      <w:r>
        <w:rPr>
          <w:rFonts w:hint="eastAsia" w:asciiTheme="minorEastAsia" w:hAnsiTheme="minorEastAsia" w:eastAsiaTheme="minorEastAsia" w:cstheme="minorEastAsia"/>
          <w:b/>
          <w:bCs w:val="0"/>
          <w:kern w:val="0"/>
          <w:sz w:val="21"/>
          <w:szCs w:val="21"/>
        </w:rPr>
        <w:tab/>
      </w:r>
      <w:r>
        <w:rPr>
          <w:rFonts w:hint="eastAsia" w:asciiTheme="minorEastAsia" w:hAnsiTheme="minorEastAsia" w:eastAsiaTheme="minorEastAsia" w:cstheme="minorEastAsia"/>
          <w:b/>
          <w:bCs w:val="0"/>
          <w:kern w:val="0"/>
          <w:sz w:val="21"/>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本</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w:t>
      </w:r>
    </w:p>
    <w:p>
      <w:pPr>
        <w:autoSpaceDE w:val="0"/>
        <w:autoSpaceDN w:val="0"/>
        <w:adjustRightInd w:val="0"/>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供方成交的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autoSpaceDE w:val="0"/>
        <w:autoSpaceDN w:val="0"/>
        <w:adjustRightInd w:val="0"/>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4.3</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合同</w:t>
      </w:r>
      <w:r>
        <w:rPr>
          <w:rFonts w:hint="eastAsia" w:asciiTheme="minorEastAsia" w:hAnsiTheme="minorEastAsia" w:eastAsiaTheme="minorEastAsia" w:cstheme="minorEastAsia"/>
          <w:kern w:val="0"/>
          <w:sz w:val="21"/>
          <w:szCs w:val="21"/>
          <w:lang w:val="en-US" w:eastAsia="zh-CN"/>
        </w:rPr>
        <w:t>协议</w:t>
      </w:r>
      <w:r>
        <w:rPr>
          <w:rFonts w:hint="eastAsia" w:asciiTheme="minorEastAsia" w:hAnsiTheme="minorEastAsia" w:eastAsiaTheme="minorEastAsia" w:cstheme="minorEastAsia"/>
          <w:kern w:val="0"/>
          <w:sz w:val="21"/>
          <w:szCs w:val="21"/>
        </w:rPr>
        <w:t>书；</w:t>
      </w:r>
    </w:p>
    <w:p>
      <w:pPr>
        <w:autoSpaceDE w:val="0"/>
        <w:autoSpaceDN w:val="0"/>
        <w:adjustRightInd w:val="0"/>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4.4</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4.5</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u w:val="single"/>
        </w:rPr>
        <w:t xml:space="preserve">  （政府采购代理机构）  </w:t>
      </w:r>
      <w:r>
        <w:rPr>
          <w:rFonts w:hint="eastAsia" w:asciiTheme="minorEastAsia" w:hAnsiTheme="minorEastAsia" w:eastAsiaTheme="minorEastAsia" w:cstheme="minorEastAsia"/>
          <w:kern w:val="0"/>
          <w:sz w:val="21"/>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附件：</w:t>
      </w:r>
    </w:p>
    <w:p>
      <w:pPr>
        <w:autoSpaceDE w:val="0"/>
        <w:autoSpaceDN w:val="0"/>
        <w:adjustRightInd w:val="0"/>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4.6.2 供方在</w:t>
      </w:r>
      <w:r>
        <w:rPr>
          <w:rFonts w:hint="eastAsia" w:asciiTheme="minorEastAsia" w:hAnsiTheme="minorEastAsia" w:eastAsiaTheme="minorEastAsia" w:cstheme="minorEastAsia"/>
          <w:kern w:val="0"/>
          <w:sz w:val="21"/>
          <w:szCs w:val="21"/>
          <w:lang w:eastAsia="zh-CN"/>
        </w:rPr>
        <w:t>谈判</w:t>
      </w:r>
      <w:r>
        <w:rPr>
          <w:rFonts w:hint="eastAsia" w:asciiTheme="minorEastAsia" w:hAnsiTheme="minorEastAsia" w:eastAsiaTheme="minorEastAsia" w:cstheme="minorEastAsia"/>
          <w:kern w:val="0"/>
          <w:sz w:val="21"/>
          <w:szCs w:val="21"/>
        </w:rPr>
        <w:t>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4.6.3 供方在</w:t>
      </w:r>
      <w:r>
        <w:rPr>
          <w:rFonts w:hint="eastAsia" w:asciiTheme="minorEastAsia" w:hAnsiTheme="minorEastAsia" w:eastAsiaTheme="minorEastAsia" w:cstheme="minorEastAsia"/>
          <w:kern w:val="0"/>
          <w:sz w:val="21"/>
          <w:szCs w:val="21"/>
          <w:lang w:eastAsia="zh-CN"/>
        </w:rPr>
        <w:t>谈判</w:t>
      </w:r>
      <w:r>
        <w:rPr>
          <w:rFonts w:hint="eastAsia" w:asciiTheme="minorEastAsia" w:hAnsiTheme="minorEastAsia" w:eastAsiaTheme="minorEastAsia" w:cstheme="minorEastAsia"/>
          <w:kern w:val="0"/>
          <w:sz w:val="21"/>
          <w:szCs w:val="21"/>
        </w:rPr>
        <w:t>时随同</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5.</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6.</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货物及数量</w:t>
      </w:r>
    </w:p>
    <w:p>
      <w:pPr>
        <w:pStyle w:val="16"/>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采购文件的要求及供方</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7.</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本合同的付款条件在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8.</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合同总金额见合同书，分项价格在供方的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9.</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本合同中</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的</w:t>
      </w:r>
      <w:r>
        <w:rPr>
          <w:rFonts w:hint="eastAsia" w:asciiTheme="minorEastAsia" w:hAnsiTheme="minorEastAsia" w:eastAsiaTheme="minorEastAsia" w:cstheme="minorEastAsia"/>
          <w:kern w:val="0"/>
          <w:sz w:val="21"/>
          <w:szCs w:val="21"/>
          <w:u w:val="single"/>
        </w:rPr>
        <w:t xml:space="preserve"> (交货时间/服务完成时间） </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u w:val="single"/>
        </w:rPr>
        <w:t xml:space="preserve"> (交货地点/服务地点） </w:t>
      </w:r>
      <w:r>
        <w:rPr>
          <w:rFonts w:hint="eastAsia" w:asciiTheme="minorEastAsia" w:hAnsiTheme="minorEastAsia" w:eastAsiaTheme="minorEastAsia" w:cstheme="minorEastAsia"/>
          <w:kern w:val="0"/>
          <w:sz w:val="21"/>
          <w:szCs w:val="21"/>
        </w:rPr>
        <w:t>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10.</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11.</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本合同正本一式</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份，需方执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份，供方执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份；副本一式</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份，需方执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份，供方执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份，主管部门执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12.</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合同的失效</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本合同在合同价款结清后失效。</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需　　方</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供　　方</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单位名称（盖章）：</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单位名称（盖章）：</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单位地址：</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单位地址：</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法人代表授权人(签字)：</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法人代表授权人(签字)：</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 系 人：</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联 系 人：</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电　　话：</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传　　真：</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邮政编码：</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邮政编码：</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开户银行：</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开户银行：</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帐　　号：</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帐　　号：</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税　　号：</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税　　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合同签订地址：</w:t>
      </w:r>
    </w:p>
    <w:p>
      <w:pPr>
        <w:spacing w:line="360" w:lineRule="auto"/>
        <w:jc w:val="center"/>
        <w:outlineLvl w:val="0"/>
        <w:rPr>
          <w:rFonts w:ascii="宋体" w:hAnsi="宋体"/>
          <w:b/>
          <w:sz w:val="32"/>
          <w:szCs w:val="32"/>
        </w:rPr>
      </w:pPr>
      <w:bookmarkStart w:id="98" w:name="_Toc20194"/>
      <w:bookmarkStart w:id="99" w:name="_Toc31918"/>
      <w:bookmarkStart w:id="100" w:name="_Toc31245"/>
      <w:r>
        <w:rPr>
          <w:rFonts w:hint="eastAsia" w:ascii="宋体" w:hAnsi="宋体"/>
          <w:b/>
          <w:sz w:val="32"/>
          <w:szCs w:val="32"/>
        </w:rPr>
        <w:t>第六章  响应文件格式</w:t>
      </w:r>
      <w:bookmarkEnd w:id="98"/>
      <w:bookmarkEnd w:id="99"/>
      <w:bookmarkEnd w:id="100"/>
    </w:p>
    <w:p>
      <w:pPr>
        <w:autoSpaceDE w:val="0"/>
        <w:autoSpaceDN w:val="0"/>
        <w:adjustRightInd w:val="0"/>
        <w:spacing w:line="360" w:lineRule="auto"/>
        <w:jc w:val="center"/>
        <w:outlineLvl w:val="9"/>
        <w:rPr>
          <w:rFonts w:ascii="宋体" w:hAnsi="宋体"/>
          <w:sz w:val="28"/>
          <w:szCs w:val="28"/>
        </w:rPr>
      </w:pPr>
    </w:p>
    <w:p>
      <w:pPr>
        <w:autoSpaceDE w:val="0"/>
        <w:autoSpaceDN w:val="0"/>
        <w:adjustRightInd w:val="0"/>
        <w:spacing w:line="360" w:lineRule="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spacing w:line="360" w:lineRule="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rPr>
      </w:pPr>
    </w:p>
    <w:p>
      <w:pPr>
        <w:autoSpaceDE w:val="0"/>
        <w:autoSpaceDN w:val="0"/>
        <w:adjustRightInd w:val="0"/>
        <w:spacing w:line="360" w:lineRule="auto"/>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autoSpaceDE w:val="0"/>
        <w:autoSpaceDN w:val="0"/>
        <w:adjustRightInd w:val="0"/>
        <w:spacing w:line="360" w:lineRule="auto"/>
        <w:jc w:val="center"/>
        <w:outlineLvl w:val="9"/>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ind w:firstLine="1190"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spacing w:line="360" w:lineRule="auto"/>
        <w:ind w:firstLine="1190"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outlineLvl w:val="9"/>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lang w:eastAsia="zh-CN"/>
        </w:rPr>
        <w:t>询价</w:t>
      </w:r>
      <w:r>
        <w:rPr>
          <w:rFonts w:hint="eastAsia" w:asciiTheme="minorEastAsia" w:hAnsiTheme="minorEastAsia" w:eastAsiaTheme="minorEastAsia" w:cstheme="minorEastAsia"/>
          <w:sz w:val="28"/>
          <w:szCs w:val="28"/>
        </w:rPr>
        <w:t>供应商名称（盖章）：</w:t>
      </w:r>
      <w:r>
        <w:rPr>
          <w:rFonts w:hint="eastAsia" w:asciiTheme="minorEastAsia" w:hAnsiTheme="minorEastAsia" w:eastAsiaTheme="minorEastAsia" w:cstheme="minorEastAsia"/>
          <w:b/>
          <w:bCs/>
          <w:sz w:val="32"/>
          <w:u w:val="single"/>
        </w:rPr>
        <w:t xml:space="preserve">                       </w:t>
      </w:r>
      <w:bookmarkStart w:id="101" w:name="_Toc5751"/>
      <w:bookmarkStart w:id="102" w:name="_Toc23858"/>
    </w:p>
    <w:p>
      <w:pPr>
        <w:autoSpaceDE w:val="0"/>
        <w:autoSpaceDN w:val="0"/>
        <w:adjustRightInd w:val="0"/>
        <w:spacing w:line="360" w:lineRule="auto"/>
        <w:ind w:firstLine="1260" w:firstLineChars="45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01"/>
    <w:bookmarkEnd w:id="102"/>
    <w:p>
      <w:pPr>
        <w:autoSpaceDE w:val="0"/>
        <w:autoSpaceDN w:val="0"/>
        <w:adjustRightInd w:val="0"/>
        <w:spacing w:line="360" w:lineRule="auto"/>
        <w:jc w:val="center"/>
        <w:rPr>
          <w:rFonts w:hint="eastAsia" w:asciiTheme="minorEastAsia" w:hAnsiTheme="minorEastAsia" w:eastAsiaTheme="minorEastAsia" w:cstheme="minorEastAsia"/>
          <w:b/>
          <w:bCs/>
          <w:sz w:val="24"/>
        </w:rPr>
      </w:pPr>
    </w:p>
    <w:p>
      <w:pPr>
        <w:autoSpaceDE w:val="0"/>
        <w:autoSpaceDN w:val="0"/>
        <w:adjustRightInd w:val="0"/>
        <w:spacing w:line="360" w:lineRule="auto"/>
        <w:jc w:val="center"/>
        <w:rPr>
          <w:rFonts w:hint="eastAsia" w:asciiTheme="minorEastAsia" w:hAnsiTheme="minorEastAsia" w:eastAsiaTheme="minorEastAsia" w:cstheme="minorEastAsia"/>
          <w:b/>
          <w:bCs/>
          <w:sz w:val="24"/>
        </w:rPr>
      </w:pPr>
    </w:p>
    <w:p>
      <w:pPr>
        <w:autoSpaceDE w:val="0"/>
        <w:autoSpaceDN w:val="0"/>
        <w:adjustRightInd w:val="0"/>
        <w:spacing w:line="360" w:lineRule="auto"/>
        <w:jc w:val="center"/>
        <w:rPr>
          <w:rFonts w:hint="eastAsia" w:asciiTheme="minorEastAsia" w:hAnsiTheme="minorEastAsia" w:eastAsiaTheme="minorEastAsia" w:cstheme="minorEastAsia"/>
          <w:b/>
          <w:bCs/>
          <w:sz w:val="24"/>
        </w:rPr>
      </w:pPr>
    </w:p>
    <w:p>
      <w:pPr>
        <w:autoSpaceDE w:val="0"/>
        <w:autoSpaceDN w:val="0"/>
        <w:adjustRightInd w:val="0"/>
        <w:spacing w:line="360" w:lineRule="auto"/>
        <w:jc w:val="center"/>
        <w:rPr>
          <w:rFonts w:hint="eastAsia" w:asciiTheme="minorEastAsia" w:hAnsiTheme="minorEastAsia" w:eastAsiaTheme="minorEastAsia" w:cstheme="minorEastAsia"/>
          <w:b/>
          <w:bCs/>
          <w:sz w:val="24"/>
        </w:rPr>
      </w:pPr>
    </w:p>
    <w:p>
      <w:pPr>
        <w:rPr>
          <w:rFonts w:hint="eastAsia" w:asciiTheme="minorEastAsia" w:hAnsiTheme="minorEastAsia" w:eastAsiaTheme="minorEastAsia" w:cstheme="minorEastAsia"/>
          <w:b/>
          <w:bCs/>
          <w:sz w:val="24"/>
        </w:rPr>
      </w:pPr>
      <w:bookmarkStart w:id="103" w:name="_Toc16181"/>
      <w:r>
        <w:rPr>
          <w:rFonts w:hint="eastAsia" w:asciiTheme="minorEastAsia" w:hAnsiTheme="minorEastAsia" w:eastAsiaTheme="minorEastAsia" w:cstheme="minorEastAsia"/>
          <w:b/>
          <w:bCs/>
          <w:sz w:val="24"/>
        </w:rPr>
        <w:br w:type="page"/>
      </w:r>
    </w:p>
    <w:p>
      <w:pPr>
        <w:autoSpaceDE w:val="0"/>
        <w:autoSpaceDN w:val="0"/>
        <w:adjustRightInd w:val="0"/>
        <w:spacing w:line="360" w:lineRule="auto"/>
        <w:jc w:val="center"/>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响应文件目录</w:t>
      </w:r>
      <w:bookmarkEnd w:id="103"/>
    </w:p>
    <w:p>
      <w:pPr>
        <w:autoSpaceDE w:val="0"/>
        <w:autoSpaceDN w:val="0"/>
        <w:adjustRightInd w:val="0"/>
        <w:rPr>
          <w:rFonts w:asciiTheme="minorEastAsia" w:hAnsiTheme="minorEastAsia" w:eastAsiaTheme="minorEastAsia" w:cstheme="minorEastAsia"/>
          <w:b/>
          <w:bCs/>
          <w:szCs w:val="21"/>
        </w:rPr>
      </w:pPr>
    </w:p>
    <w:p>
      <w:pPr>
        <w:spacing w:line="360" w:lineRule="auto"/>
        <w:jc w:val="left"/>
        <w:rPr>
          <w:rFonts w:asciiTheme="minorEastAsia" w:hAnsiTheme="minorEastAsia" w:eastAsiaTheme="minorEastAsia" w:cstheme="minorEastAsia"/>
          <w:bCs/>
          <w:spacing w:val="6"/>
          <w:szCs w:val="21"/>
        </w:rPr>
      </w:pPr>
      <w:r>
        <w:rPr>
          <w:rFonts w:hint="eastAsia" w:asciiTheme="minorEastAsia" w:hAnsiTheme="minorEastAsia" w:eastAsiaTheme="minorEastAsia" w:cstheme="minorEastAsia"/>
          <w:bCs/>
          <w:spacing w:val="6"/>
          <w:szCs w:val="21"/>
        </w:rPr>
        <w:br w:type="textWrapping"/>
      </w:r>
      <w:r>
        <w:rPr>
          <w:rFonts w:hint="eastAsia" w:asciiTheme="minorEastAsia" w:hAnsiTheme="minorEastAsia" w:eastAsiaTheme="minorEastAsia" w:cstheme="minorEastAsia"/>
          <w:bCs/>
          <w:spacing w:val="6"/>
          <w:szCs w:val="21"/>
        </w:rPr>
        <w:br w:type="textWrapping"/>
      </w:r>
    </w:p>
    <w:p>
      <w:pPr>
        <w:autoSpaceDE w:val="0"/>
        <w:autoSpaceDN w:val="0"/>
        <w:adjustRightInd w:val="0"/>
        <w:spacing w:line="48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注：</w:t>
      </w:r>
      <w:r>
        <w:rPr>
          <w:rFonts w:hint="eastAsia" w:asciiTheme="minorEastAsia" w:hAnsiTheme="minorEastAsia" w:eastAsiaTheme="minorEastAsia" w:cstheme="minorEastAsia"/>
          <w:b/>
          <w:lang w:eastAsia="zh-CN"/>
        </w:rPr>
        <w:t>询价</w:t>
      </w:r>
      <w:r>
        <w:rPr>
          <w:rFonts w:hint="eastAsia" w:asciiTheme="minorEastAsia" w:hAnsiTheme="minorEastAsia" w:eastAsiaTheme="minorEastAsia" w:cstheme="minorEastAsia"/>
          <w:b/>
        </w:rPr>
        <w:t>响应文件目录及内容每页须顺序编写页码。</w:t>
      </w:r>
    </w:p>
    <w:p>
      <w:pPr>
        <w:autoSpaceDE w:val="0"/>
        <w:autoSpaceDN w:val="0"/>
        <w:adjustRightInd w:val="0"/>
        <w:spacing w:line="480" w:lineRule="auto"/>
        <w:rPr>
          <w:rFonts w:asciiTheme="minorEastAsia" w:hAnsiTheme="minorEastAsia" w:eastAsiaTheme="minorEastAsia" w:cstheme="minorEastAsia"/>
          <w:b/>
        </w:rPr>
      </w:pPr>
    </w:p>
    <w:p>
      <w:pPr>
        <w:autoSpaceDE w:val="0"/>
        <w:autoSpaceDN w:val="0"/>
        <w:adjustRightInd w:val="0"/>
        <w:spacing w:line="480" w:lineRule="auto"/>
        <w:rPr>
          <w:rFonts w:asciiTheme="minorEastAsia" w:hAnsiTheme="minorEastAsia" w:eastAsiaTheme="minorEastAsia" w:cstheme="minorEastAsia"/>
          <w:b/>
        </w:rPr>
        <w:sectPr>
          <w:footerReference r:id="rId3" w:type="default"/>
          <w:pgSz w:w="11906" w:h="16838"/>
          <w:pgMar w:top="1440" w:right="1080" w:bottom="1440" w:left="1080" w:header="851" w:footer="992" w:gutter="0"/>
          <w:cols w:space="720" w:num="1"/>
          <w:docGrid w:type="lines" w:linePitch="312" w:charSpace="0"/>
        </w:sect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0"/>
        <w:rPr>
          <w:rFonts w:hint="eastAsia" w:asciiTheme="minorEastAsia" w:hAnsiTheme="minorEastAsia" w:eastAsiaTheme="minorEastAsia" w:cstheme="minorEastAsia"/>
          <w:b/>
          <w:szCs w:val="21"/>
          <w:lang w:eastAsia="zh-CN"/>
        </w:rPr>
      </w:pPr>
      <w:bookmarkStart w:id="104" w:name="_Toc15789"/>
      <w:bookmarkStart w:id="105" w:name="_Toc11845"/>
      <w:bookmarkStart w:id="106" w:name="_Toc479184125"/>
      <w:bookmarkStart w:id="107" w:name="_Toc30144"/>
      <w:bookmarkStart w:id="108" w:name="_Toc642"/>
      <w:r>
        <w:rPr>
          <w:rFonts w:hint="eastAsia" w:asciiTheme="minorEastAsia" w:hAnsiTheme="minorEastAsia" w:eastAsiaTheme="minorEastAsia" w:cstheme="minorEastAsia"/>
          <w:b/>
          <w:lang w:eastAsia="zh-CN"/>
        </w:rPr>
        <w:t>一</w:t>
      </w:r>
      <w:r>
        <w:rPr>
          <w:rFonts w:hint="eastAsia" w:asciiTheme="minorEastAsia" w:hAnsiTheme="minorEastAsia" w:eastAsiaTheme="minorEastAsia" w:cstheme="minorEastAsia"/>
          <w:b/>
        </w:rPr>
        <w:t>、</w:t>
      </w:r>
      <w:bookmarkEnd w:id="104"/>
      <w:bookmarkEnd w:id="105"/>
      <w:bookmarkEnd w:id="106"/>
      <w:bookmarkEnd w:id="107"/>
      <w:r>
        <w:rPr>
          <w:rFonts w:hint="eastAsia" w:asciiTheme="minorEastAsia" w:hAnsiTheme="minorEastAsia" w:eastAsiaTheme="minorEastAsia" w:cstheme="minorEastAsia"/>
          <w:b/>
          <w:lang w:eastAsia="zh-CN"/>
        </w:rPr>
        <w:t>报价函</w:t>
      </w:r>
      <w:bookmarkEnd w:id="108"/>
    </w:p>
    <w:p>
      <w:pPr>
        <w:keepNext w:val="0"/>
        <w:keepLines w:val="0"/>
        <w:pageBreakBefore w:val="0"/>
        <w:widowControl w:val="0"/>
        <w:kinsoku/>
        <w:wordWrap/>
        <w:overflowPunct/>
        <w:topLinePunct w:val="0"/>
        <w:autoSpaceDE w:val="0"/>
        <w:autoSpaceDN w:val="0"/>
        <w:bidi w:val="0"/>
        <w:adjustRightInd w:val="0"/>
        <w:snapToGrid/>
        <w:spacing w:line="340" w:lineRule="exact"/>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u w:val="single"/>
        </w:rPr>
        <w:t>（政府采购代理机构）：</w:t>
      </w:r>
    </w:p>
    <w:p>
      <w:pPr>
        <w:keepNext w:val="0"/>
        <w:keepLines w:val="0"/>
        <w:pageBreakBefore w:val="0"/>
        <w:widowControl w:val="0"/>
        <w:kinsoku/>
        <w:wordWrap/>
        <w:overflowPunct/>
        <w:topLinePunct w:val="0"/>
        <w:autoSpaceDE w:val="0"/>
        <w:autoSpaceDN w:val="0"/>
        <w:bidi w:val="0"/>
        <w:adjustRightInd w:val="0"/>
        <w:snapToGrid/>
        <w:spacing w:line="340" w:lineRule="exact"/>
        <w:ind w:left="2" w:firstLine="475" w:firstLineChars="2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依据贵方（项目名称/项目编号）项目第</w:t>
      </w:r>
      <w:r>
        <w:rPr>
          <w:rFonts w:hint="eastAsia" w:asciiTheme="minorEastAsia" w:hAnsiTheme="minorEastAsia" w:eastAsiaTheme="minorEastAsia" w:cstheme="minorEastAsia"/>
          <w:kern w:val="0"/>
          <w:sz w:val="21"/>
          <w:szCs w:val="21"/>
          <w:u w:val="single"/>
          <w:lang w:val="en-US" w:eastAsia="zh-CN"/>
        </w:rPr>
        <w:t xml:space="preserve">   </w:t>
      </w:r>
      <w:r>
        <w:rPr>
          <w:rFonts w:hint="eastAsia" w:asciiTheme="minorEastAsia" w:hAnsiTheme="minorEastAsia" w:eastAsiaTheme="minorEastAsia" w:cstheme="minorEastAsia"/>
          <w:kern w:val="0"/>
          <w:sz w:val="21"/>
          <w:szCs w:val="21"/>
        </w:rPr>
        <w:t>包货物的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邀请，我方代表（姓名、职务）经正式授权并代表供应商（供应商的名称、地址）提交下述文件正本一份，副本</w:t>
      </w:r>
      <w:r>
        <w:rPr>
          <w:rFonts w:hint="eastAsia" w:asciiTheme="minorEastAsia" w:hAnsiTheme="minorEastAsia" w:eastAsiaTheme="minorEastAsia" w:cstheme="minorEastAsia"/>
          <w:kern w:val="0"/>
          <w:sz w:val="21"/>
          <w:szCs w:val="21"/>
          <w:lang w:val="en-US" w:eastAsia="zh-CN"/>
        </w:rPr>
        <w:t>二</w:t>
      </w:r>
      <w:r>
        <w:rPr>
          <w:rFonts w:hint="eastAsia" w:asciiTheme="minorEastAsia" w:hAnsiTheme="minorEastAsia" w:eastAsiaTheme="minorEastAsia" w:cstheme="minorEastAsia"/>
          <w:kern w:val="0"/>
          <w:sz w:val="21"/>
          <w:szCs w:val="21"/>
        </w:rPr>
        <w:t>份。</w:t>
      </w:r>
    </w:p>
    <w:p>
      <w:pPr>
        <w:keepNext w:val="0"/>
        <w:keepLines w:val="0"/>
        <w:pageBreakBefore w:val="0"/>
        <w:widowControl w:val="0"/>
        <w:numPr>
          <w:ilvl w:val="1"/>
          <w:numId w:val="22"/>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keepNext w:val="0"/>
        <w:keepLines w:val="0"/>
        <w:pageBreakBefore w:val="0"/>
        <w:widowControl w:val="0"/>
        <w:numPr>
          <w:ilvl w:val="1"/>
          <w:numId w:val="22"/>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资格证明文件；</w:t>
      </w:r>
    </w:p>
    <w:p>
      <w:pPr>
        <w:keepNext w:val="0"/>
        <w:keepLines w:val="0"/>
        <w:pageBreakBefore w:val="0"/>
        <w:widowControl w:val="0"/>
        <w:numPr>
          <w:ilvl w:val="1"/>
          <w:numId w:val="22"/>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按采购的规定递交元（人民币大写）的保证金（如有）。</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并进行如下承诺声明：</w:t>
      </w:r>
    </w:p>
    <w:p>
      <w:pPr>
        <w:keepNext w:val="0"/>
        <w:keepLines w:val="0"/>
        <w:pageBreakBefore w:val="0"/>
        <w:widowControl w:val="0"/>
        <w:numPr>
          <w:ilvl w:val="0"/>
          <w:numId w:val="23"/>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zh-CN"/>
        </w:rPr>
        <w:t>我公司在参加本次政府采购活动前</w:t>
      </w:r>
      <w:r>
        <w:rPr>
          <w:rFonts w:hint="eastAsia" w:asciiTheme="minorEastAsia" w:hAnsiTheme="minorEastAsia" w:eastAsiaTheme="minorEastAsia" w:cstheme="minorEastAsia"/>
          <w:kern w:val="0"/>
          <w:sz w:val="21"/>
          <w:szCs w:val="21"/>
        </w:rPr>
        <w:t>3年内在经营活动中没有重大违法记录；</w:t>
      </w:r>
    </w:p>
    <w:p>
      <w:pPr>
        <w:keepNext w:val="0"/>
        <w:keepLines w:val="0"/>
        <w:pageBreakBefore w:val="0"/>
        <w:widowControl w:val="0"/>
        <w:numPr>
          <w:ilvl w:val="0"/>
          <w:numId w:val="23"/>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我公司在本响应文件中所提供的全部资格证明文件均真实有效，我方承诺对其真实性负责并承担相应后果；</w:t>
      </w:r>
    </w:p>
    <w:p>
      <w:pPr>
        <w:keepNext w:val="0"/>
        <w:keepLines w:val="0"/>
        <w:pageBreakBefore w:val="0"/>
        <w:widowControl w:val="0"/>
        <w:numPr>
          <w:ilvl w:val="0"/>
          <w:numId w:val="23"/>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我公司在本响应文件中所响应的内容均将成为签订合同的依据，并承诺按响应内容提供相应服务；</w:t>
      </w:r>
    </w:p>
    <w:p>
      <w:pPr>
        <w:keepNext w:val="0"/>
        <w:keepLines w:val="0"/>
        <w:pageBreakBefore w:val="0"/>
        <w:widowControl w:val="0"/>
        <w:numPr>
          <w:ilvl w:val="0"/>
          <w:numId w:val="23"/>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重要声明：</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sz w:val="21"/>
          <w:szCs w:val="21"/>
        </w:rPr>
        <w:t>与我方单位负责人为同一人的其他单位名称：□无；□有，具体单位名称为：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4.2与我方存在控股、管理关系的其他单位的名称：□无；□有，具体单位名称为：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sz w:val="21"/>
          <w:szCs w:val="21"/>
          <w:u w:val="single"/>
        </w:rPr>
        <w:t>     </w:t>
      </w:r>
    </w:p>
    <w:p>
      <w:pPr>
        <w:keepNext w:val="0"/>
        <w:keepLines w:val="0"/>
        <w:pageBreakBefore w:val="0"/>
        <w:widowControl w:val="0"/>
        <w:kinsoku/>
        <w:wordWrap/>
        <w:overflowPunct/>
        <w:topLinePunct w:val="0"/>
        <w:bidi w:val="0"/>
        <w:snapToGrid/>
        <w:spacing w:line="340" w:lineRule="exact"/>
        <w:textAlignment w:val="auto"/>
        <w:rPr>
          <w:sz w:val="21"/>
          <w:szCs w:val="21"/>
        </w:rPr>
      </w:pPr>
      <w:r>
        <w:rPr>
          <w:rFonts w:hint="eastAsia" w:asciiTheme="minorEastAsia" w:hAnsiTheme="minorEastAsia" w:eastAsiaTheme="minorEastAsia" w:cstheme="minorEastAsia"/>
          <w:b/>
          <w:bCs/>
          <w:sz w:val="21"/>
          <w:szCs w:val="21"/>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在此，我方宣布同意如下：</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所附《报价一览表》中规定的应提交和交付的货物报价总价为</w:t>
      </w:r>
      <w:r>
        <w:rPr>
          <w:rFonts w:hint="eastAsia" w:asciiTheme="minorEastAsia" w:hAnsiTheme="minorEastAsia" w:eastAsiaTheme="minorEastAsia" w:cstheme="minorEastAsia"/>
          <w:kern w:val="0"/>
          <w:sz w:val="21"/>
          <w:szCs w:val="21"/>
          <w:u w:val="single"/>
        </w:rPr>
        <w:t>（注明币种，并用文字和数字表示的报价总价）</w:t>
      </w:r>
      <w:r>
        <w:rPr>
          <w:rFonts w:hint="eastAsia" w:asciiTheme="minorEastAsia" w:hAnsiTheme="minorEastAsia" w:eastAsiaTheme="minorEastAsia" w:cstheme="minorEastAsia"/>
          <w:kern w:val="0"/>
          <w:sz w:val="21"/>
          <w:szCs w:val="21"/>
        </w:rPr>
        <w:t>。</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将按</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采购文件的约定履行合同责任和义务。</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已详细审查全部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采购文件，包括</w:t>
      </w:r>
      <w:r>
        <w:rPr>
          <w:rFonts w:hint="eastAsia" w:asciiTheme="minorEastAsia" w:hAnsiTheme="minorEastAsia" w:eastAsiaTheme="minorEastAsia" w:cstheme="minorEastAsia"/>
          <w:kern w:val="0"/>
          <w:sz w:val="21"/>
          <w:szCs w:val="21"/>
          <w:u w:val="single"/>
        </w:rPr>
        <w:t>（补充文件等）</w:t>
      </w:r>
      <w:r>
        <w:rPr>
          <w:rFonts w:hint="eastAsia" w:asciiTheme="minorEastAsia" w:hAnsiTheme="minorEastAsia" w:eastAsiaTheme="minorEastAsia" w:cstheme="minorEastAsia"/>
          <w:kern w:val="0"/>
          <w:sz w:val="21"/>
          <w:szCs w:val="21"/>
        </w:rPr>
        <w:t>，对此无异议。</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响应文件的有效期自</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截止时间起共</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日历天。</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接收</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采购文件中关于没收保证金的约定。</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同意提供按照贵方可能要求的与其报价有关的一切数据或资料。</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与本报价有关的一切正式往来信函请寄：。</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供    应    商：（盖章）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  讯  地  址：</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子  函  件：</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授权代表（签字）：</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         期：</w:t>
      </w:r>
    </w:p>
    <w:p>
      <w:pPr>
        <w:tabs>
          <w:tab w:val="left" w:pos="540"/>
        </w:tabs>
        <w:autoSpaceDE w:val="0"/>
        <w:autoSpaceDN w:val="0"/>
        <w:adjustRightInd w:val="0"/>
        <w:jc w:val="center"/>
        <w:outlineLvl w:val="0"/>
        <w:rPr>
          <w:rFonts w:asciiTheme="minorEastAsia" w:hAnsiTheme="minorEastAsia" w:eastAsiaTheme="minorEastAsia" w:cstheme="minorEastAsia"/>
          <w:kern w:val="0"/>
          <w:szCs w:val="21"/>
        </w:rPr>
      </w:pPr>
      <w:bookmarkStart w:id="109" w:name="_Toc13969"/>
      <w:bookmarkStart w:id="110" w:name="_Toc28361"/>
      <w:bookmarkStart w:id="111" w:name="_Toc1475"/>
      <w:bookmarkStart w:id="112" w:name="_Toc479184126"/>
      <w:bookmarkStart w:id="113" w:name="_Toc24205"/>
      <w:r>
        <w:rPr>
          <w:rFonts w:hint="eastAsia" w:asciiTheme="minorEastAsia" w:hAnsiTheme="minorEastAsia" w:eastAsiaTheme="minorEastAsia" w:cstheme="minorEastAsia"/>
          <w:b/>
          <w:lang w:eastAsia="zh-CN"/>
        </w:rPr>
        <w:t>二</w:t>
      </w:r>
      <w:r>
        <w:rPr>
          <w:rFonts w:hint="eastAsia" w:asciiTheme="minorEastAsia" w:hAnsiTheme="minorEastAsia" w:eastAsiaTheme="minorEastAsia" w:cstheme="minorEastAsia"/>
          <w:b/>
        </w:rPr>
        <w:t>、法定代表人授权书</w:t>
      </w:r>
      <w:bookmarkEnd w:id="109"/>
      <w:bookmarkEnd w:id="110"/>
      <w:bookmarkEnd w:id="111"/>
      <w:bookmarkEnd w:id="112"/>
      <w:bookmarkEnd w:id="113"/>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代表），全权代表我公司处理在该项目采购活动中的一切事宜。代理期限从年 月日起至年 月日止。</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签发日期：年 月日         </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授权代表身份证正反面（真彩扫描件）：</w:t>
            </w:r>
          </w:p>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b/>
                <w:bCs/>
              </w:rPr>
              <w:t>注：如法定代表人直接参加</w:t>
            </w:r>
            <w:r>
              <w:rPr>
                <w:rFonts w:hint="eastAsia"/>
                <w:b/>
                <w:bCs/>
                <w:lang w:eastAsia="zh-CN"/>
              </w:rPr>
              <w:t>询价</w:t>
            </w:r>
            <w:r>
              <w:rPr>
                <w:rFonts w:hint="eastAsia"/>
                <w:b/>
                <w:bCs/>
              </w:rPr>
              <w:t>并签署响应文件，无须提供本授权书。</w:t>
            </w:r>
          </w:p>
        </w:tc>
      </w:tr>
    </w:tbl>
    <w:p>
      <w:pPr>
        <w:tabs>
          <w:tab w:val="left" w:pos="540"/>
        </w:tabs>
        <w:autoSpaceDE w:val="0"/>
        <w:autoSpaceDN w:val="0"/>
        <w:adjustRightInd w:val="0"/>
        <w:spacing w:line="360" w:lineRule="auto"/>
        <w:jc w:val="center"/>
        <w:outlineLvl w:val="0"/>
        <w:rPr>
          <w:rFonts w:asciiTheme="minorEastAsia" w:hAnsiTheme="minorEastAsia" w:eastAsiaTheme="minorEastAsia" w:cstheme="minorEastAsia"/>
          <w:kern w:val="0"/>
          <w:szCs w:val="21"/>
        </w:rPr>
      </w:pPr>
      <w:bookmarkStart w:id="114" w:name="_Toc479184127"/>
      <w:bookmarkStart w:id="115" w:name="_Toc5104"/>
      <w:bookmarkStart w:id="116" w:name="_Toc432149008"/>
      <w:bookmarkStart w:id="117" w:name="_Toc30245"/>
      <w:bookmarkStart w:id="118" w:name="_Toc29904"/>
      <w:bookmarkStart w:id="119" w:name="_Toc424832832"/>
      <w:bookmarkStart w:id="120" w:name="_Toc360120184"/>
      <w:bookmarkStart w:id="121" w:name="_Toc17463"/>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14"/>
      <w:bookmarkEnd w:id="115"/>
      <w:bookmarkEnd w:id="116"/>
      <w:bookmarkEnd w:id="117"/>
      <w:bookmarkEnd w:id="118"/>
      <w:bookmarkEnd w:id="119"/>
      <w:bookmarkEnd w:id="120"/>
      <w:bookmarkEnd w:id="121"/>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keepNext w:val="0"/>
        <w:keepLines w:val="0"/>
        <w:pageBreakBefore w:val="0"/>
        <w:widowControl w:val="0"/>
        <w:kinsoku/>
        <w:wordWrap/>
        <w:overflowPunct/>
        <w:topLinePunct w:val="0"/>
        <w:bidi w:val="0"/>
        <w:snapToGrid/>
        <w:spacing w:line="340" w:lineRule="exact"/>
        <w:ind w:firstLine="6156" w:firstLineChars="285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rPr>
              <w:t>粘贴法定代表人身份证正反面（真彩扫描件）：</w:t>
            </w:r>
          </w:p>
        </w:tc>
      </w:tr>
    </w:tbl>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0"/>
        <w:rPr>
          <w:rFonts w:asciiTheme="minorEastAsia" w:hAnsiTheme="minorEastAsia" w:eastAsiaTheme="minorEastAsia" w:cstheme="minorEastAsia"/>
          <w:b/>
          <w:bCs/>
          <w:szCs w:val="21"/>
        </w:rPr>
      </w:pPr>
      <w:bookmarkStart w:id="122" w:name="_Toc432149006"/>
      <w:bookmarkStart w:id="123" w:name="_Toc422466732"/>
      <w:r>
        <w:rPr>
          <w:rFonts w:hint="eastAsia" w:asciiTheme="minorEastAsia" w:hAnsiTheme="minorEastAsia" w:eastAsiaTheme="minorEastAsia" w:cstheme="minorEastAsia"/>
          <w:b/>
          <w:bCs/>
          <w:sz w:val="24"/>
        </w:rPr>
        <w:br w:type="page"/>
      </w:r>
      <w:bookmarkStart w:id="124" w:name="_Toc24869"/>
      <w:bookmarkStart w:id="125" w:name="_Toc479184128"/>
      <w:bookmarkStart w:id="126" w:name="_Toc25168"/>
      <w:bookmarkStart w:id="127" w:name="_Toc4301"/>
      <w:bookmarkStart w:id="128" w:name="_Toc4741"/>
      <w:r>
        <w:rPr>
          <w:rFonts w:hint="eastAsia" w:asciiTheme="minorEastAsia" w:hAnsiTheme="minorEastAsia" w:eastAsiaTheme="minorEastAsia" w:cstheme="minorEastAsia"/>
          <w:b/>
          <w:bCs/>
          <w:szCs w:val="21"/>
        </w:rPr>
        <w:t>四、报价一览表</w:t>
      </w:r>
      <w:bookmarkEnd w:id="122"/>
      <w:bookmarkEnd w:id="123"/>
      <w:bookmarkEnd w:id="124"/>
      <w:bookmarkEnd w:id="125"/>
      <w:bookmarkEnd w:id="126"/>
      <w:bookmarkEnd w:id="127"/>
      <w:bookmarkEnd w:id="128"/>
    </w:p>
    <w:p>
      <w:pPr>
        <w:adjustRightInd w:val="0"/>
        <w:snapToGrid w:val="0"/>
        <w:ind w:left="-90"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大写：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u w:val="single"/>
              </w:rPr>
              <w:t>小写：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（3）此表除保留在</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响应文件中外，另复制一份与法定代表人授权书（原件）、保证金缴纳证明（如有）（复印件）及报价优惠声明（如有）一起另外密封装在一个小信封中</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0"/>
        <w:rPr>
          <w:rFonts w:asciiTheme="minorEastAsia" w:hAnsiTheme="minorEastAsia" w:eastAsiaTheme="minorEastAsia" w:cstheme="minorEastAsia"/>
          <w:szCs w:val="21"/>
          <w:u w:val="single"/>
        </w:rPr>
      </w:pPr>
      <w:bookmarkStart w:id="129" w:name="_Toc259028723"/>
      <w:bookmarkStart w:id="130" w:name="_Toc460258117"/>
      <w:bookmarkStart w:id="131" w:name="_Toc424832831"/>
      <w:bookmarkStart w:id="132" w:name="_Toc432149007"/>
      <w:r>
        <w:rPr>
          <w:rFonts w:hint="eastAsia" w:asciiTheme="minorEastAsia" w:hAnsiTheme="minorEastAsia" w:eastAsiaTheme="minorEastAsia" w:cstheme="minorEastAsia"/>
          <w:b/>
          <w:bCs/>
          <w:sz w:val="24"/>
        </w:rPr>
        <w:br w:type="page"/>
      </w:r>
      <w:bookmarkStart w:id="133" w:name="_Toc18559"/>
      <w:bookmarkStart w:id="134" w:name="_Toc479184129"/>
      <w:bookmarkStart w:id="135" w:name="_Toc1079"/>
      <w:bookmarkStart w:id="136" w:name="_Toc10210"/>
      <w:bookmarkStart w:id="137" w:name="_Toc11948"/>
      <w:r>
        <w:rPr>
          <w:rFonts w:hint="eastAsia" w:asciiTheme="minorEastAsia" w:hAnsiTheme="minorEastAsia" w:eastAsiaTheme="minorEastAsia" w:cstheme="minorEastAsia"/>
          <w:b/>
          <w:bCs/>
          <w:szCs w:val="21"/>
        </w:rPr>
        <w:t>五、</w:t>
      </w:r>
      <w:bookmarkEnd w:id="129"/>
      <w:bookmarkEnd w:id="130"/>
      <w:bookmarkEnd w:id="133"/>
      <w:bookmarkEnd w:id="134"/>
      <w:bookmarkEnd w:id="135"/>
      <w:r>
        <w:rPr>
          <w:rFonts w:hint="eastAsia" w:asciiTheme="minorEastAsia" w:hAnsiTheme="minorEastAsia" w:eastAsiaTheme="minorEastAsia" w:cstheme="minorEastAsia"/>
          <w:b/>
          <w:bCs/>
          <w:szCs w:val="21"/>
        </w:rPr>
        <w:t>报价费用构成表</w:t>
      </w:r>
      <w:bookmarkEnd w:id="136"/>
      <w:bookmarkEnd w:id="137"/>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25"/>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25"/>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25"/>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keepNext w:val="0"/>
        <w:keepLines w:val="0"/>
        <w:pageBreakBefore w:val="0"/>
        <w:widowControl w:val="0"/>
        <w:kinsoku/>
        <w:wordWrap/>
        <w:overflowPunct/>
        <w:topLinePunct w:val="0"/>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Cs w:val="21"/>
        </w:rPr>
        <w:br w:type="page"/>
      </w:r>
    </w:p>
    <w:bookmarkEnd w:id="131"/>
    <w:bookmarkEnd w:id="132"/>
    <w:p>
      <w:pPr>
        <w:keepNext w:val="0"/>
        <w:keepLines w:val="0"/>
        <w:pageBreakBefore w:val="0"/>
        <w:widowControl w:val="0"/>
        <w:tabs>
          <w:tab w:val="left" w:pos="540"/>
        </w:tabs>
        <w:kinsoku/>
        <w:wordWrap/>
        <w:overflowPunct/>
        <w:topLinePunct w:val="0"/>
        <w:autoSpaceDE w:val="0"/>
        <w:autoSpaceDN w:val="0"/>
        <w:bidi w:val="0"/>
        <w:adjustRightInd w:val="0"/>
        <w:spacing w:line="340" w:lineRule="exact"/>
        <w:jc w:val="center"/>
        <w:textAlignment w:val="auto"/>
        <w:outlineLvl w:val="0"/>
        <w:rPr>
          <w:rFonts w:asciiTheme="minorEastAsia" w:hAnsiTheme="minorEastAsia" w:eastAsiaTheme="minorEastAsia" w:cstheme="minorEastAsia"/>
          <w:b/>
          <w:bCs/>
          <w:szCs w:val="21"/>
        </w:rPr>
      </w:pPr>
      <w:bookmarkStart w:id="138" w:name="_Toc4494"/>
      <w:bookmarkStart w:id="139" w:name="_Toc28200"/>
      <w:bookmarkStart w:id="140" w:name="_Toc1811"/>
      <w:bookmarkStart w:id="141" w:name="_Toc1591"/>
      <w:bookmarkStart w:id="142" w:name="_Toc432149012"/>
      <w:bookmarkStart w:id="143" w:name="_Toc479184133"/>
      <w:bookmarkStart w:id="144" w:name="_Toc422466736"/>
      <w:r>
        <w:rPr>
          <w:rFonts w:hint="eastAsia" w:asciiTheme="minorEastAsia" w:hAnsiTheme="minorEastAsia" w:eastAsiaTheme="minorEastAsia" w:cstheme="minorEastAsia"/>
          <w:b/>
          <w:bCs/>
          <w:szCs w:val="21"/>
          <w:lang w:eastAsia="zh-CN"/>
        </w:rPr>
        <w:t>六</w:t>
      </w:r>
      <w:r>
        <w:rPr>
          <w:rFonts w:hint="eastAsia" w:asciiTheme="minorEastAsia" w:hAnsiTheme="minorEastAsia" w:eastAsiaTheme="minorEastAsia" w:cstheme="minorEastAsia"/>
          <w:b/>
          <w:bCs/>
          <w:szCs w:val="21"/>
        </w:rPr>
        <w:t>、偏离说明表</w:t>
      </w:r>
      <w:bookmarkEnd w:id="138"/>
      <w:bookmarkEnd w:id="139"/>
      <w:bookmarkEnd w:id="140"/>
      <w:bookmarkEnd w:id="141"/>
      <w:bookmarkEnd w:id="142"/>
      <w:bookmarkEnd w:id="143"/>
      <w:bookmarkEnd w:id="144"/>
    </w:p>
    <w:p>
      <w:pPr>
        <w:adjustRightInd w:val="0"/>
        <w:snapToGrid w:val="0"/>
        <w:rPr>
          <w:rFonts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874"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采购需求</w:t>
            </w:r>
          </w:p>
        </w:tc>
        <w:tc>
          <w:tcPr>
            <w:tcW w:w="3449"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报价响应</w:t>
            </w:r>
          </w:p>
        </w:tc>
        <w:tc>
          <w:tcPr>
            <w:tcW w:w="1675"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响应审核（资格性要求）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7"/>
          <w:numId w:val="26"/>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供应商应对</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采购文件的各项要求，逐条说明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响应文件做出的实质性响应，并申明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响应文件的偏离和例外。优于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采购文件要求的为正偏离，不满足的为负偏离。</w:t>
      </w:r>
    </w:p>
    <w:p>
      <w:pPr>
        <w:keepNext w:val="0"/>
        <w:keepLines w:val="0"/>
        <w:pageBreakBefore w:val="0"/>
        <w:widowControl w:val="0"/>
        <w:numPr>
          <w:ilvl w:val="7"/>
          <w:numId w:val="26"/>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对有具体参数要求的指标，</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供应商必须提供所投产品的具体参数值。如果仅注明“符合”，“满足”或简单复制</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采购文件要求，将可能导致报价被拒绝。</w:t>
      </w:r>
    </w:p>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45" w:name="_Toc7479"/>
      <w:bookmarkStart w:id="146" w:name="_Toc13619"/>
      <w:bookmarkStart w:id="147" w:name="_Toc432149013"/>
      <w:bookmarkStart w:id="148" w:name="_Toc32060"/>
      <w:bookmarkStart w:id="149" w:name="_Toc28283"/>
      <w:bookmarkStart w:id="150" w:name="_Toc479184134"/>
      <w:bookmarkStart w:id="151" w:name="_Toc362935521"/>
      <w:r>
        <w:rPr>
          <w:rFonts w:hint="eastAsia" w:asciiTheme="minorEastAsia" w:hAnsiTheme="minorEastAsia" w:eastAsiaTheme="minorEastAsia" w:cstheme="minorEastAsia"/>
          <w:b/>
          <w:kern w:val="0"/>
          <w:szCs w:val="21"/>
          <w:lang w:eastAsia="zh-CN"/>
        </w:rPr>
        <w:t>七</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45"/>
      <w:bookmarkEnd w:id="146"/>
      <w:bookmarkEnd w:id="147"/>
      <w:bookmarkEnd w:id="148"/>
      <w:bookmarkEnd w:id="149"/>
      <w:bookmarkEnd w:id="150"/>
      <w:bookmarkEnd w:id="151"/>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项目编号：</w:t>
      </w:r>
    </w:p>
    <w:tbl>
      <w:tblPr>
        <w:tblStyle w:val="20"/>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序号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771"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w:t>
            </w: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合同签订</w:t>
            </w: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时间</w:t>
            </w:r>
          </w:p>
        </w:tc>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合同金额</w:t>
            </w:r>
          </w:p>
        </w:tc>
        <w:tc>
          <w:tcPr>
            <w:tcW w:w="756"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w:t>
            </w:r>
          </w:p>
        </w:tc>
        <w:tc>
          <w:tcPr>
            <w:tcW w:w="1176"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业主单位联系人及电话</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中标公告网页链接（如有）</w:t>
            </w:r>
          </w:p>
        </w:tc>
        <w:tc>
          <w:tcPr>
            <w:tcW w:w="101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是否投</w:t>
            </w: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入使用</w:t>
            </w:r>
          </w:p>
        </w:tc>
        <w:tc>
          <w:tcPr>
            <w:tcW w:w="59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3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71"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964"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6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5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17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12"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59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3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71"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964"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6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5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17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12"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59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3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71"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964"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6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5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17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12"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59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3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71"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964"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6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5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17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12"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59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3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71"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964"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6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5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17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12"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59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3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71"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964"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6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5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17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12"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59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3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71"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964"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6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5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17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12"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59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3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71"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964"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6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75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17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12"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59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1.附</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2.公开竞标成交的类似业绩，还应提供成交/中标公告网页链接。</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bookmarkStart w:id="152" w:name="_Toc460258118"/>
      <w:bookmarkStart w:id="153" w:name="_Toc454806053"/>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54" w:name="_Toc25784"/>
      <w:bookmarkStart w:id="155" w:name="_Toc479184135"/>
      <w:bookmarkStart w:id="156" w:name="_Toc30455"/>
      <w:bookmarkStart w:id="157" w:name="_Toc4834"/>
      <w:bookmarkStart w:id="158" w:name="_Toc22850"/>
      <w:r>
        <w:rPr>
          <w:rFonts w:hint="eastAsia" w:asciiTheme="minorEastAsia" w:hAnsiTheme="minorEastAsia" w:eastAsiaTheme="minorEastAsia" w:cstheme="minorEastAsia"/>
          <w:b/>
          <w:bCs/>
          <w:szCs w:val="21"/>
          <w:lang w:eastAsia="zh-CN"/>
        </w:rPr>
        <w:t>八</w:t>
      </w:r>
      <w:r>
        <w:rPr>
          <w:rFonts w:hint="eastAsia" w:asciiTheme="minorEastAsia" w:hAnsiTheme="minorEastAsia" w:eastAsiaTheme="minorEastAsia" w:cstheme="minorEastAsia"/>
          <w:b/>
          <w:bCs/>
          <w:szCs w:val="21"/>
        </w:rPr>
        <w:t>、拟投入项目组人员一览表</w:t>
      </w:r>
      <w:bookmarkEnd w:id="152"/>
      <w:bookmarkEnd w:id="153"/>
      <w:bookmarkEnd w:id="154"/>
      <w:bookmarkEnd w:id="155"/>
      <w:bookmarkEnd w:id="156"/>
      <w:bookmarkEnd w:id="157"/>
      <w:bookmarkEnd w:id="158"/>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5" w:leftChars="-86" w:firstLine="185"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59" w:name="_Toc479184136"/>
      <w:bookmarkStart w:id="160" w:name="_Toc432149014"/>
      <w:bookmarkStart w:id="161" w:name="_Toc422466737"/>
      <w:bookmarkStart w:id="162" w:name="_Toc26838"/>
      <w:bookmarkStart w:id="163" w:name="_Toc10429"/>
      <w:bookmarkStart w:id="164" w:name="_Toc16491"/>
      <w:bookmarkStart w:id="165" w:name="_Toc21567"/>
      <w:r>
        <w:rPr>
          <w:rFonts w:hint="eastAsia" w:asciiTheme="minorEastAsia" w:hAnsiTheme="minorEastAsia" w:eastAsiaTheme="minorEastAsia" w:cstheme="minorEastAsia"/>
          <w:b/>
          <w:bCs/>
          <w:kern w:val="0"/>
          <w:szCs w:val="21"/>
          <w:lang w:eastAsia="zh-CN"/>
        </w:rPr>
        <w:t>九</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59"/>
      <w:bookmarkEnd w:id="160"/>
      <w:bookmarkEnd w:id="161"/>
      <w:bookmarkEnd w:id="162"/>
      <w:bookmarkEnd w:id="163"/>
      <w:bookmarkEnd w:id="164"/>
      <w:bookmarkEnd w:id="165"/>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1.名称及基本情况：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（1）供应商名称：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（2）地址：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邮箱：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电</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话：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传真：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（3）成立或注册日期：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（4）公司性质：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（5）法定代表人或主要负责人：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（6）员工人数：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．供应商认为需要声明的其他情况：</w:t>
      </w:r>
    </w:p>
    <w:p>
      <w:pPr>
        <w:keepNext w:val="0"/>
        <w:keepLines w:val="0"/>
        <w:pageBreakBefore w:val="0"/>
        <w:widowControl w:val="0"/>
        <w:kinsoku/>
        <w:wordWrap/>
        <w:overflowPunct/>
        <w:topLinePunct w:val="0"/>
        <w:autoSpaceDE/>
        <w:autoSpaceDN/>
        <w:bidi w:val="0"/>
        <w:adjustRightInd/>
        <w:snapToGrid/>
        <w:spacing w:line="240" w:lineRule="auto"/>
        <w:ind w:firstLine="216" w:firstLineChars="100"/>
        <w:jc w:val="both"/>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兹证明上述声明是真实的、正确的，并提供了全部能提供的资料和数据，我们同意遵照</w:t>
      </w:r>
      <w:r>
        <w:rPr>
          <w:rFonts w:hint="eastAsia" w:asciiTheme="minorEastAsia" w:hAnsiTheme="minorEastAsia" w:eastAsiaTheme="minorEastAsia" w:cstheme="minorEastAsia"/>
          <w:bCs/>
          <w:sz w:val="21"/>
          <w:szCs w:val="21"/>
          <w:u w:val="single"/>
        </w:rPr>
        <w:t>采购代理机构</w:t>
      </w:r>
      <w:r>
        <w:rPr>
          <w:rFonts w:hint="eastAsia" w:asciiTheme="minorEastAsia" w:hAnsiTheme="minorEastAsia" w:eastAsiaTheme="minorEastAsia" w:cstheme="minorEastAsia"/>
          <w:bCs/>
          <w:sz w:val="21"/>
          <w:szCs w:val="21"/>
        </w:rPr>
        <w:t>要求出示的有关证明文件。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电      话：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      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66" w:name="_Toc479184137"/>
      <w:bookmarkStart w:id="167" w:name="_Toc17331"/>
      <w:bookmarkStart w:id="168" w:name="_Toc450827823"/>
      <w:bookmarkStart w:id="169" w:name="_Toc259028731"/>
      <w:bookmarkStart w:id="170" w:name="_Toc17527"/>
      <w:bookmarkStart w:id="171" w:name="_Toc26303"/>
      <w:bookmarkStart w:id="172" w:name="_Toc12632"/>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szCs w:val="21"/>
        </w:rPr>
        <w:t>资格证明文件</w:t>
      </w:r>
      <w:bookmarkEnd w:id="166"/>
      <w:bookmarkEnd w:id="167"/>
      <w:bookmarkEnd w:id="168"/>
      <w:bookmarkEnd w:id="169"/>
      <w:bookmarkEnd w:id="170"/>
      <w:bookmarkEnd w:id="171"/>
      <w:bookmarkEnd w:id="172"/>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90" w:leftChars="-42"/>
        <w:jc w:val="center"/>
        <w:rPr>
          <w:rFonts w:asciiTheme="minorEastAsia" w:hAnsiTheme="minorEastAsia" w:eastAsiaTheme="minorEastAsia" w:cstheme="minorEastAsia"/>
          <w:szCs w:val="21"/>
        </w:rPr>
      </w:pPr>
    </w:p>
    <w:p>
      <w:pPr>
        <w:spacing w:line="360" w:lineRule="auto"/>
        <w:ind w:left="172"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bookmarkStart w:id="173" w:name="_Toc290207179"/>
      <w:bookmarkStart w:id="174" w:name="_Toc364868916"/>
      <w:bookmarkStart w:id="175" w:name="_Toc18555"/>
      <w:bookmarkStart w:id="176" w:name="_Toc358447587"/>
      <w:bookmarkStart w:id="177" w:name="_Toc427239751"/>
      <w:bookmarkStart w:id="178" w:name="_Toc32187"/>
      <w:bookmarkStart w:id="179" w:name="_Toc5793"/>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eastAsia="zh-CN"/>
        </w:rPr>
        <w:t>一</w:t>
      </w:r>
      <w:r>
        <w:rPr>
          <w:rFonts w:hint="eastAsia" w:asciiTheme="minorEastAsia" w:hAnsiTheme="minorEastAsia" w:eastAsiaTheme="minorEastAsia" w:cstheme="minorEastAsia"/>
          <w:b/>
          <w:bCs/>
          <w:kern w:val="0"/>
          <w:szCs w:val="21"/>
        </w:rPr>
        <w:t>、</w:t>
      </w:r>
      <w:bookmarkEnd w:id="173"/>
      <w:bookmarkEnd w:id="174"/>
      <w:bookmarkEnd w:id="175"/>
      <w:bookmarkEnd w:id="176"/>
      <w:bookmarkEnd w:id="177"/>
      <w:bookmarkEnd w:id="178"/>
      <w:bookmarkEnd w:id="179"/>
      <w:bookmarkStart w:id="180" w:name="_Toc29785"/>
      <w:bookmarkStart w:id="181" w:name="_Toc27229"/>
      <w:bookmarkStart w:id="182" w:name="_Toc460258123"/>
      <w:bookmarkStart w:id="183" w:name="_Toc479184138"/>
      <w:r>
        <w:rPr>
          <w:rFonts w:hint="eastAsia" w:asciiTheme="minorEastAsia" w:hAnsiTheme="minorEastAsia" w:eastAsiaTheme="minorEastAsia" w:cstheme="minorEastAsia"/>
          <w:b/>
        </w:rPr>
        <w:t>报价技术文件</w:t>
      </w:r>
      <w:bookmarkEnd w:id="180"/>
      <w:bookmarkEnd w:id="181"/>
      <w:bookmarkEnd w:id="182"/>
      <w:bookmarkEnd w:id="183"/>
    </w:p>
    <w:p>
      <w:pPr>
        <w:rPr>
          <w:rFonts w:asciiTheme="minorEastAsia" w:hAnsiTheme="minorEastAsia" w:eastAsiaTheme="minorEastAsia" w:cstheme="minorEastAsia"/>
          <w:szCs w:val="21"/>
        </w:rPr>
      </w:pPr>
    </w:p>
    <w:p>
      <w:pPr>
        <w:pStyle w:val="36"/>
        <w:keepNext w:val="0"/>
        <w:keepLines w:val="0"/>
        <w:pageBreakBefore w:val="0"/>
        <w:widowControl w:val="0"/>
        <w:kinsoku/>
        <w:wordWrap/>
        <w:overflowPunct/>
        <w:topLinePunct w:val="0"/>
        <w:autoSpaceDE/>
        <w:autoSpaceDN/>
        <w:bidi w:val="0"/>
        <w:spacing w:line="340" w:lineRule="exact"/>
        <w:ind w:firstLine="432"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keepNext w:val="0"/>
        <w:keepLines w:val="0"/>
        <w:pageBreakBefore w:val="0"/>
        <w:widowControl w:val="0"/>
        <w:kinsoku/>
        <w:wordWrap/>
        <w:overflowPunct/>
        <w:topLinePunct w:val="0"/>
        <w:autoSpaceDE/>
        <w:autoSpaceDN/>
        <w:bidi w:val="0"/>
        <w:adjustRightInd w:val="0"/>
        <w:snapToGrid w:val="0"/>
        <w:spacing w:line="340" w:lineRule="exact"/>
        <w:ind w:left="-90" w:leftChars="-42" w:firstLine="432" w:firstLineChars="200"/>
        <w:jc w:val="left"/>
        <w:textAlignment w:val="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keepNext w:val="0"/>
        <w:keepLines w:val="0"/>
        <w:pageBreakBefore w:val="0"/>
        <w:widowControl w:val="0"/>
        <w:numPr>
          <w:ilvl w:val="1"/>
          <w:numId w:val="27"/>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keepNext w:val="0"/>
        <w:keepLines w:val="0"/>
        <w:pageBreakBefore w:val="0"/>
        <w:widowControl w:val="0"/>
        <w:numPr>
          <w:ilvl w:val="1"/>
          <w:numId w:val="27"/>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keepNext w:val="0"/>
        <w:keepLines w:val="0"/>
        <w:pageBreakBefore w:val="0"/>
        <w:widowControl w:val="0"/>
        <w:numPr>
          <w:ilvl w:val="1"/>
          <w:numId w:val="27"/>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keepNext w:val="0"/>
        <w:keepLines w:val="0"/>
        <w:pageBreakBefore w:val="0"/>
        <w:widowControl w:val="0"/>
        <w:numPr>
          <w:ilvl w:val="1"/>
          <w:numId w:val="27"/>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keepNext w:val="0"/>
        <w:keepLines w:val="0"/>
        <w:pageBreakBefore w:val="0"/>
        <w:widowControl w:val="0"/>
        <w:numPr>
          <w:ilvl w:val="1"/>
          <w:numId w:val="27"/>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keepNext w:val="0"/>
        <w:keepLines w:val="0"/>
        <w:pageBreakBefore w:val="0"/>
        <w:widowControl w:val="0"/>
        <w:numPr>
          <w:ilvl w:val="1"/>
          <w:numId w:val="27"/>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0"/>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184" w:name="_Toc8098"/>
      <w:bookmarkStart w:id="185" w:name="_Toc355802499"/>
      <w:bookmarkStart w:id="186" w:name="_Toc22465"/>
      <w:bookmarkStart w:id="187" w:name="_Toc2101"/>
      <w:bookmarkStart w:id="188" w:name="_Toc356836516"/>
      <w:bookmarkStart w:id="189" w:name="_Toc479184140"/>
      <w:bookmarkStart w:id="190" w:name="_Toc422466739"/>
      <w:bookmarkStart w:id="191" w:name="_Toc12119"/>
      <w:bookmarkStart w:id="192" w:name="_Toc432149016"/>
      <w:bookmarkStart w:id="193" w:name="_Toc7912"/>
      <w:bookmarkStart w:id="194" w:name="_Toc23951"/>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eastAsia="zh-CN"/>
        </w:rPr>
        <w:t>二</w:t>
      </w:r>
      <w:r>
        <w:rPr>
          <w:rFonts w:hint="eastAsia" w:asciiTheme="minorEastAsia" w:hAnsiTheme="minorEastAsia" w:eastAsiaTheme="minorEastAsia" w:cstheme="minorEastAsia"/>
          <w:b/>
        </w:rPr>
        <w:t>、中小企业声明函</w:t>
      </w:r>
      <w:bookmarkEnd w:id="184"/>
      <w:bookmarkEnd w:id="185"/>
      <w:bookmarkEnd w:id="186"/>
      <w:bookmarkEnd w:id="187"/>
      <w:bookmarkEnd w:id="188"/>
      <w:bookmarkEnd w:id="189"/>
      <w:bookmarkEnd w:id="190"/>
      <w:bookmarkEnd w:id="191"/>
      <w:bookmarkEnd w:id="192"/>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193"/>
      <w:bookmarkEnd w:id="194"/>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195" w:name="OLE_LINK5"/>
      <w:r>
        <w:rPr>
          <w:rFonts w:hint="eastAsia" w:asciiTheme="minorEastAsia" w:hAnsiTheme="minorEastAsia" w:eastAsiaTheme="minorEastAsia" w:cstheme="minorEastAsia"/>
          <w:spacing w:val="6"/>
          <w:szCs w:val="21"/>
        </w:rPr>
        <w:t>______（请填写：中型、小型、微型）企业</w:t>
      </w:r>
      <w:bookmarkEnd w:id="195"/>
      <w:r>
        <w:rPr>
          <w:rFonts w:hint="eastAsia" w:asciiTheme="minorEastAsia" w:hAnsiTheme="minorEastAsia" w:eastAsiaTheme="minorEastAsia" w:cstheme="minorEastAsia"/>
          <w:spacing w:val="6"/>
          <w:szCs w:val="21"/>
        </w:rPr>
        <w:t>。即，本公司同时满足以下条件：</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keepNext w:val="0"/>
        <w:keepLines w:val="0"/>
        <w:pageBreakBefore w:val="0"/>
        <w:widowControl w:val="0"/>
        <w:numPr>
          <w:ilvl w:val="0"/>
          <w:numId w:val="28"/>
        </w:numPr>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keepNext w:val="0"/>
        <w:keepLines w:val="0"/>
        <w:pageBreakBefore w:val="0"/>
        <w:widowControl w:val="0"/>
        <w:numPr>
          <w:ilvl w:val="0"/>
          <w:numId w:val="28"/>
        </w:numPr>
        <w:kinsoku/>
        <w:wordWrap/>
        <w:overflowPunct/>
        <w:topLinePunct w:val="0"/>
        <w:autoSpaceDE/>
        <w:autoSpaceDN/>
        <w:bidi w:val="0"/>
        <w:adjustRightInd/>
        <w:snapToGrid/>
        <w:spacing w:line="340" w:lineRule="exact"/>
        <w:ind w:firstLine="456" w:firstLineChars="200"/>
        <w:textAlignment w:val="auto"/>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spacing w:line="360" w:lineRule="auto"/>
        <w:ind w:firstLine="456"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p>
    <w:p>
      <w:pPr>
        <w:adjustRightInd w:val="0"/>
        <w:snapToGrid w:val="0"/>
        <w:spacing w:line="360" w:lineRule="auto"/>
        <w:jc w:val="center"/>
        <w:outlineLvl w:val="0"/>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196" w:name="_Toc7229"/>
      <w:bookmarkStart w:id="197" w:name="_Toc479184141"/>
      <w:bookmarkStart w:id="198" w:name="_Toc476839034"/>
      <w:bookmarkStart w:id="199" w:name="_Toc4320"/>
      <w:bookmarkStart w:id="200" w:name="_Toc30406"/>
      <w:bookmarkStart w:id="201" w:name="_Toc1915"/>
      <w:bookmarkStart w:id="202" w:name="_Toc17750"/>
      <w:r>
        <w:rPr>
          <w:rFonts w:hint="eastAsia" w:asciiTheme="minorEastAsia" w:hAnsiTheme="minorEastAsia" w:eastAsiaTheme="minorEastAsia" w:cstheme="minorEastAsia"/>
          <w:b/>
          <w:bCs/>
          <w:spacing w:val="6"/>
          <w:szCs w:val="21"/>
        </w:rPr>
        <w:t>十</w:t>
      </w:r>
      <w:r>
        <w:rPr>
          <w:rFonts w:hint="eastAsia" w:asciiTheme="minorEastAsia" w:hAnsiTheme="minorEastAsia" w:eastAsiaTheme="minorEastAsia" w:cstheme="minorEastAsia"/>
          <w:b/>
          <w:bCs/>
          <w:spacing w:val="6"/>
          <w:szCs w:val="21"/>
          <w:lang w:eastAsia="zh-CN"/>
        </w:rPr>
        <w:t>三</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196"/>
      <w:bookmarkEnd w:id="197"/>
      <w:bookmarkEnd w:id="198"/>
      <w:bookmarkEnd w:id="199"/>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w:t>
      </w:r>
      <w:r>
        <w:rPr>
          <w:rFonts w:hint="eastAsia" w:asciiTheme="minorEastAsia" w:hAnsiTheme="minorEastAsia" w:eastAsiaTheme="minorEastAsia" w:cstheme="minorEastAsia"/>
          <w:b/>
          <w:bCs/>
          <w:kern w:val="0"/>
          <w:sz w:val="21"/>
          <w:szCs w:val="21"/>
          <w:lang w:eastAsia="zh-CN"/>
        </w:rPr>
        <w:t>询价</w:t>
      </w:r>
      <w:r>
        <w:rPr>
          <w:rFonts w:hint="eastAsia" w:asciiTheme="minorEastAsia" w:hAnsiTheme="minorEastAsia" w:eastAsiaTheme="minorEastAsia" w:cstheme="minorEastAsia"/>
          <w:b/>
          <w:bCs/>
          <w:kern w:val="0"/>
          <w:sz w:val="21"/>
          <w:szCs w:val="21"/>
        </w:rPr>
        <w:t>供应商应在此基础上，根据本单位实际情况进行声明）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采购人和采购代理机构：</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我方在此声明，我方在参加本</w:t>
      </w:r>
      <w:r>
        <w:rPr>
          <w:rFonts w:hint="eastAsia" w:asciiTheme="minorEastAsia" w:hAnsiTheme="minorEastAsia" w:eastAsiaTheme="minorEastAsia" w:cstheme="minorEastAsia"/>
          <w:kern w:val="0"/>
          <w:sz w:val="21"/>
          <w:szCs w:val="21"/>
          <w:shd w:val="clear" w:color="auto" w:fill="FFFFFF"/>
        </w:rPr>
        <w:t>次政府采购活动前三年内，在经营活动中没有以下重大违法记录：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1.我方因违法经营被追究过刑事责任；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2.我方因违法经营被责令停产停业、吊销许可证或者执照；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3.我方因违法经营被处以较大数额罚款等行政处罚。</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特此声明！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时                 间：           年          月          日</w:t>
      </w:r>
    </w:p>
    <w:p>
      <w:pPr>
        <w:autoSpaceDE w:val="0"/>
        <w:autoSpaceDN w:val="0"/>
        <w:adjustRightInd w:val="0"/>
        <w:jc w:val="center"/>
        <w:rPr>
          <w:rFonts w:asciiTheme="minorEastAsia" w:hAnsiTheme="minorEastAsia" w:eastAsiaTheme="minorEastAsia" w:cstheme="minorEastAsia"/>
          <w:szCs w:val="21"/>
        </w:rPr>
      </w:pPr>
    </w:p>
    <w:p>
      <w:pPr>
        <w:ind w:firstLine="456" w:firstLineChars="200"/>
        <w:rPr>
          <w:rFonts w:asciiTheme="minorEastAsia" w:hAnsiTheme="minorEastAsia" w:eastAsiaTheme="minorEastAsia" w:cstheme="minorEastAsia"/>
          <w:spacing w:val="6"/>
          <w:szCs w:val="21"/>
        </w:rPr>
      </w:pPr>
    </w:p>
    <w:p>
      <w:pPr>
        <w:spacing w:line="360" w:lineRule="auto"/>
        <w:jc w:val="center"/>
        <w:outlineLvl w:val="0"/>
      </w:pPr>
      <w:r>
        <w:rPr>
          <w:rFonts w:hint="eastAsia" w:asciiTheme="minorEastAsia" w:hAnsiTheme="minorEastAsia" w:eastAsiaTheme="minorEastAsia" w:cstheme="minorEastAsia"/>
          <w:spacing w:val="6"/>
          <w:szCs w:val="21"/>
        </w:rPr>
        <w:br w:type="page"/>
      </w:r>
      <w:bookmarkStart w:id="203" w:name="_Toc25577"/>
      <w:bookmarkStart w:id="204" w:name="_Toc18745"/>
      <w:r>
        <w:rPr>
          <w:rFonts w:hint="eastAsia" w:asciiTheme="minorEastAsia" w:hAnsiTheme="minorEastAsia" w:eastAsiaTheme="minorEastAsia" w:cstheme="minorEastAsia"/>
          <w:b/>
          <w:bCs/>
          <w:spacing w:val="6"/>
          <w:szCs w:val="21"/>
          <w:lang w:eastAsia="zh-CN"/>
        </w:rPr>
        <w:t>十四</w:t>
      </w:r>
      <w:r>
        <w:rPr>
          <w:rFonts w:hint="eastAsia" w:asciiTheme="minorEastAsia" w:hAnsiTheme="minorEastAsia" w:eastAsiaTheme="minorEastAsia" w:cstheme="minorEastAsia"/>
          <w:b/>
          <w:bCs/>
          <w:spacing w:val="6"/>
          <w:szCs w:val="21"/>
        </w:rPr>
        <w:t>、参加本次政府采购活动前3年内发生诉讼及仲裁情况表</w:t>
      </w:r>
      <w:bookmarkEnd w:id="203"/>
      <w:bookmarkEnd w:id="204"/>
    </w:p>
    <w:tbl>
      <w:tblPr>
        <w:tblStyle w:val="20"/>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情况简介</w:t>
            </w:r>
          </w:p>
        </w:tc>
        <w:tc>
          <w:tcPr>
            <w:tcW w:w="2029" w:type="dxa"/>
            <w:tcBorders>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诉</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讼</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情</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仲</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情</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c>
          <w:tcPr>
            <w:tcW w:w="2029" w:type="dxa"/>
            <w:tcBorders>
              <w:top w:val="single" w:color="auto" w:sz="8" w:space="0"/>
              <w:lef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 w:val="21"/>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0"/>
        <w:rPr>
          <w:rFonts w:asciiTheme="minorEastAsia" w:hAnsiTheme="minorEastAsia" w:eastAsiaTheme="minorEastAsia" w:cstheme="minorEastAsia"/>
          <w:spacing w:val="6"/>
          <w:szCs w:val="21"/>
        </w:rPr>
      </w:pPr>
      <w:bookmarkStart w:id="205" w:name="_Toc29926"/>
      <w:bookmarkStart w:id="206" w:name="_Toc3419"/>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eastAsia="zh-CN"/>
        </w:rPr>
        <w:t>十五</w:t>
      </w:r>
      <w:r>
        <w:rPr>
          <w:rFonts w:hint="eastAsia" w:asciiTheme="minorEastAsia" w:hAnsiTheme="minorEastAsia" w:eastAsiaTheme="minorEastAsia" w:cstheme="minorEastAsia"/>
          <w:b/>
          <w:bCs/>
          <w:kern w:val="0"/>
          <w:szCs w:val="21"/>
          <w:shd w:val="clear" w:color="auto" w:fill="FFFFFF"/>
        </w:rPr>
        <w:t>、</w:t>
      </w:r>
      <w:r>
        <w:rPr>
          <w:rFonts w:hint="eastAsia" w:asciiTheme="minorEastAsia" w:hAnsiTheme="minorEastAsia" w:eastAsiaTheme="minorEastAsia" w:cstheme="minorEastAsia"/>
          <w:b/>
          <w:bCs/>
          <w:kern w:val="0"/>
          <w:szCs w:val="21"/>
          <w:shd w:val="clear" w:color="auto" w:fill="FFFFFF"/>
          <w:lang w:eastAsia="zh-CN"/>
        </w:rPr>
        <w:t>询价</w:t>
      </w:r>
      <w:r>
        <w:rPr>
          <w:rFonts w:hint="eastAsia" w:asciiTheme="minorEastAsia" w:hAnsiTheme="minorEastAsia" w:eastAsiaTheme="minorEastAsia" w:cstheme="minorEastAsia"/>
          <w:b/>
          <w:bCs/>
          <w:kern w:val="0"/>
          <w:szCs w:val="21"/>
          <w:shd w:val="clear" w:color="auto" w:fill="FFFFFF"/>
        </w:rPr>
        <w:t>供应商认为应该提交的其它文件（格式自拟）</w:t>
      </w:r>
      <w:bookmarkEnd w:id="205"/>
      <w:bookmarkEnd w:id="206"/>
    </w:p>
    <w:p>
      <w:pPr>
        <w:rPr>
          <w:lang w:val="zh-CN"/>
        </w:rPr>
      </w:pPr>
    </w:p>
    <w:sectPr>
      <w:pgSz w:w="11906" w:h="16838"/>
      <w:pgMar w:top="1644" w:right="1587" w:bottom="1644" w:left="1587" w:header="851" w:footer="1134" w:gutter="0"/>
      <w:cols w:space="0" w:num="1"/>
      <w:rtlGutter w:val="0"/>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文本框 2050"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6"/>
    <w:multiLevelType w:val="multilevel"/>
    <w:tmpl w:val="00000006"/>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9"/>
    <w:multiLevelType w:val="multilevel"/>
    <w:tmpl w:val="00000009"/>
    <w:lvl w:ilvl="0" w:tentative="0">
      <w:start w:val="6"/>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0000000F"/>
    <w:multiLevelType w:val="multilevel"/>
    <w:tmpl w:val="0000000F"/>
    <w:lvl w:ilvl="0" w:tentative="0">
      <w:start w:val="10"/>
      <w:numFmt w:val="decimal"/>
      <w:lvlText w:val="%1"/>
      <w:lvlJc w:val="left"/>
      <w:pPr>
        <w:tabs>
          <w:tab w:val="left" w:pos="420"/>
        </w:tabs>
        <w:ind w:left="420" w:hanging="420"/>
      </w:pPr>
      <w:rPr>
        <w:rFonts w:hint="default"/>
      </w:rPr>
    </w:lvl>
    <w:lvl w:ilvl="1" w:tentative="0">
      <w:start w:val="1"/>
      <w:numFmt w:val="decimal"/>
      <w:lvlText w:val="8.%2"/>
      <w:lvlJc w:val="left"/>
      <w:pPr>
        <w:tabs>
          <w:tab w:val="left" w:pos="840"/>
        </w:tabs>
        <w:ind w:left="840" w:hanging="42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6">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7">
    <w:nsid w:val="00000013"/>
    <w:multiLevelType w:val="multilevel"/>
    <w:tmpl w:val="00000013"/>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8">
    <w:nsid w:val="00000016"/>
    <w:multiLevelType w:val="multilevel"/>
    <w:tmpl w:val="00000016"/>
    <w:lvl w:ilvl="0" w:tentative="0">
      <w:start w:val="6"/>
      <w:numFmt w:val="decimal"/>
      <w:lvlText w:val="%1"/>
      <w:lvlJc w:val="left"/>
      <w:pPr>
        <w:tabs>
          <w:tab w:val="left" w:pos="360"/>
        </w:tabs>
        <w:ind w:left="360" w:hanging="360"/>
      </w:pPr>
      <w:rPr>
        <w:rFonts w:hint="default"/>
      </w:rPr>
    </w:lvl>
    <w:lvl w:ilvl="1" w:tentative="0">
      <w:start w:val="1"/>
      <w:numFmt w:val="decimal"/>
      <w:lvlText w:val="7.%2"/>
      <w:lvlJc w:val="left"/>
      <w:pPr>
        <w:tabs>
          <w:tab w:val="left" w:pos="780"/>
        </w:tabs>
        <w:ind w:left="780" w:hanging="36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9">
    <w:nsid w:val="00000017"/>
    <w:multiLevelType w:val="multilevel"/>
    <w:tmpl w:val="00000017"/>
    <w:lvl w:ilvl="0" w:tentative="0">
      <w:start w:val="1"/>
      <w:numFmt w:val="chineseCountingThousand"/>
      <w:lvlText w:val="第%1部分："/>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chineseCountingThousand"/>
      <w:lvlText w:val="(%3)"/>
      <w:lvlJc w:val="left"/>
      <w:pPr>
        <w:tabs>
          <w:tab w:val="left" w:pos="840"/>
        </w:tabs>
        <w:ind w:left="84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C"/>
    <w:multiLevelType w:val="multilevel"/>
    <w:tmpl w:val="0000001C"/>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D"/>
    <w:multiLevelType w:val="multilevel"/>
    <w:tmpl w:val="0000001D"/>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12">
    <w:nsid w:val="0000001E"/>
    <w:multiLevelType w:val="multilevel"/>
    <w:tmpl w:val="0000001E"/>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00000020"/>
    <w:multiLevelType w:val="multilevel"/>
    <w:tmpl w:val="00000020"/>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4">
    <w:nsid w:val="04EA2A61"/>
    <w:multiLevelType w:val="multilevel"/>
    <w:tmpl w:val="04EA2A61"/>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179B3BE8"/>
    <w:multiLevelType w:val="multilevel"/>
    <w:tmpl w:val="179B3BE8"/>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6722A74"/>
    <w:multiLevelType w:val="multilevel"/>
    <w:tmpl w:val="26722A74"/>
    <w:lvl w:ilvl="0" w:tentative="0">
      <w:start w:val="1"/>
      <w:numFmt w:val="japaneseCounting"/>
      <w:lvlText w:val="第%1章"/>
      <w:lvlJc w:val="left"/>
      <w:pPr>
        <w:tabs>
          <w:tab w:val="left" w:pos="1350"/>
        </w:tabs>
        <w:ind w:left="1350" w:hanging="1350"/>
      </w:pPr>
      <w:rPr>
        <w:rFonts w:hint="default"/>
        <w:b/>
      </w:rPr>
    </w:lvl>
    <w:lvl w:ilvl="1" w:tentative="0">
      <w:start w:val="1"/>
      <w:numFmt w:val="chineseCountingThousand"/>
      <w:lvlText w:val="%2、"/>
      <w:lvlJc w:val="left"/>
      <w:pPr>
        <w:tabs>
          <w:tab w:val="left" w:pos="0"/>
        </w:tabs>
        <w:ind w:left="0" w:firstLine="0"/>
      </w:pPr>
      <w:rPr>
        <w:rFonts w:hint="default"/>
        <w:b w:val="0"/>
      </w:rPr>
    </w:lvl>
    <w:lvl w:ilvl="2" w:tentative="0">
      <w:start w:val="1"/>
      <w:numFmt w:val="decimal"/>
      <w:lvlText w:val="%3、"/>
      <w:lvlJc w:val="left"/>
      <w:pPr>
        <w:tabs>
          <w:tab w:val="left" w:pos="840"/>
        </w:tabs>
        <w:ind w:left="840" w:firstLine="0"/>
      </w:pPr>
      <w:rPr>
        <w:rFonts w:hint="default"/>
        <w:b w:val="0"/>
      </w:rPr>
    </w:lvl>
    <w:lvl w:ilvl="3" w:tentative="0">
      <w:start w:val="2"/>
      <w:numFmt w:val="japaneseCounting"/>
      <w:lvlText w:val="%4、"/>
      <w:lvlJc w:val="left"/>
      <w:pPr>
        <w:tabs>
          <w:tab w:val="left" w:pos="420"/>
        </w:tabs>
        <w:ind w:left="420" w:hanging="420"/>
      </w:pPr>
      <w:rPr>
        <w:rFonts w:hint="default"/>
        <w:sz w:val="21"/>
        <w:szCs w:val="21"/>
      </w:rPr>
    </w:lvl>
    <w:lvl w:ilvl="4" w:tentative="0">
      <w:start w:val="1"/>
      <w:numFmt w:val="decimal"/>
      <w:lvlText w:val="%5、"/>
      <w:lvlJc w:val="left"/>
      <w:pPr>
        <w:tabs>
          <w:tab w:val="left" w:pos="2100"/>
        </w:tabs>
        <w:ind w:left="2100" w:hanging="420"/>
      </w:pPr>
      <w:rPr>
        <w:rFonts w:hint="eastAsia"/>
        <w:b w:val="0"/>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54192A0D"/>
    <w:multiLevelType w:val="multilevel"/>
    <w:tmpl w:val="54192A0D"/>
    <w:lvl w:ilvl="0" w:tentative="0">
      <w:start w:val="1"/>
      <w:numFmt w:val="japaneseCounting"/>
      <w:lvlText w:val="第%1章"/>
      <w:lvlJc w:val="left"/>
      <w:pPr>
        <w:tabs>
          <w:tab w:val="left" w:pos="1350"/>
        </w:tabs>
        <w:ind w:left="1350" w:hanging="1350"/>
      </w:pPr>
      <w:rPr>
        <w:rFonts w:hint="default"/>
        <w:b/>
      </w:rPr>
    </w:lvl>
    <w:lvl w:ilvl="1" w:tentative="0">
      <w:start w:val="1"/>
      <w:numFmt w:val="chineseCountingThousand"/>
      <w:lvlText w:val="%2、"/>
      <w:lvlJc w:val="left"/>
      <w:pPr>
        <w:tabs>
          <w:tab w:val="left" w:pos="0"/>
        </w:tabs>
        <w:ind w:left="0" w:firstLine="0"/>
      </w:pPr>
      <w:rPr>
        <w:rFonts w:hint="default"/>
        <w:b w:val="0"/>
      </w:rPr>
    </w:lvl>
    <w:lvl w:ilvl="2" w:tentative="0">
      <w:start w:val="1"/>
      <w:numFmt w:val="decimal"/>
      <w:lvlText w:val="%3、"/>
      <w:lvlJc w:val="left"/>
      <w:pPr>
        <w:tabs>
          <w:tab w:val="left" w:pos="0"/>
        </w:tabs>
        <w:ind w:left="0" w:firstLine="0"/>
      </w:pPr>
      <w:rPr>
        <w:rFonts w:hint="default"/>
        <w:b w:val="0"/>
      </w:rPr>
    </w:lvl>
    <w:lvl w:ilvl="3" w:tentative="0">
      <w:start w:val="2"/>
      <w:numFmt w:val="japaneseCounting"/>
      <w:lvlText w:val="%4、"/>
      <w:lvlJc w:val="left"/>
      <w:pPr>
        <w:tabs>
          <w:tab w:val="left" w:pos="420"/>
        </w:tabs>
        <w:ind w:left="420" w:hanging="420"/>
      </w:pPr>
      <w:rPr>
        <w:rFonts w:hint="default"/>
        <w:sz w:val="21"/>
        <w:szCs w:val="21"/>
      </w:rPr>
    </w:lvl>
    <w:lvl w:ilvl="4" w:tentative="0">
      <w:start w:val="1"/>
      <w:numFmt w:val="decimal"/>
      <w:lvlText w:val="%5、"/>
      <w:lvlJc w:val="left"/>
      <w:pPr>
        <w:tabs>
          <w:tab w:val="left" w:pos="420"/>
        </w:tabs>
        <w:ind w:left="420" w:hanging="420"/>
      </w:pPr>
      <w:rPr>
        <w:rFonts w:hint="eastAsia"/>
        <w:b w:val="0"/>
        <w:color w:val="auto"/>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4BE4A8F"/>
    <w:multiLevelType w:val="multilevel"/>
    <w:tmpl w:val="54BE4A8F"/>
    <w:lvl w:ilvl="0" w:tentative="0">
      <w:start w:val="1"/>
      <w:numFmt w:val="chineseCountingThousand"/>
      <w:lvlText w:val="%1、"/>
      <w:lvlJc w:val="left"/>
      <w:pPr>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4">
    <w:nsid w:val="55516EB3"/>
    <w:multiLevelType w:val="singleLevel"/>
    <w:tmpl w:val="55516EB3"/>
    <w:lvl w:ilvl="0" w:tentative="0">
      <w:start w:val="1"/>
      <w:numFmt w:val="chineseCounting"/>
      <w:suff w:val="nothing"/>
      <w:lvlText w:val="%1、"/>
      <w:lvlJc w:val="left"/>
      <w:pPr>
        <w:ind w:left="0" w:firstLine="420"/>
      </w:pPr>
      <w:rPr>
        <w:rFonts w:hint="eastAsia"/>
      </w:rPr>
    </w:lvl>
  </w:abstractNum>
  <w:abstractNum w:abstractNumId="25">
    <w:nsid w:val="55516EFA"/>
    <w:multiLevelType w:val="singleLevel"/>
    <w:tmpl w:val="55516EFA"/>
    <w:lvl w:ilvl="0" w:tentative="0">
      <w:start w:val="1"/>
      <w:numFmt w:val="chineseCounting"/>
      <w:suff w:val="nothing"/>
      <w:lvlText w:val="（%1）"/>
      <w:lvlJc w:val="left"/>
      <w:pPr>
        <w:ind w:left="0" w:firstLine="420"/>
      </w:pPr>
      <w:rPr>
        <w:rFonts w:hint="eastAsia"/>
      </w:rPr>
    </w:lvl>
  </w:abstractNum>
  <w:abstractNum w:abstractNumId="26">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27">
    <w:nsid w:val="574B2E60"/>
    <w:multiLevelType w:val="multilevel"/>
    <w:tmpl w:val="574B2E60"/>
    <w:lvl w:ilvl="0" w:tentative="0">
      <w:start w:val="6"/>
      <w:numFmt w:val="decimal"/>
      <w:lvlText w:val="%1."/>
      <w:lvlJc w:val="left"/>
      <w:pPr>
        <w:tabs>
          <w:tab w:val="left" w:pos="432"/>
        </w:tabs>
        <w:ind w:left="432" w:hanging="432"/>
      </w:pPr>
      <w:rPr>
        <w:rFonts w:hint="eastAsia" w:ascii="宋体" w:eastAsia="宋体"/>
        <w:color w:val="auto"/>
        <w:sz w:val="32"/>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2"/>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7"/>
  </w:num>
  <w:num w:numId="2">
    <w:abstractNumId w:val="18"/>
  </w:num>
  <w:num w:numId="3">
    <w:abstractNumId w:val="16"/>
  </w:num>
  <w:num w:numId="4">
    <w:abstractNumId w:val="1"/>
  </w:num>
  <w:num w:numId="5">
    <w:abstractNumId w:val="26"/>
  </w:num>
  <w:num w:numId="6">
    <w:abstractNumId w:val="14"/>
  </w:num>
  <w:num w:numId="7">
    <w:abstractNumId w:val="21"/>
  </w:num>
  <w:num w:numId="8">
    <w:abstractNumId w:val="7"/>
  </w:num>
  <w:num w:numId="9">
    <w:abstractNumId w:val="11"/>
  </w:num>
  <w:num w:numId="10">
    <w:abstractNumId w:val="13"/>
  </w:num>
  <w:num w:numId="11">
    <w:abstractNumId w:val="2"/>
  </w:num>
  <w:num w:numId="12">
    <w:abstractNumId w:val="12"/>
  </w:num>
  <w:num w:numId="13">
    <w:abstractNumId w:val="6"/>
  </w:num>
  <w:num w:numId="14">
    <w:abstractNumId w:val="3"/>
  </w:num>
  <w:num w:numId="15">
    <w:abstractNumId w:val="8"/>
  </w:num>
  <w:num w:numId="16">
    <w:abstractNumId w:val="5"/>
  </w:num>
  <w:num w:numId="17">
    <w:abstractNumId w:val="22"/>
  </w:num>
  <w:num w:numId="18">
    <w:abstractNumId w:val="24"/>
  </w:num>
  <w:num w:numId="19">
    <w:abstractNumId w:val="25"/>
  </w:num>
  <w:num w:numId="20">
    <w:abstractNumId w:val="9"/>
  </w:num>
  <w:num w:numId="21">
    <w:abstractNumId w:val="10"/>
  </w:num>
  <w:num w:numId="22">
    <w:abstractNumId w:val="17"/>
  </w:num>
  <w:num w:numId="23">
    <w:abstractNumId w:val="23"/>
  </w:num>
  <w:num w:numId="24">
    <w:abstractNumId w:val="4"/>
  </w:num>
  <w:num w:numId="25">
    <w:abstractNumId w:val="19"/>
  </w:num>
  <w:num w:numId="26">
    <w:abstractNumId w:val="20"/>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DA0C05"/>
    <w:rsid w:val="00053BC0"/>
    <w:rsid w:val="0009253E"/>
    <w:rsid w:val="000C2483"/>
    <w:rsid w:val="000D53AB"/>
    <w:rsid w:val="00142E29"/>
    <w:rsid w:val="001479E9"/>
    <w:rsid w:val="00175C67"/>
    <w:rsid w:val="00217AC5"/>
    <w:rsid w:val="002443B0"/>
    <w:rsid w:val="00266BF3"/>
    <w:rsid w:val="00282281"/>
    <w:rsid w:val="00317217"/>
    <w:rsid w:val="00317542"/>
    <w:rsid w:val="003351A8"/>
    <w:rsid w:val="00345CB7"/>
    <w:rsid w:val="003857A5"/>
    <w:rsid w:val="003E5133"/>
    <w:rsid w:val="00400568"/>
    <w:rsid w:val="00415F7E"/>
    <w:rsid w:val="004237AB"/>
    <w:rsid w:val="0042505A"/>
    <w:rsid w:val="00451C96"/>
    <w:rsid w:val="00466DCE"/>
    <w:rsid w:val="00491972"/>
    <w:rsid w:val="00494918"/>
    <w:rsid w:val="004B46BC"/>
    <w:rsid w:val="004C09B2"/>
    <w:rsid w:val="004F6A74"/>
    <w:rsid w:val="00566562"/>
    <w:rsid w:val="0057358F"/>
    <w:rsid w:val="005A02A0"/>
    <w:rsid w:val="005A208C"/>
    <w:rsid w:val="005C3983"/>
    <w:rsid w:val="005D2ADD"/>
    <w:rsid w:val="005D77E3"/>
    <w:rsid w:val="005F00F8"/>
    <w:rsid w:val="005F0923"/>
    <w:rsid w:val="006623B8"/>
    <w:rsid w:val="00666E70"/>
    <w:rsid w:val="00685CF2"/>
    <w:rsid w:val="006B4787"/>
    <w:rsid w:val="006C42C8"/>
    <w:rsid w:val="006E023F"/>
    <w:rsid w:val="006E29C6"/>
    <w:rsid w:val="006E41A5"/>
    <w:rsid w:val="006F735F"/>
    <w:rsid w:val="007339DD"/>
    <w:rsid w:val="00777BD9"/>
    <w:rsid w:val="007937E6"/>
    <w:rsid w:val="00794CA9"/>
    <w:rsid w:val="00795FCB"/>
    <w:rsid w:val="007E1E0A"/>
    <w:rsid w:val="007E2317"/>
    <w:rsid w:val="007E7333"/>
    <w:rsid w:val="007F08EF"/>
    <w:rsid w:val="007F6991"/>
    <w:rsid w:val="00800526"/>
    <w:rsid w:val="0081318E"/>
    <w:rsid w:val="00815B2C"/>
    <w:rsid w:val="0082117D"/>
    <w:rsid w:val="0087729D"/>
    <w:rsid w:val="008803FD"/>
    <w:rsid w:val="00882212"/>
    <w:rsid w:val="00890BB6"/>
    <w:rsid w:val="008F2483"/>
    <w:rsid w:val="00910623"/>
    <w:rsid w:val="00953666"/>
    <w:rsid w:val="00962686"/>
    <w:rsid w:val="009706B5"/>
    <w:rsid w:val="00981E31"/>
    <w:rsid w:val="00994739"/>
    <w:rsid w:val="009D13CE"/>
    <w:rsid w:val="009D617C"/>
    <w:rsid w:val="009F2921"/>
    <w:rsid w:val="009F7511"/>
    <w:rsid w:val="00A44076"/>
    <w:rsid w:val="00A617F4"/>
    <w:rsid w:val="00A648D8"/>
    <w:rsid w:val="00AC35CC"/>
    <w:rsid w:val="00AD7B2B"/>
    <w:rsid w:val="00AF30D2"/>
    <w:rsid w:val="00B03DE9"/>
    <w:rsid w:val="00B15739"/>
    <w:rsid w:val="00B25D57"/>
    <w:rsid w:val="00B46112"/>
    <w:rsid w:val="00B50AF2"/>
    <w:rsid w:val="00C05C93"/>
    <w:rsid w:val="00C47AC4"/>
    <w:rsid w:val="00C533E1"/>
    <w:rsid w:val="00C832E4"/>
    <w:rsid w:val="00C852AD"/>
    <w:rsid w:val="00CB2334"/>
    <w:rsid w:val="00CB3B39"/>
    <w:rsid w:val="00CB5174"/>
    <w:rsid w:val="00D34D43"/>
    <w:rsid w:val="00D91C09"/>
    <w:rsid w:val="00DA16C6"/>
    <w:rsid w:val="00DB3A40"/>
    <w:rsid w:val="00DF53D7"/>
    <w:rsid w:val="00E00DCC"/>
    <w:rsid w:val="00E2714D"/>
    <w:rsid w:val="00EE7922"/>
    <w:rsid w:val="00F131F6"/>
    <w:rsid w:val="00F15CA3"/>
    <w:rsid w:val="00F228CE"/>
    <w:rsid w:val="00F84A2A"/>
    <w:rsid w:val="00F8796E"/>
    <w:rsid w:val="00F948D1"/>
    <w:rsid w:val="00FC3175"/>
    <w:rsid w:val="00FC71FB"/>
    <w:rsid w:val="00FE2DAB"/>
    <w:rsid w:val="01052CAF"/>
    <w:rsid w:val="015C11F4"/>
    <w:rsid w:val="019D6B70"/>
    <w:rsid w:val="01DB538E"/>
    <w:rsid w:val="02A50C47"/>
    <w:rsid w:val="039862A1"/>
    <w:rsid w:val="03AE7E96"/>
    <w:rsid w:val="03B517EC"/>
    <w:rsid w:val="03C16C5B"/>
    <w:rsid w:val="04501A7F"/>
    <w:rsid w:val="06EB7A9F"/>
    <w:rsid w:val="08ED3983"/>
    <w:rsid w:val="091552B8"/>
    <w:rsid w:val="09EA58FF"/>
    <w:rsid w:val="0A010684"/>
    <w:rsid w:val="0A290A06"/>
    <w:rsid w:val="0A82199E"/>
    <w:rsid w:val="0AFB1436"/>
    <w:rsid w:val="0B83528E"/>
    <w:rsid w:val="0BAA4EF1"/>
    <w:rsid w:val="0C260B39"/>
    <w:rsid w:val="0C8371A7"/>
    <w:rsid w:val="0CC8063A"/>
    <w:rsid w:val="0D303D23"/>
    <w:rsid w:val="0EB01408"/>
    <w:rsid w:val="0F036C00"/>
    <w:rsid w:val="10121493"/>
    <w:rsid w:val="10462554"/>
    <w:rsid w:val="11C473B7"/>
    <w:rsid w:val="147C2697"/>
    <w:rsid w:val="14DB622B"/>
    <w:rsid w:val="14E65F74"/>
    <w:rsid w:val="15534038"/>
    <w:rsid w:val="16316E5C"/>
    <w:rsid w:val="190E7CC7"/>
    <w:rsid w:val="19256678"/>
    <w:rsid w:val="196C28BE"/>
    <w:rsid w:val="1A314DAC"/>
    <w:rsid w:val="1C677D72"/>
    <w:rsid w:val="1C7E3BD1"/>
    <w:rsid w:val="1D3C7136"/>
    <w:rsid w:val="1DD1463B"/>
    <w:rsid w:val="1DEB3744"/>
    <w:rsid w:val="1F5B3F47"/>
    <w:rsid w:val="1F664F1E"/>
    <w:rsid w:val="1F743A57"/>
    <w:rsid w:val="1FDF40B0"/>
    <w:rsid w:val="1FEA05A2"/>
    <w:rsid w:val="210B0F6E"/>
    <w:rsid w:val="21C902A9"/>
    <w:rsid w:val="22031E9F"/>
    <w:rsid w:val="22345AFD"/>
    <w:rsid w:val="246F2F82"/>
    <w:rsid w:val="24E15433"/>
    <w:rsid w:val="251B7A61"/>
    <w:rsid w:val="26F0566C"/>
    <w:rsid w:val="292374D5"/>
    <w:rsid w:val="2A633669"/>
    <w:rsid w:val="2A9E7BB8"/>
    <w:rsid w:val="2AA02614"/>
    <w:rsid w:val="2ABA045B"/>
    <w:rsid w:val="2B7B36D3"/>
    <w:rsid w:val="2C4E42AB"/>
    <w:rsid w:val="2C8C3DF7"/>
    <w:rsid w:val="2D593FAB"/>
    <w:rsid w:val="2D8934B0"/>
    <w:rsid w:val="2EB9170D"/>
    <w:rsid w:val="2F825029"/>
    <w:rsid w:val="2FDB6AD2"/>
    <w:rsid w:val="2FE4452B"/>
    <w:rsid w:val="30FD5F07"/>
    <w:rsid w:val="310C5183"/>
    <w:rsid w:val="31FC61BD"/>
    <w:rsid w:val="3266202A"/>
    <w:rsid w:val="32A403A4"/>
    <w:rsid w:val="32AC0F05"/>
    <w:rsid w:val="32B760DF"/>
    <w:rsid w:val="3382632C"/>
    <w:rsid w:val="33A221C3"/>
    <w:rsid w:val="33D32A8C"/>
    <w:rsid w:val="34206F31"/>
    <w:rsid w:val="342D6D63"/>
    <w:rsid w:val="34FD7B22"/>
    <w:rsid w:val="352519B6"/>
    <w:rsid w:val="353B760A"/>
    <w:rsid w:val="35E6635A"/>
    <w:rsid w:val="36CD0015"/>
    <w:rsid w:val="374E7468"/>
    <w:rsid w:val="37EB6738"/>
    <w:rsid w:val="385F707F"/>
    <w:rsid w:val="38765579"/>
    <w:rsid w:val="38796140"/>
    <w:rsid w:val="387A6E08"/>
    <w:rsid w:val="3916520E"/>
    <w:rsid w:val="39267B34"/>
    <w:rsid w:val="392E4E67"/>
    <w:rsid w:val="39587033"/>
    <w:rsid w:val="398D4817"/>
    <w:rsid w:val="398E0C47"/>
    <w:rsid w:val="39BF2605"/>
    <w:rsid w:val="39C227D7"/>
    <w:rsid w:val="3ACC23C2"/>
    <w:rsid w:val="3AFC78D3"/>
    <w:rsid w:val="3C97237D"/>
    <w:rsid w:val="3D4411E9"/>
    <w:rsid w:val="3F890B95"/>
    <w:rsid w:val="3FCF4ED6"/>
    <w:rsid w:val="3FD1633D"/>
    <w:rsid w:val="40216C9C"/>
    <w:rsid w:val="411E41CE"/>
    <w:rsid w:val="415E34EC"/>
    <w:rsid w:val="416471A0"/>
    <w:rsid w:val="419558E4"/>
    <w:rsid w:val="42B71477"/>
    <w:rsid w:val="431764EF"/>
    <w:rsid w:val="438177D6"/>
    <w:rsid w:val="44B23D6B"/>
    <w:rsid w:val="45A072AD"/>
    <w:rsid w:val="46E409E8"/>
    <w:rsid w:val="47343E0B"/>
    <w:rsid w:val="475A7ED1"/>
    <w:rsid w:val="47D45CD7"/>
    <w:rsid w:val="480D1150"/>
    <w:rsid w:val="481630F1"/>
    <w:rsid w:val="48976D4F"/>
    <w:rsid w:val="48990D85"/>
    <w:rsid w:val="49DF732E"/>
    <w:rsid w:val="4AE04AA8"/>
    <w:rsid w:val="4BE22F68"/>
    <w:rsid w:val="4BEA50AB"/>
    <w:rsid w:val="4CF04CF2"/>
    <w:rsid w:val="4D3436FB"/>
    <w:rsid w:val="4DD8496E"/>
    <w:rsid w:val="4E4005FE"/>
    <w:rsid w:val="4E6F0B47"/>
    <w:rsid w:val="4EC853AE"/>
    <w:rsid w:val="50DA19CA"/>
    <w:rsid w:val="512161D5"/>
    <w:rsid w:val="51952061"/>
    <w:rsid w:val="51A76009"/>
    <w:rsid w:val="52DA0C05"/>
    <w:rsid w:val="52FF391F"/>
    <w:rsid w:val="53020158"/>
    <w:rsid w:val="556B082B"/>
    <w:rsid w:val="563602BC"/>
    <w:rsid w:val="5692573B"/>
    <w:rsid w:val="56983F57"/>
    <w:rsid w:val="571D1652"/>
    <w:rsid w:val="57F833FC"/>
    <w:rsid w:val="58E42434"/>
    <w:rsid w:val="58F97280"/>
    <w:rsid w:val="595313B0"/>
    <w:rsid w:val="59C36FC1"/>
    <w:rsid w:val="59F45249"/>
    <w:rsid w:val="5A1A09ED"/>
    <w:rsid w:val="5A453801"/>
    <w:rsid w:val="5CF439CF"/>
    <w:rsid w:val="5E3A19B1"/>
    <w:rsid w:val="5E674300"/>
    <w:rsid w:val="5E8F7AFA"/>
    <w:rsid w:val="5F764C2E"/>
    <w:rsid w:val="61506D8D"/>
    <w:rsid w:val="619554C3"/>
    <w:rsid w:val="62525987"/>
    <w:rsid w:val="625813DB"/>
    <w:rsid w:val="627765C3"/>
    <w:rsid w:val="647E4758"/>
    <w:rsid w:val="660A01D3"/>
    <w:rsid w:val="67702F4B"/>
    <w:rsid w:val="67DD45D5"/>
    <w:rsid w:val="68CE5360"/>
    <w:rsid w:val="69205415"/>
    <w:rsid w:val="6B4B6D5B"/>
    <w:rsid w:val="6BD02098"/>
    <w:rsid w:val="6C655FB7"/>
    <w:rsid w:val="6D1F1EB2"/>
    <w:rsid w:val="6D4A37A4"/>
    <w:rsid w:val="6D9C4935"/>
    <w:rsid w:val="6DBC3D96"/>
    <w:rsid w:val="6F6C55D9"/>
    <w:rsid w:val="6F7E6141"/>
    <w:rsid w:val="6FAE5C99"/>
    <w:rsid w:val="72971176"/>
    <w:rsid w:val="737B1DF4"/>
    <w:rsid w:val="737B372B"/>
    <w:rsid w:val="7486238B"/>
    <w:rsid w:val="748F065C"/>
    <w:rsid w:val="765F0467"/>
    <w:rsid w:val="76934EA8"/>
    <w:rsid w:val="76D40BC6"/>
    <w:rsid w:val="76DB63FE"/>
    <w:rsid w:val="775E0FBA"/>
    <w:rsid w:val="77753A0E"/>
    <w:rsid w:val="784F1484"/>
    <w:rsid w:val="79C43A37"/>
    <w:rsid w:val="79FB1CEE"/>
    <w:rsid w:val="7B8A52DA"/>
    <w:rsid w:val="7BE659DE"/>
    <w:rsid w:val="7C983BC6"/>
    <w:rsid w:val="7DA131C4"/>
    <w:rsid w:val="7DD33656"/>
    <w:rsid w:val="7E8B6444"/>
    <w:rsid w:val="7ED039D3"/>
    <w:rsid w:val="7F3F123D"/>
    <w:rsid w:val="7FC54E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numPr>
        <w:ilvl w:val="1"/>
        <w:numId w:val="1"/>
      </w:numPr>
      <w:spacing w:line="440" w:lineRule="exact"/>
      <w:outlineLvl w:val="1"/>
    </w:pPr>
    <w:rPr>
      <w:rFonts w:ascii="Arial" w:hAnsi="Arial"/>
      <w:b/>
      <w:sz w:val="30"/>
    </w:rPr>
  </w:style>
  <w:style w:type="paragraph" w:styleId="2">
    <w:name w:val="heading 4"/>
    <w:basedOn w:val="1"/>
    <w:next w:val="1"/>
    <w:qFormat/>
    <w:uiPriority w:val="0"/>
    <w:pPr>
      <w:keepNext/>
      <w:keepLines/>
      <w:numPr>
        <w:ilvl w:val="3"/>
        <w:numId w:val="1"/>
      </w:numPr>
      <w:spacing w:before="280" w:after="290" w:line="376" w:lineRule="auto"/>
      <w:outlineLvl w:val="3"/>
    </w:pPr>
    <w:rPr>
      <w:rFonts w:ascii="Arial" w:hAnsi="Arial"/>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4"/>
    <w:semiHidden/>
    <w:unhideWhenUsed/>
    <w:qFormat/>
    <w:uiPriority w:val="0"/>
    <w:rPr>
      <w:rFonts w:ascii="宋体"/>
      <w:sz w:val="18"/>
      <w:szCs w:val="18"/>
    </w:rPr>
  </w:style>
  <w:style w:type="paragraph" w:styleId="5">
    <w:name w:val="annotation text"/>
    <w:basedOn w:val="1"/>
    <w:link w:val="27"/>
    <w:qFormat/>
    <w:uiPriority w:val="0"/>
    <w:pPr>
      <w:jc w:val="left"/>
    </w:pPr>
  </w:style>
  <w:style w:type="paragraph" w:styleId="6">
    <w:name w:val="Body Text"/>
    <w:basedOn w:val="1"/>
    <w:qFormat/>
    <w:uiPriority w:val="0"/>
    <w:pPr>
      <w:spacing w:after="120"/>
    </w:pPr>
  </w:style>
  <w:style w:type="paragraph" w:styleId="7">
    <w:name w:val="Body Text Indent"/>
    <w:basedOn w:val="1"/>
    <w:link w:val="29"/>
    <w:qFormat/>
    <w:uiPriority w:val="0"/>
    <w:pPr>
      <w:spacing w:after="120"/>
      <w:ind w:left="420" w:leftChars="200"/>
    </w:pPr>
  </w:style>
  <w:style w:type="paragraph" w:styleId="8">
    <w:name w:val="Plain Text"/>
    <w:basedOn w:val="1"/>
    <w:qFormat/>
    <w:uiPriority w:val="0"/>
    <w:rPr>
      <w:rFonts w:ascii="宋体" w:hAnsi="Courier New" w:eastAsia="楷体_GB2312"/>
      <w:snapToGrid w:val="0"/>
      <w:color w:val="000000"/>
      <w:kern w:val="0"/>
      <w:sz w:val="32"/>
      <w:szCs w:val="21"/>
    </w:rPr>
  </w:style>
  <w:style w:type="paragraph" w:styleId="9">
    <w:name w:val="Date"/>
    <w:basedOn w:val="1"/>
    <w:next w:val="1"/>
    <w:qFormat/>
    <w:uiPriority w:val="0"/>
    <w:rPr>
      <w:rFonts w:ascii="楷体_GB2312" w:eastAsia="楷体_GB2312"/>
      <w:color w:val="000000"/>
      <w:kern w:val="0"/>
      <w:sz w:val="32"/>
      <w:szCs w:val="32"/>
    </w:rPr>
  </w:style>
  <w:style w:type="paragraph" w:styleId="10">
    <w:name w:val="Body Text Indent 2"/>
    <w:basedOn w:val="1"/>
    <w:qFormat/>
    <w:uiPriority w:val="0"/>
    <w:pPr>
      <w:ind w:firstLine="600" w:firstLineChars="200"/>
    </w:pPr>
    <w:rPr>
      <w:sz w:val="30"/>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0"/>
    <w:pPr>
      <w:ind w:left="1260" w:leftChars="600"/>
    </w:pPr>
  </w:style>
  <w:style w:type="paragraph" w:styleId="16">
    <w:name w:val="Body Text Indent 3"/>
    <w:basedOn w:val="1"/>
    <w:qFormat/>
    <w:uiPriority w:val="0"/>
    <w:pPr>
      <w:ind w:left="359" w:leftChars="171" w:firstLine="554" w:firstLineChars="198"/>
    </w:pPr>
    <w:rPr>
      <w:sz w:val="28"/>
    </w:rPr>
  </w:style>
  <w:style w:type="paragraph" w:styleId="17">
    <w:name w:val="toc 2"/>
    <w:basedOn w:val="1"/>
    <w:next w:val="1"/>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9">
    <w:name w:val="annotation subject"/>
    <w:basedOn w:val="5"/>
    <w:next w:val="5"/>
    <w:link w:val="28"/>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unhideWhenUsed/>
    <w:qFormat/>
    <w:uiPriority w:val="99"/>
    <w:rPr>
      <w:color w:val="0563C1" w:themeColor="hyperlink"/>
      <w:u w:val="single"/>
    </w:rPr>
  </w:style>
  <w:style w:type="character" w:styleId="25">
    <w:name w:val="annotation reference"/>
    <w:basedOn w:val="22"/>
    <w:qFormat/>
    <w:uiPriority w:val="0"/>
    <w:rPr>
      <w:sz w:val="21"/>
      <w:szCs w:val="21"/>
    </w:rPr>
  </w:style>
  <w:style w:type="character" w:customStyle="1" w:styleId="26">
    <w:name w:val="批注框文本 Char"/>
    <w:basedOn w:val="22"/>
    <w:link w:val="11"/>
    <w:qFormat/>
    <w:uiPriority w:val="0"/>
    <w:rPr>
      <w:rFonts w:ascii="Times New Roman" w:hAnsi="Times New Roman"/>
      <w:kern w:val="2"/>
      <w:sz w:val="18"/>
      <w:szCs w:val="18"/>
    </w:rPr>
  </w:style>
  <w:style w:type="character" w:customStyle="1" w:styleId="27">
    <w:name w:val="批注文字 Char"/>
    <w:basedOn w:val="22"/>
    <w:link w:val="5"/>
    <w:qFormat/>
    <w:uiPriority w:val="0"/>
    <w:rPr>
      <w:rFonts w:ascii="Times New Roman" w:hAnsi="Times New Roman"/>
      <w:kern w:val="2"/>
      <w:sz w:val="21"/>
    </w:rPr>
  </w:style>
  <w:style w:type="character" w:customStyle="1" w:styleId="28">
    <w:name w:val="批注主题 Char"/>
    <w:basedOn w:val="27"/>
    <w:link w:val="19"/>
    <w:qFormat/>
    <w:uiPriority w:val="0"/>
    <w:rPr>
      <w:rFonts w:ascii="Times New Roman" w:hAnsi="Times New Roman"/>
      <w:b/>
      <w:bCs/>
      <w:kern w:val="2"/>
      <w:sz w:val="21"/>
    </w:rPr>
  </w:style>
  <w:style w:type="character" w:customStyle="1" w:styleId="29">
    <w:name w:val="正文文本缩进 Char"/>
    <w:basedOn w:val="22"/>
    <w:link w:val="7"/>
    <w:qFormat/>
    <w:uiPriority w:val="0"/>
    <w:rPr>
      <w:rFonts w:ascii="Times New Roman" w:hAnsi="Times New Roman"/>
      <w:kern w:val="2"/>
      <w:sz w:val="21"/>
    </w:rPr>
  </w:style>
  <w:style w:type="paragraph" w:customStyle="1" w:styleId="30">
    <w:name w:val="正文格式"/>
    <w:basedOn w:val="1"/>
    <w:qFormat/>
    <w:uiPriority w:val="0"/>
    <w:pPr>
      <w:ind w:firstLine="600" w:firstLineChars="200"/>
    </w:pPr>
    <w:rPr>
      <w:rFonts w:eastAsia="仿宋_GB2312"/>
      <w:sz w:val="30"/>
      <w:szCs w:val="30"/>
    </w:rPr>
  </w:style>
  <w:style w:type="character" w:customStyle="1" w:styleId="31">
    <w:name w:val="font81"/>
    <w:basedOn w:val="22"/>
    <w:qFormat/>
    <w:uiPriority w:val="0"/>
    <w:rPr>
      <w:rFonts w:ascii="Calibri" w:hAnsi="Calibri" w:cs="Calibri"/>
      <w:color w:val="000000"/>
      <w:sz w:val="20"/>
      <w:szCs w:val="20"/>
      <w:u w:val="none"/>
    </w:rPr>
  </w:style>
  <w:style w:type="character" w:customStyle="1" w:styleId="32">
    <w:name w:val="font121"/>
    <w:basedOn w:val="22"/>
    <w:qFormat/>
    <w:uiPriority w:val="0"/>
    <w:rPr>
      <w:rFonts w:hint="eastAsia" w:ascii="宋体" w:hAnsi="宋体" w:eastAsia="宋体" w:cs="宋体"/>
      <w:color w:val="000000"/>
      <w:sz w:val="20"/>
      <w:szCs w:val="20"/>
      <w:u w:val="none"/>
    </w:rPr>
  </w:style>
  <w:style w:type="character" w:customStyle="1" w:styleId="33">
    <w:name w:val="font101"/>
    <w:basedOn w:val="22"/>
    <w:qFormat/>
    <w:uiPriority w:val="0"/>
    <w:rPr>
      <w:rFonts w:ascii="Arial" w:hAnsi="Arial" w:cs="Arial"/>
      <w:color w:val="000000"/>
      <w:sz w:val="20"/>
      <w:szCs w:val="20"/>
      <w:u w:val="none"/>
    </w:rPr>
  </w:style>
  <w:style w:type="character" w:customStyle="1" w:styleId="34">
    <w:name w:val="文档结构图 Char"/>
    <w:basedOn w:val="22"/>
    <w:link w:val="4"/>
    <w:semiHidden/>
    <w:qFormat/>
    <w:uiPriority w:val="0"/>
    <w:rPr>
      <w:rFonts w:ascii="宋体"/>
      <w:kern w:val="2"/>
      <w:sz w:val="18"/>
      <w:szCs w:val="18"/>
    </w:rPr>
  </w:style>
  <w:style w:type="paragraph" w:customStyle="1" w:styleId="35">
    <w:name w:val="Table Paragraph"/>
    <w:basedOn w:val="1"/>
    <w:unhideWhenUsed/>
    <w:qFormat/>
    <w:uiPriority w:val="1"/>
    <w:rPr>
      <w:rFonts w:hint="eastAsia"/>
      <w:sz w:val="24"/>
    </w:rPr>
  </w:style>
  <w:style w:type="paragraph" w:customStyle="1" w:styleId="3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1C377-900F-4436-81D5-8614D82D1B4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3375</Words>
  <Characters>19244</Characters>
  <Lines>160</Lines>
  <Paragraphs>45</Paragraphs>
  <TotalTime>10</TotalTime>
  <ScaleCrop>false</ScaleCrop>
  <LinksUpToDate>false</LinksUpToDate>
  <CharactersWithSpaces>22574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2019-10-28T03:10:00Z</dcterms:created>
  <dc:creator>Administrator</dc:creator>
  <cp:lastModifiedBy>盼盼</cp:lastModifiedBy>
  <dcterms:modified xsi:type="dcterms:W3CDTF">2020-07-01T02:08:17Z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