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top"/>
          </w:tcPr>
          <w:p>
            <w:pPr>
              <w:pStyle w:val="95"/>
              <w:kinsoku w:val="0"/>
              <w:overflowPunct w:val="0"/>
              <w:spacing w:before="122"/>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ZJZB-ZC-202006-167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3"/>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top"/>
          </w:tcPr>
          <w:p>
            <w:pPr>
              <w:pStyle w:val="95"/>
              <w:kinsoku w:val="0"/>
              <w:overflowPunct w:val="0"/>
              <w:spacing w:before="123" w:line="242" w:lineRule="auto"/>
              <w:ind w:left="55" w:right="136"/>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华中农业大学图形工作站采购项目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6</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_Toc24185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_Toc24185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_Toc5947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_Toc5947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_Toc14744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_Toc13830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_Toc13830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_Toc31195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_Toc6123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_Toc6123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_Toc577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七、 信息发布媒体</w:t>
      </w:r>
      <w:r>
        <w:rPr>
          <w:rFonts w:hint="eastAsia" w:asciiTheme="minorEastAsia" w:hAnsiTheme="minorEastAsia" w:eastAsiaTheme="minorEastAsia" w:cstheme="minorEastAsia"/>
          <w:szCs w:val="21"/>
          <w:lang w:val="en-US" w:eastAsia="zh-CN"/>
        </w:rPr>
        <w:t>及时间</w:t>
      </w:r>
      <w:r>
        <w:tab/>
      </w:r>
      <w:r>
        <w:fldChar w:fldCharType="begin"/>
      </w:r>
      <w:r>
        <w:instrText xml:space="preserve"> PAGEREF _Toc12832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_Toc24714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_Toc15142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_Toc23028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_Toc4374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_Toc4795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_Toc13216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_Toc20138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_Toc30413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_Toc31566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_Toc31566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_Toc31999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_Toc30845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_Toc14791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_Toc14791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_Toc31307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_Toc3204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_Toc30649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_Toc14572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_Toc29580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_Toc29580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_Toc29934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_Toc6453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_Toc6453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_Toc16011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_Toc13751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_Toc411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_Toc5348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_Toc5276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_Toc5276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_Toc19824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_Toc3313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_Toc3313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_Toc6823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_Toc11848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_Toc6348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_Toc5628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_Toc8549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_Toc2731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_Toc12040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_Toc12040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_Toc22872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_Toc22872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_Toc11358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_Toc11358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_Toc13528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_Toc13528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_Toc28795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_Toc29010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_Toc31420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_Toc1309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_Toc21193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_Toc16714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_Toc16714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_Toc21867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_Toc1929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_Toc15706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_Toc12380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_Toc28459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_Toc11180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_Toc11180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_Toc2570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_Toc30527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_Toc30527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_Toc2788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_Toc8606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_Toc8606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_Toc32290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_Toc1388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_Toc23609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_Toc2115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_Toc20360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_Toc16771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_Toc22111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_Toc20684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_Toc2610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_Toc10475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_Toc10475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_Toc23856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_Toc31617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w:t>
      </w:r>
      <w:r>
        <w:tab/>
      </w:r>
      <w:r>
        <w:fldChar w:fldCharType="begin"/>
      </w:r>
      <w:r>
        <w:instrText xml:space="preserve"> PAGEREF _Toc27104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w:t>
      </w:r>
      <w:r>
        <w:tab/>
      </w:r>
      <w:r>
        <w:fldChar w:fldCharType="begin"/>
      </w:r>
      <w:r>
        <w:instrText xml:space="preserve"> PAGEREF _Toc4793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_Toc3195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_Toc4542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_Toc4542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_Toc31755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_Toc6612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_Toc2463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_Toc316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_Toc7704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_Toc7704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_Toc29270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_Toc4952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_Toc15506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_Toc15506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_Toc11218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_Toc11829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_Toc17368 </w:instrText>
      </w:r>
      <w:r>
        <w:fldChar w:fldCharType="separate"/>
      </w:r>
      <w:r>
        <w:t>65</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24185"/>
      <w:r>
        <w:rPr>
          <w:rFonts w:hint="eastAsia" w:asciiTheme="minorEastAsia" w:hAnsiTheme="minorEastAsia" w:eastAsiaTheme="minorEastAsia" w:cstheme="minorEastAsia"/>
          <w:sz w:val="36"/>
          <w:szCs w:val="36"/>
        </w:rPr>
        <w:t>竞争性磋商采购公告</w:t>
      </w:r>
      <w:bookmarkEnd w:id="0"/>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中经国际招标集团有限公司（以下简称“采购代理</w:t>
      </w:r>
      <w:r>
        <w:rPr>
          <w:rFonts w:hint="eastAsia" w:asciiTheme="minorEastAsia" w:hAnsiTheme="minorEastAsia" w:eastAsiaTheme="minorEastAsia" w:cstheme="minorEastAsia"/>
          <w:color w:val="auto"/>
          <w:szCs w:val="21"/>
          <w:lang w:val="en-US" w:eastAsia="zh-CN"/>
        </w:rPr>
        <w:t>机构”）</w:t>
      </w:r>
      <w:r>
        <w:rPr>
          <w:rFonts w:hint="eastAsia" w:asciiTheme="minorEastAsia" w:hAnsiTheme="minorEastAsia" w:eastAsiaTheme="minorEastAsia" w:cstheme="minorEastAsia"/>
          <w:color w:val="auto"/>
          <w:szCs w:val="21"/>
        </w:rPr>
        <w:t>受</w:t>
      </w:r>
      <w:r>
        <w:rPr>
          <w:rFonts w:hint="eastAsia" w:asciiTheme="minorEastAsia" w:hAnsiTheme="minorEastAsia" w:eastAsiaTheme="minorEastAsia" w:cstheme="minorEastAsia"/>
          <w:color w:val="auto"/>
          <w:szCs w:val="21"/>
          <w:u w:val="single"/>
          <w:lang w:val="en-US" w:eastAsia="zh-CN"/>
        </w:rPr>
        <w:t>华中农业大学</w:t>
      </w:r>
      <w:r>
        <w:rPr>
          <w:rFonts w:hint="eastAsia" w:asciiTheme="minorEastAsia" w:hAnsiTheme="minorEastAsia" w:eastAsiaTheme="minorEastAsia" w:cstheme="minorEastAsia"/>
          <w:color w:val="auto"/>
          <w:szCs w:val="21"/>
          <w:u w:val="none"/>
          <w:lang w:val="en-US" w:eastAsia="zh-CN"/>
        </w:rPr>
        <w:t>（以下简称“采购人”）</w:t>
      </w:r>
      <w:r>
        <w:rPr>
          <w:rFonts w:hint="eastAsia" w:asciiTheme="minorEastAsia" w:hAnsiTheme="minorEastAsia" w:eastAsiaTheme="minorEastAsia" w:cstheme="minorEastAsia"/>
          <w:color w:val="auto"/>
          <w:szCs w:val="21"/>
        </w:rPr>
        <w:t>的</w:t>
      </w:r>
      <w:r>
        <w:rPr>
          <w:rFonts w:hint="eastAsia" w:asciiTheme="minorEastAsia" w:hAnsiTheme="minorEastAsia" w:eastAsiaTheme="minorEastAsia" w:cstheme="minorEastAsia"/>
          <w:color w:val="000000"/>
          <w:szCs w:val="21"/>
        </w:rPr>
        <w:t>委托，对</w:t>
      </w:r>
      <w:r>
        <w:rPr>
          <w:rFonts w:hint="eastAsia" w:asciiTheme="minorEastAsia" w:hAnsiTheme="minorEastAsia" w:eastAsiaTheme="minorEastAsia" w:cstheme="minorEastAsia"/>
          <w:color w:val="000000"/>
          <w:szCs w:val="21"/>
          <w:u w:val="single"/>
        </w:rPr>
        <w:t>华中农业大学图形工作站采购项目</w:t>
      </w:r>
      <w:r>
        <w:rPr>
          <w:rFonts w:hint="eastAsia" w:asciiTheme="minorEastAsia" w:hAnsiTheme="minorEastAsia" w:eastAsiaTheme="minorEastAsia" w:cstheme="minorEastAsia"/>
          <w:color w:val="000000"/>
          <w:szCs w:val="21"/>
        </w:rPr>
        <w:t>进行竞争性磋商采购。欢迎符合资质条件并对此感兴趣的响应供应商参与磋商。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000000"/>
          <w:sz w:val="21"/>
          <w:szCs w:val="21"/>
        </w:rPr>
      </w:pPr>
      <w:bookmarkStart w:id="1" w:name="_Toc23202"/>
      <w:bookmarkStart w:id="2" w:name="_Toc5947"/>
      <w:bookmarkStart w:id="3" w:name="_Toc10673365"/>
      <w:r>
        <w:rPr>
          <w:rFonts w:hint="eastAsia" w:asciiTheme="minorEastAsia" w:hAnsiTheme="minorEastAsia" w:eastAsiaTheme="minorEastAsia" w:cstheme="minorEastAsia"/>
          <w:color w:val="000000"/>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、项目名称：华中农业大学图形工作站采购项目</w:t>
      </w:r>
      <w:r>
        <w:rPr>
          <w:rFonts w:hint="eastAsia" w:asciiTheme="minorEastAsia" w:hAnsiTheme="minorEastAsia" w:eastAsiaTheme="minorEastAsia" w:cstheme="minorEastAsia"/>
          <w:color w:val="FF0000"/>
          <w:szCs w:val="21"/>
          <w:lang w:val="en-US" w:eastAsia="zh-CN"/>
        </w:rPr>
        <w:t xml:space="preserve"> </w:t>
      </w:r>
      <w:r>
        <w:rPr>
          <w:rFonts w:hint="eastAsia" w:asciiTheme="minorEastAsia" w:hAnsiTheme="minorEastAsia" w:eastAsiaTheme="minorEastAsia" w:cstheme="minorEastAsia"/>
          <w:color w:val="FF0000"/>
          <w:szCs w:val="21"/>
          <w:lang w:val="en-US" w:eastAsia="zh-CN"/>
        </w:rPr>
        <w:br w:type="textWrapping"/>
      </w:r>
      <w:r>
        <w:rPr>
          <w:rFonts w:hint="eastAsia" w:asciiTheme="minorEastAsia" w:hAnsiTheme="minorEastAsia" w:eastAsiaTheme="minorEastAsia" w:cstheme="minorEastAsia"/>
          <w:color w:val="auto"/>
          <w:szCs w:val="21"/>
          <w:lang w:val="en-US" w:eastAsia="zh-CN"/>
        </w:rPr>
        <w:t>2、项目编号：</w:t>
      </w:r>
      <w:r>
        <w:rPr>
          <w:rFonts w:hint="eastAsia" w:asciiTheme="minorEastAsia" w:hAnsiTheme="minorEastAsia" w:eastAsiaTheme="minorEastAsia" w:cstheme="minorEastAsia"/>
          <w:color w:val="auto"/>
          <w:szCs w:val="21"/>
        </w:rPr>
        <w:t>ZJZB-ZC-202006-167</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szCs w:val="21"/>
          <w:lang w:val="en-US" w:eastAsia="zh-CN"/>
        </w:rPr>
        <w:t>3、采</w:t>
      </w:r>
      <w:r>
        <w:rPr>
          <w:rFonts w:hint="eastAsia" w:asciiTheme="minorEastAsia" w:hAnsiTheme="minorEastAsia" w:eastAsiaTheme="minorEastAsia" w:cstheme="minorEastAsia"/>
          <w:color w:val="auto"/>
          <w:szCs w:val="21"/>
          <w:lang w:val="en-US" w:eastAsia="zh-CN"/>
        </w:rPr>
        <w:t>购预算：人民币</w:t>
      </w:r>
      <w:r>
        <w:rPr>
          <w:rFonts w:hint="eastAsia" w:asciiTheme="minorEastAsia" w:hAnsiTheme="minorEastAsia" w:eastAsiaTheme="minorEastAsia" w:cstheme="minorEastAsia"/>
          <w:color w:val="auto"/>
          <w:szCs w:val="21"/>
          <w:u w:val="single"/>
          <w:lang w:val="en-US" w:eastAsia="zh-CN"/>
        </w:rPr>
        <w:t>50.4</w:t>
      </w:r>
      <w:r>
        <w:rPr>
          <w:rFonts w:hint="eastAsia" w:asciiTheme="minorEastAsia" w:hAnsiTheme="minorEastAsia" w:eastAsiaTheme="minorEastAsia" w:cstheme="minorEastAsia"/>
          <w:color w:val="auto"/>
          <w:szCs w:val="21"/>
          <w:lang w:val="en-US" w:eastAsia="zh-CN"/>
        </w:rPr>
        <w:t>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Cs w:val="21"/>
          <w:u w:val="single"/>
          <w:lang w:val="en-US" w:eastAsia="zh-CN"/>
        </w:rPr>
        <w:t>50.4</w:t>
      </w:r>
      <w:r>
        <w:rPr>
          <w:rFonts w:hint="eastAsia" w:asciiTheme="minorEastAsia" w:hAnsiTheme="minorEastAsia" w:eastAsiaTheme="minorEastAsia" w:cstheme="minorEastAsia"/>
          <w:b w:val="0"/>
          <w:bCs w:val="0"/>
          <w:color w:val="auto"/>
          <w:kern w:val="2"/>
          <w:sz w:val="21"/>
          <w:szCs w:val="21"/>
          <w:lang w:val="en-US" w:eastAsia="zh-CN" w:bidi="ar-SA"/>
        </w:rPr>
        <w:t>万元；</w:t>
      </w:r>
      <w:r>
        <w:rPr>
          <w:rFonts w:hint="eastAsia" w:asciiTheme="minorEastAsia" w:hAnsiTheme="minorEastAsia" w:eastAsiaTheme="minorEastAsia" w:cstheme="minorEastAsia"/>
          <w:color w:val="auto"/>
          <w:szCs w:val="21"/>
          <w:lang w:val="en-US" w:eastAsia="zh-CN"/>
        </w:rPr>
        <w:t>（含财政资金</w:t>
      </w:r>
      <w:r>
        <w:rPr>
          <w:rFonts w:hint="eastAsia" w:asciiTheme="minorEastAsia" w:hAnsiTheme="minorEastAsia" w:eastAsiaTheme="minorEastAsia" w:cstheme="minorEastAsia"/>
          <w:color w:val="auto"/>
          <w:szCs w:val="21"/>
          <w:u w:val="single"/>
          <w:lang w:val="en-US" w:eastAsia="zh-CN"/>
        </w:rPr>
        <w:t>50.4</w:t>
      </w:r>
      <w:r>
        <w:rPr>
          <w:rFonts w:hint="eastAsia" w:asciiTheme="minorEastAsia" w:hAnsiTheme="minorEastAsia" w:eastAsiaTheme="minorEastAsia" w:cstheme="minorEastAsia"/>
          <w:color w:val="auto"/>
          <w:szCs w:val="21"/>
          <w:lang w:val="en-US" w:eastAsia="zh-CN"/>
        </w:rPr>
        <w:t>万元，其他资金</w:t>
      </w:r>
      <w:r>
        <w:rPr>
          <w:rFonts w:hint="eastAsia" w:asciiTheme="minorEastAsia" w:hAnsiTheme="minorEastAsia" w:eastAsiaTheme="minorEastAsia" w:cstheme="minorEastAsia"/>
          <w:color w:val="auto"/>
          <w:szCs w:val="21"/>
          <w:u w:val="single"/>
          <w:lang w:val="en-US" w:eastAsia="zh-CN"/>
        </w:rPr>
        <w:t xml:space="preserve"> /  </w:t>
      </w:r>
      <w:r>
        <w:rPr>
          <w:rFonts w:hint="eastAsia" w:asciiTheme="minorEastAsia" w:hAnsiTheme="minorEastAsia" w:eastAsiaTheme="minorEastAsia" w:cstheme="minorEastAsia"/>
          <w:color w:val="auto"/>
          <w:szCs w:val="21"/>
          <w:lang w:val="en-US" w:eastAsia="zh-CN"/>
        </w:rPr>
        <w:t>万元）</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4、资金性质：财政性资金</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5、项目内容及需求：</w:t>
      </w:r>
      <w:r>
        <w:rPr>
          <w:rFonts w:hint="eastAsia" w:asciiTheme="minorEastAsia" w:hAnsiTheme="minorEastAsia" w:eastAsiaTheme="minorEastAsia" w:cstheme="minorEastAsia"/>
          <w:color w:val="auto"/>
          <w:szCs w:val="21"/>
          <w:lang w:eastAsia="zh-CN"/>
        </w:rPr>
        <w:t>本次竞争性磋商共分</w:t>
      </w:r>
      <w:r>
        <w:rPr>
          <w:rFonts w:hint="eastAsia" w:asciiTheme="minorEastAsia" w:hAnsiTheme="minorEastAsia" w:eastAsiaTheme="minorEastAsia" w:cstheme="minorEastAsia"/>
          <w:color w:val="auto"/>
          <w:szCs w:val="21"/>
          <w:u w:val="single"/>
          <w:lang w:eastAsia="zh-CN"/>
        </w:rPr>
        <w:t>1</w:t>
      </w:r>
      <w:r>
        <w:rPr>
          <w:rFonts w:hint="eastAsia" w:asciiTheme="minorEastAsia" w:hAnsiTheme="minorEastAsia" w:eastAsiaTheme="minorEastAsia" w:cstheme="minorEastAsia"/>
          <w:color w:val="auto"/>
          <w:szCs w:val="21"/>
          <w:lang w:eastAsia="zh-CN"/>
        </w:rPr>
        <w:t>个项目包，具体需求如下，详细技术规格、参数及</w:t>
      </w:r>
      <w:r>
        <w:rPr>
          <w:rFonts w:hint="eastAsia" w:asciiTheme="minorEastAsia" w:hAnsiTheme="minorEastAsia" w:eastAsiaTheme="minorEastAsia" w:cstheme="minorEastAsia"/>
          <w:color w:val="auto"/>
          <w:szCs w:val="21"/>
          <w:lang w:val="en-US" w:eastAsia="zh-CN"/>
        </w:rPr>
        <w:t>商务</w:t>
      </w:r>
      <w:r>
        <w:rPr>
          <w:rFonts w:hint="eastAsia" w:asciiTheme="minorEastAsia" w:hAnsiTheme="minorEastAsia" w:eastAsiaTheme="minorEastAsia" w:cstheme="minorEastAsia"/>
          <w:color w:val="auto"/>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项目包编号：01</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项目包名称：台式工作站采购</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类别：货物</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简要技术要求/项目性质：</w:t>
      </w:r>
      <w:r>
        <w:rPr>
          <w:rFonts w:hint="eastAsia" w:asciiTheme="minorEastAsia" w:hAnsiTheme="minorEastAsia" w:eastAsiaTheme="minorEastAsia" w:cstheme="minorEastAsia"/>
          <w:color w:val="auto"/>
          <w:szCs w:val="21"/>
          <w:u w:val="single"/>
          <w:lang w:val="en-US" w:eastAsia="zh-CN"/>
        </w:rPr>
        <w:t>采购42台台式工作站，用于教学使用</w:t>
      </w:r>
      <w:r>
        <w:rPr>
          <w:rFonts w:hint="eastAsia" w:asciiTheme="minorEastAsia" w:hAnsiTheme="minorEastAsia" w:eastAsiaTheme="minorEastAsia" w:cstheme="minorEastAsia"/>
          <w:color w:val="auto"/>
          <w:szCs w:val="21"/>
          <w:u w:val="single"/>
          <w:lang w:eastAsia="zh-CN"/>
        </w:rPr>
        <w:t>；</w:t>
      </w:r>
      <w:r>
        <w:rPr>
          <w:rFonts w:hint="eastAsia" w:asciiTheme="minorEastAsia" w:hAnsiTheme="minorEastAsia" w:eastAsiaTheme="minorEastAsia" w:cstheme="minorEastAsia"/>
          <w:color w:val="auto"/>
          <w:szCs w:val="21"/>
        </w:rPr>
        <w:t>(详见</w:t>
      </w:r>
      <w:r>
        <w:rPr>
          <w:rFonts w:hint="eastAsia" w:asciiTheme="minorEastAsia" w:hAnsiTheme="minorEastAsia" w:eastAsiaTheme="minorEastAsia" w:cstheme="minorEastAsia"/>
          <w:color w:val="auto"/>
          <w:szCs w:val="21"/>
          <w:lang w:eastAsia="zh-CN"/>
        </w:rPr>
        <w:t>采购文件第三章“项目采购需求”）</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交货期：</w:t>
      </w:r>
      <w:r>
        <w:rPr>
          <w:rFonts w:hint="eastAsia" w:ascii="宋体" w:hAnsi="宋体" w:cs="宋体"/>
          <w:color w:val="auto"/>
          <w:sz w:val="21"/>
          <w:szCs w:val="21"/>
          <w:shd w:val="clear" w:color="auto" w:fill="auto"/>
        </w:rPr>
        <w:t>合同签订后</w:t>
      </w:r>
      <w:r>
        <w:rPr>
          <w:rFonts w:hint="eastAsia" w:ascii="宋体" w:hAnsi="宋体" w:cs="宋体"/>
          <w:color w:val="auto"/>
          <w:sz w:val="21"/>
          <w:szCs w:val="21"/>
          <w:u w:val="single"/>
          <w:shd w:val="clear" w:color="auto" w:fill="auto"/>
        </w:rPr>
        <w:t>20</w:t>
      </w:r>
      <w:r>
        <w:rPr>
          <w:rFonts w:hint="eastAsia" w:ascii="宋体" w:hAnsi="宋体" w:cs="宋体"/>
          <w:color w:val="auto"/>
          <w:sz w:val="21"/>
          <w:szCs w:val="21"/>
          <w:shd w:val="clear" w:color="auto" w:fill="auto"/>
        </w:rPr>
        <w:t>日历天内供货，</w:t>
      </w:r>
      <w:r>
        <w:rPr>
          <w:rFonts w:hint="eastAsia" w:ascii="宋体" w:hAnsi="宋体" w:cs="宋体"/>
          <w:color w:val="auto"/>
          <w:sz w:val="21"/>
          <w:szCs w:val="21"/>
          <w:u w:val="single"/>
          <w:shd w:val="clear" w:color="auto" w:fill="auto"/>
        </w:rPr>
        <w:t>7</w:t>
      </w:r>
      <w:r>
        <w:rPr>
          <w:rFonts w:hint="eastAsia" w:ascii="宋体" w:hAnsi="宋体" w:cs="宋体"/>
          <w:color w:val="auto"/>
          <w:sz w:val="21"/>
          <w:szCs w:val="21"/>
          <w:shd w:val="clear" w:color="auto" w:fill="auto"/>
        </w:rPr>
        <w:t>天内完成安装调试</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质保期：三年，质保期内原厂免费上门服务及保修，质保期外对设备进行定期巡检和维护。</w:t>
      </w:r>
    </w:p>
    <w:p>
      <w:pPr>
        <w:pageBreakBefore w:val="0"/>
        <w:widowControl w:val="0"/>
        <w:numPr>
          <w:ilvl w:val="0"/>
          <w:numId w:val="6"/>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质量标准：达到国家或行业颁布的其他现行各项技术标准和验收规范规定</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kern w:val="2"/>
          <w:sz w:val="21"/>
          <w:szCs w:val="21"/>
          <w:lang w:val="en-US" w:eastAsia="zh-CN" w:bidi="ar-SA"/>
        </w:rPr>
        <w:t>6、供应商参加磋商的报价超过该项目采购预算金额的，该项目磋商报价无效；</w:t>
      </w:r>
    </w:p>
    <w:p>
      <w:pPr>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bCs w:val="0"/>
          <w:kern w:val="2"/>
          <w:sz w:val="21"/>
          <w:szCs w:val="21"/>
          <w:lang w:val="en-US" w:eastAsia="zh-CN" w:bidi="ar-SA"/>
        </w:rPr>
        <w:t>7、采购项目需要落实的政府采购政策:本项目需落实政府采购强制、优先采购节能产品政策；政府采购优先采购环保产品政策；政府采购促进中小企业发展（监狱企业、残疾人福利性单位视同小微企业）等政策详见磋商文件；</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kern w:val="2"/>
          <w:sz w:val="21"/>
          <w:szCs w:val="21"/>
          <w:lang w:val="en-US" w:eastAsia="zh-CN" w:bidi="ar-SA"/>
        </w:rPr>
        <w:t xml:space="preserve">   8、供应商如需查询技术要求可直接到我处查阅磋商文件。</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4" w:name="_Toc13652"/>
      <w:bookmarkStart w:id="5" w:name="_Toc14744"/>
      <w:bookmarkStart w:id="6" w:name="_Toc334539183"/>
      <w:bookmarkStart w:id="7" w:name="_Toc10673366"/>
      <w:r>
        <w:rPr>
          <w:rFonts w:hint="eastAsia" w:asciiTheme="minorEastAsia" w:hAnsiTheme="minorEastAsia" w:eastAsiaTheme="minorEastAsia" w:cstheme="minorEastAsia"/>
          <w:sz w:val="21"/>
          <w:szCs w:val="21"/>
        </w:rPr>
        <w:t>资格要求</w:t>
      </w:r>
      <w:bookmarkEnd w:id="4"/>
      <w:bookmarkEnd w:id="5"/>
      <w:bookmarkEnd w:id="6"/>
      <w:bookmarkEnd w:id="7"/>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w:t>
      </w:r>
      <w:r>
        <w:rPr>
          <w:rFonts w:hint="eastAsia" w:asciiTheme="minorEastAsia" w:hAnsiTheme="minorEastAsia" w:eastAsiaTheme="minorEastAsia" w:cstheme="minorEastAsia"/>
          <w:szCs w:val="21"/>
          <w:lang w:val="en-US" w:eastAsia="zh-CN"/>
        </w:rPr>
        <w:t>参与</w:t>
      </w:r>
      <w:r>
        <w:rPr>
          <w:rFonts w:hint="eastAsia" w:asciiTheme="minorEastAsia" w:hAnsiTheme="minorEastAsia" w:eastAsiaTheme="minorEastAsia" w:cstheme="minorEastAsia"/>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szCs w:val="21"/>
          <w:lang w:val="en-US" w:eastAsia="zh-CN"/>
        </w:rPr>
        <w:t>在响应文件中</w:t>
      </w:r>
      <w:r>
        <w:rPr>
          <w:rFonts w:hint="eastAsia" w:asciiTheme="minorEastAsia" w:hAnsiTheme="minorEastAsia" w:eastAsiaTheme="minorEastAsia" w:cstheme="minorEastAsia"/>
          <w:szCs w:val="21"/>
        </w:rPr>
        <w:t>递交资格证明文件。</w:t>
      </w:r>
    </w:p>
    <w:p>
      <w:pPr>
        <w:numPr>
          <w:ilvl w:val="0"/>
          <w:numId w:val="7"/>
        </w:num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.1具有独立承担民事责任的能力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经营范围需满足采购需求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.5参加政府采购活动前三年内（不足3年按公司成立时间起算），在经营活动中没有重大违法记录</w:t>
      </w:r>
      <w:r>
        <w:rPr>
          <w:rFonts w:hint="eastAsia" w:asciiTheme="minorEastAsia" w:hAnsiTheme="minorEastAsia" w:eastAsiaTheme="minorEastAsia" w:cstheme="minorEastAsia"/>
          <w:szCs w:val="21"/>
          <w:lang w:eastAsia="zh-CN"/>
        </w:rPr>
        <w:t>（提供书面声明，格式见磋商文件第六章），（重大违法记录是指供应商因违法经营</w:t>
      </w:r>
      <w:r>
        <w:rPr>
          <w:rFonts w:hint="eastAsia" w:asciiTheme="minorEastAsia" w:hAnsiTheme="minorEastAsia" w:eastAsiaTheme="minorEastAsia" w:cstheme="minorEastAsia"/>
          <w:color w:val="auto"/>
          <w:szCs w:val="21"/>
          <w:lang w:eastAsia="zh-CN"/>
        </w:rPr>
        <w:t>受到刑事处罚或者责令停产停业、吊销许可证或者执照、较大数额罚款等行政处罚）</w:t>
      </w:r>
      <w:r>
        <w:rPr>
          <w:rFonts w:hint="eastAsia" w:asciiTheme="minorEastAsia" w:hAnsiTheme="minorEastAsia" w:eastAsiaTheme="minorEastAsia" w:cstheme="minorEastAsia"/>
          <w:color w:val="auto"/>
          <w:szCs w:val="21"/>
        </w:rPr>
        <w:t>；</w:t>
      </w:r>
    </w:p>
    <w:p>
      <w:pPr>
        <w:spacing w:line="360" w:lineRule="auto"/>
        <w:ind w:left="420" w:firstLine="315" w:firstLineChars="15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.6法律、行政法规规定的其他条件</w:t>
      </w:r>
      <w:r>
        <w:rPr>
          <w:rFonts w:hint="eastAsia" w:asciiTheme="minorEastAsia" w:hAnsiTheme="minorEastAsia" w:eastAsiaTheme="minorEastAsia" w:cstheme="minorEastAsia"/>
          <w:color w:val="auto"/>
          <w:szCs w:val="21"/>
          <w:lang w:eastAsia="zh-CN"/>
        </w:rPr>
        <w:t>；</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rPr>
        <w:t>供应商参加</w:t>
      </w:r>
      <w:r>
        <w:rPr>
          <w:rFonts w:hint="eastAsia" w:asciiTheme="minorEastAsia" w:hAnsiTheme="minorEastAsia" w:eastAsiaTheme="minorEastAsia" w:cstheme="minorEastAsia"/>
          <w:color w:val="auto"/>
          <w:szCs w:val="21"/>
          <w:lang w:val="en-US" w:eastAsia="zh-CN"/>
        </w:rPr>
        <w:t>本次</w:t>
      </w:r>
      <w:r>
        <w:rPr>
          <w:rFonts w:hint="eastAsia" w:asciiTheme="minorEastAsia" w:hAnsiTheme="minorEastAsia" w:eastAsiaTheme="minorEastAsia" w:cstheme="minorEastAsia"/>
          <w:color w:val="auto"/>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auto"/>
          <w:szCs w:val="21"/>
          <w:lang w:val="en-US" w:eastAsia="zh-CN"/>
        </w:rPr>
        <w:t>评审时以采购代理机构磋商现场查询结果为准）；</w:t>
      </w:r>
      <w:r>
        <w:rPr>
          <w:rFonts w:hint="eastAsia" w:asciiTheme="minorEastAsia" w:hAnsiTheme="minorEastAsia" w:eastAsiaTheme="minorEastAsia" w:cstheme="minorEastAsia"/>
          <w:color w:val="auto"/>
          <w:u w:val="single"/>
          <w:lang w:val="en-US" w:eastAsia="zh-CN"/>
        </w:rPr>
        <w:t xml:space="preserve"> </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如国家法律法规对市场准入有要求的还应符合相关规定；</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本项目不接受（接受或不接受）联合体参与磋商。</w:t>
      </w:r>
    </w:p>
    <w:p>
      <w:pPr>
        <w:pStyle w:val="4"/>
        <w:numPr>
          <w:ilvl w:val="0"/>
          <w:numId w:val="5"/>
        </w:numPr>
        <w:spacing w:line="360" w:lineRule="auto"/>
        <w:rPr>
          <w:rFonts w:hint="eastAsia" w:asciiTheme="minorEastAsia" w:hAnsiTheme="minorEastAsia" w:eastAsiaTheme="minorEastAsia" w:cstheme="minorEastAsia"/>
          <w:color w:val="auto"/>
          <w:sz w:val="21"/>
          <w:szCs w:val="21"/>
        </w:rPr>
      </w:pPr>
      <w:bookmarkStart w:id="8" w:name="_Toc334539184"/>
      <w:bookmarkStart w:id="9" w:name="_Toc10673367"/>
      <w:bookmarkStart w:id="10" w:name="_Toc25251"/>
      <w:bookmarkStart w:id="11" w:name="_Toc13830"/>
      <w:bookmarkStart w:id="12" w:name="_Toc334539185"/>
      <w:r>
        <w:rPr>
          <w:rFonts w:hint="eastAsia" w:asciiTheme="minorEastAsia" w:hAnsiTheme="minorEastAsia" w:eastAsiaTheme="minorEastAsia" w:cstheme="minorEastAsia"/>
          <w:color w:val="auto"/>
          <w:sz w:val="21"/>
          <w:szCs w:val="21"/>
        </w:rPr>
        <w:t>采购文件的</w:t>
      </w:r>
      <w:bookmarkEnd w:id="8"/>
      <w:r>
        <w:rPr>
          <w:rFonts w:hint="eastAsia" w:asciiTheme="minorEastAsia" w:hAnsiTheme="minorEastAsia" w:eastAsiaTheme="minorEastAsia" w:cstheme="minorEastAsia"/>
          <w:color w:val="auto"/>
          <w:sz w:val="21"/>
          <w:szCs w:val="21"/>
        </w:rPr>
        <w:t>获取</w:t>
      </w:r>
      <w:bookmarkEnd w:id="9"/>
      <w:bookmarkEnd w:id="10"/>
      <w:bookmarkEnd w:id="11"/>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auto"/>
          <w:szCs w:val="21"/>
          <w:lang w:val="en-US" w:eastAsia="zh-CN"/>
        </w:rPr>
        <w:t>获取</w:t>
      </w:r>
      <w:r>
        <w:rPr>
          <w:rFonts w:hint="eastAsia" w:asciiTheme="minorEastAsia" w:hAnsiTheme="minorEastAsia" w:eastAsiaTheme="minorEastAsia" w:cstheme="minorEastAsia"/>
          <w:color w:val="auto"/>
          <w:szCs w:val="21"/>
        </w:rPr>
        <w:t>时间：</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szCs w:val="21"/>
          <w:lang w:val="en-US" w:eastAsia="zh-CN"/>
        </w:rPr>
        <w:t>24</w:t>
      </w:r>
      <w:r>
        <w:rPr>
          <w:rFonts w:hint="eastAsia" w:asciiTheme="minorEastAsia" w:hAnsiTheme="minorEastAsia" w:eastAsiaTheme="minorEastAsia" w:cstheme="minorEastAsia"/>
          <w:szCs w:val="21"/>
        </w:rPr>
        <w:t>日起至</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日每天上午09:00～12:00、下午14:30～17:00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法定节假日以及休息日（周六周日）除外</w:t>
      </w:r>
      <w:r>
        <w:rPr>
          <w:rFonts w:hint="eastAsia" w:asciiTheme="minorEastAsia" w:hAnsiTheme="minorEastAsia" w:eastAsiaTheme="minorEastAsia" w:cstheme="minorEastAsia"/>
          <w:szCs w:val="21"/>
          <w:lang w:eastAsia="zh-CN"/>
        </w:rPr>
        <w:t>；</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获取地点：网上获取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获取方式：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1)法定代表人身份证明书（格式附后）及法定代表人身份证真彩扫描件或法定代表人授权书（格式附后）及受托人身份证真彩扫描件；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2)营业执照真彩扫描件；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3)项目报名表（格式附后）；</w:t>
      </w:r>
    </w:p>
    <w:p>
      <w:pPr>
        <w:spacing w:line="360" w:lineRule="auto"/>
        <w:ind w:firstLine="420" w:firstLineChars="200"/>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4)磋商文件人民币</w:t>
      </w: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00元/本，售后不退，不办理邮寄。</w:t>
      </w:r>
      <w:r>
        <w:rPr>
          <w:rFonts w:hint="eastAsia" w:asciiTheme="minorEastAsia" w:hAnsiTheme="minorEastAsia" w:eastAsiaTheme="minorEastAsia" w:cstheme="minorEastAsia"/>
          <w:bCs/>
          <w:szCs w:val="21"/>
          <w:lang w:val="en-US" w:eastAsia="zh-CN"/>
        </w:rPr>
        <w:t xml:space="preserve">   </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lang w:val="en-US" w:eastAsia="zh-CN"/>
        </w:rPr>
        <w:t>为本项目提供过整体设计、规范编制或者项目管理、监理、检测等服务的供应商</w:t>
      </w:r>
      <w:r>
        <w:rPr>
          <w:rFonts w:hint="eastAsia" w:asciiTheme="minorEastAsia" w:hAnsiTheme="minorEastAsia" w:eastAsiaTheme="minorEastAsia" w:cstheme="minorEastAsia"/>
          <w:szCs w:val="21"/>
          <w:lang w:val="en-US" w:eastAsia="zh-CN"/>
        </w:rPr>
        <w:t>不得参加本次采购活动</w:t>
      </w:r>
      <w:r>
        <w:rPr>
          <w:rFonts w:hint="eastAsia"/>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sz w:val="21"/>
          <w:szCs w:val="21"/>
        </w:rPr>
      </w:pPr>
      <w:bookmarkStart w:id="13" w:name="_Toc31195"/>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hint="eastAsia" w:asciiTheme="minorEastAsia" w:hAnsiTheme="minorEastAsia" w:eastAsiaTheme="minorEastAsia" w:cstheme="minorEastAsia"/>
          <w:szCs w:val="21"/>
          <w:lang w:val="zh-CN" w:eastAsia="zh-CN"/>
        </w:rPr>
      </w:pPr>
      <w:bookmarkStart w:id="14" w:name="_Toc259028276"/>
      <w:bookmarkStart w:id="15" w:name="_Toc334539186"/>
      <w:r>
        <w:rPr>
          <w:rFonts w:hint="eastAsia" w:asciiTheme="minorEastAsia" w:hAnsiTheme="minorEastAsia" w:eastAsiaTheme="minorEastAsia" w:cstheme="minorEastAsia"/>
          <w:szCs w:val="21"/>
          <w:lang w:val="zh-CN"/>
        </w:rPr>
        <w:t>送达地点：武汉市洪山区狮子山街1号华中农业大学大学生创业楼（大学生创业孵化器）</w:t>
      </w:r>
      <w:r>
        <w:rPr>
          <w:rFonts w:hint="eastAsia" w:asciiTheme="minorEastAsia" w:hAnsiTheme="minorEastAsia" w:eastAsiaTheme="minorEastAsia" w:cstheme="minorEastAsia"/>
          <w:szCs w:val="21"/>
          <w:lang w:val="en-US" w:eastAsia="zh-CN"/>
        </w:rPr>
        <w:t>103</w:t>
      </w:r>
      <w:r>
        <w:rPr>
          <w:rFonts w:hint="eastAsia" w:asciiTheme="minorEastAsia" w:hAnsiTheme="minorEastAsia" w:eastAsiaTheme="minorEastAsia" w:cstheme="minorEastAsia"/>
          <w:szCs w:val="21"/>
          <w:lang w:val="zh-CN"/>
        </w:rPr>
        <w:t>室（华中农业大学西一门进门约100米处）。</w:t>
      </w:r>
      <w:r>
        <w:rPr>
          <w:rFonts w:hint="eastAsia" w:asciiTheme="minorEastAsia" w:hAnsiTheme="minorEastAsia" w:eastAsiaTheme="minorEastAsia" w:cstheme="minorEastAsia"/>
          <w:szCs w:val="21"/>
          <w:lang w:val="en-US" w:eastAsia="zh-CN"/>
        </w:rPr>
        <w:t xml:space="preserve"> </w:t>
      </w:r>
    </w:p>
    <w:p>
      <w:pPr>
        <w:spacing w:line="360" w:lineRule="auto"/>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截止时间：2020年</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14</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09:30</w:t>
      </w:r>
      <w:r>
        <w:rPr>
          <w:rFonts w:hint="eastAsia" w:asciiTheme="minorEastAsia" w:hAnsiTheme="minorEastAsia" w:eastAsiaTheme="minorEastAsia" w:cstheme="minorEastAsia"/>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文件须密封后由</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16" w:name="_Toc334539187"/>
      <w:bookmarkStart w:id="17" w:name="_Toc6123"/>
      <w:bookmarkStart w:id="18" w:name="_Toc259028277"/>
      <w:bookmarkStart w:id="19" w:name="_Toc10673370"/>
      <w:bookmarkStart w:id="20" w:name="_Toc21911"/>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bookmarkStart w:id="243" w:name="_GoBack"/>
      <w:bookmarkEnd w:id="243"/>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jc w:val="both"/>
        <w:textAlignment w:val="auto"/>
        <w:rPr>
          <w:rFonts w:hint="eastAsia" w:ascii="宋体" w:hAnsi="宋体"/>
          <w:color w:val="auto"/>
          <w:sz w:val="21"/>
          <w:szCs w:val="21"/>
        </w:rPr>
      </w:pPr>
      <w:bookmarkStart w:id="21" w:name="_Toc259607751"/>
      <w:bookmarkStart w:id="22" w:name="_Toc320898024"/>
      <w:bookmarkStart w:id="23" w:name="_Toc334539188"/>
      <w:bookmarkStart w:id="24" w:name="_Toc6021"/>
      <w:bookmarkStart w:id="25" w:name="_Toc276368888"/>
      <w:bookmarkStart w:id="26" w:name="_Toc317262251"/>
      <w:r>
        <w:rPr>
          <w:rFonts w:hint="eastAsia" w:ascii="宋体" w:hAnsi="宋体"/>
          <w:color w:val="auto"/>
          <w:sz w:val="21"/>
          <w:szCs w:val="21"/>
        </w:rPr>
        <w:t>采 购 人： 华中农业大学</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jc w:val="both"/>
        <w:textAlignment w:val="auto"/>
        <w:rPr>
          <w:rFonts w:hint="eastAsia" w:ascii="宋体" w:hAnsi="宋体"/>
          <w:color w:val="auto"/>
          <w:sz w:val="21"/>
          <w:szCs w:val="21"/>
        </w:rPr>
      </w:pPr>
      <w:r>
        <w:rPr>
          <w:rFonts w:hint="eastAsia" w:ascii="宋体" w:hAnsi="宋体"/>
          <w:color w:val="auto"/>
          <w:sz w:val="21"/>
          <w:szCs w:val="21"/>
        </w:rPr>
        <w:t>地    址： 湖北省武汉市洪山区狮子山街1号</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jc w:val="both"/>
        <w:textAlignment w:val="auto"/>
        <w:rPr>
          <w:rFonts w:hint="eastAsia" w:ascii="宋体" w:hAnsi="宋体"/>
          <w:color w:val="auto"/>
          <w:sz w:val="21"/>
          <w:szCs w:val="21"/>
        </w:rPr>
      </w:pPr>
      <w:r>
        <w:rPr>
          <w:rFonts w:hint="eastAsia" w:ascii="宋体" w:hAnsi="宋体"/>
          <w:color w:val="auto"/>
          <w:sz w:val="21"/>
          <w:szCs w:val="21"/>
        </w:rPr>
        <w:t>采购部门联系人：许老师</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szCs w:val="21"/>
          <w:lang w:eastAsia="zh-CN"/>
        </w:rPr>
      </w:pPr>
      <w:r>
        <w:rPr>
          <w:rFonts w:hint="eastAsia" w:ascii="宋体" w:hAnsi="宋体"/>
          <w:color w:val="auto"/>
          <w:sz w:val="21"/>
          <w:szCs w:val="21"/>
        </w:rPr>
        <w:t>联系电话：027-87282631</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27" w:name="_Toc577"/>
      <w:bookmarkStart w:id="28" w:name="_Toc10673371"/>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szCs w:val="21"/>
        </w:rPr>
      </w:pPr>
      <w:bookmarkStart w:id="29" w:name="_Toc318643462"/>
      <w:bookmarkStart w:id="30" w:name="_Toc317262253"/>
      <w:bookmarkStart w:id="31" w:name="_Toc334539189"/>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rPr>
        <w:t>山河企业大厦4805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4806</w:t>
      </w:r>
      <w:r>
        <w:rPr>
          <w:rFonts w:hint="eastAsia" w:asciiTheme="minorEastAsia" w:hAnsiTheme="minorEastAsia" w:eastAsiaTheme="minorEastAsia" w:cstheme="minorEastAsia"/>
          <w:szCs w:val="21"/>
        </w:rPr>
        <w:t>室</w:t>
      </w:r>
    </w:p>
    <w:bookmarkEnd w:id="29"/>
    <w:bookmarkEnd w:id="30"/>
    <w:bookmarkEnd w:id="31"/>
    <w:p>
      <w:pPr>
        <w:spacing w:line="360" w:lineRule="auto"/>
        <w:rPr>
          <w:rFonts w:hint="eastAsia" w:eastAsia="宋体" w:asciiTheme="minorEastAsia" w:hAnsiTheme="minorEastAsia" w:cstheme="minorEastAsia"/>
          <w:szCs w:val="21"/>
          <w:lang w:eastAsia="zh-CN"/>
        </w:rPr>
      </w:pPr>
      <w:r>
        <w:rPr>
          <w:rFonts w:hint="eastAsia" w:asciiTheme="minorEastAsia" w:hAnsiTheme="minorEastAsia" w:eastAsiaTheme="minorEastAsia" w:cstheme="minorEastAsia"/>
          <w:szCs w:val="21"/>
        </w:rPr>
        <w:t>联 系 人：</w:t>
      </w:r>
      <w:r>
        <w:rPr>
          <w:rFonts w:hint="eastAsia" w:ascii="宋体" w:hAnsi="宋体" w:cs="宋体"/>
          <w:sz w:val="21"/>
          <w:szCs w:val="21"/>
        </w:rPr>
        <w:t>张梦、叶汪笛、</w:t>
      </w:r>
      <w:r>
        <w:rPr>
          <w:rFonts w:hint="eastAsia" w:ascii="宋体" w:hAnsi="宋体" w:cs="宋体"/>
          <w:sz w:val="21"/>
          <w:szCs w:val="21"/>
          <w:lang w:eastAsia="zh-CN"/>
        </w:rPr>
        <w:t>吴妍</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5"/>
        </w:numPr>
        <w:spacing w:line="240" w:lineRule="auto"/>
        <w:rPr>
          <w:rFonts w:hint="eastAsia" w:asciiTheme="minorEastAsia" w:hAnsiTheme="minorEastAsia" w:eastAsiaTheme="minorEastAsia" w:cstheme="minorEastAsia"/>
          <w:sz w:val="21"/>
          <w:szCs w:val="21"/>
        </w:rPr>
      </w:pPr>
      <w:bookmarkStart w:id="33" w:name="_Toc10673372"/>
      <w:bookmarkStart w:id="34" w:name="_Toc14150"/>
      <w:bookmarkStart w:id="35" w:name="_Toc334539190"/>
      <w:bookmarkStart w:id="36" w:name="_Toc12832"/>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lang w:val="en-US" w:eastAsia="zh-CN"/>
        </w:rPr>
        <w:t>及时间</w:t>
      </w:r>
      <w:bookmarkEnd w:id="36"/>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（一）《中国政府采购网》（网址：</w:t>
      </w:r>
      <w:r>
        <w:fldChar w:fldCharType="begin"/>
      </w:r>
      <w:r>
        <w:instrText xml:space="preserve"> HYPERLINK "http://www.ccgp-hubei.gov.cn/）" </w:instrText>
      </w:r>
      <w:r>
        <w:fldChar w:fldCharType="separate"/>
      </w:r>
      <w:r>
        <w:rPr>
          <w:rFonts w:hint="eastAsia" w:ascii="宋体" w:hAnsi="宋体" w:cs="宋体"/>
          <w:sz w:val="21"/>
          <w:szCs w:val="21"/>
        </w:rPr>
        <w:t>http://www.ccgp.gov.cn/</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fldChar w:fldCharType="end"/>
      </w:r>
    </w:p>
    <w:p>
      <w:pPr>
        <w:spacing w:line="360" w:lineRule="auto"/>
        <w:jc w:val="left"/>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szCs w:val="21"/>
        </w:rPr>
        <w:t>（二）《中经国际招标集团有限公司官网》（网址：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p>
      <w:pPr>
        <w:spacing w:line="360" w:lineRule="auto"/>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en-US" w:eastAsia="zh-CN"/>
        </w:rPr>
        <w:t>采购公告期限：自以上网站发布公告次日起</w:t>
      </w:r>
      <w:r>
        <w:rPr>
          <w:rFonts w:hint="eastAsia" w:asciiTheme="minorEastAsia" w:hAnsiTheme="minorEastAsia" w:eastAsiaTheme="minorEastAsia" w:cstheme="minorEastAsia"/>
          <w:szCs w:val="21"/>
          <w:u w:val="single"/>
          <w:lang w:val="en-US" w:eastAsia="zh-CN"/>
        </w:rPr>
        <w:t>5</w:t>
      </w:r>
      <w:r>
        <w:rPr>
          <w:rFonts w:hint="eastAsia" w:asciiTheme="minorEastAsia" w:hAnsiTheme="minorEastAsia" w:eastAsiaTheme="minorEastAsia" w:cstheme="minorEastAsia"/>
          <w:szCs w:val="21"/>
          <w:lang w:val="en-US" w:eastAsia="zh-CN"/>
        </w:rPr>
        <w:t>个工作日，本项目将在以上网站发布所有信</w:t>
      </w:r>
      <w:r>
        <w:rPr>
          <w:rFonts w:hint="eastAsia" w:asciiTheme="minorEastAsia" w:hAnsiTheme="minorEastAsia" w:eastAsiaTheme="minorEastAsia" w:cstheme="minorEastAsia"/>
          <w:szCs w:val="21"/>
        </w:rPr>
        <w:t>息，请参加本项目</w:t>
      </w:r>
      <w:r>
        <w:rPr>
          <w:rFonts w:hint="eastAsia" w:asciiTheme="minorEastAsia" w:hAnsiTheme="minorEastAsia" w:eastAsiaTheme="minorEastAsia" w:cstheme="minorEastAsia"/>
          <w:szCs w:val="21"/>
          <w:lang w:val="en-US" w:eastAsia="zh-CN"/>
        </w:rPr>
        <w:t>竞</w:t>
      </w:r>
      <w:r>
        <w:rPr>
          <w:rFonts w:hint="eastAsia" w:asciiTheme="minorEastAsia" w:hAnsiTheme="minorEastAsia" w:eastAsiaTheme="minorEastAsia" w:cstheme="minorEastAsia"/>
          <w:szCs w:val="21"/>
        </w:rPr>
        <w:t>标的供应商</w:t>
      </w:r>
      <w:r>
        <w:rPr>
          <w:rFonts w:hint="eastAsia" w:asciiTheme="minorEastAsia" w:hAnsiTheme="minorEastAsia" w:eastAsiaTheme="minorEastAsia" w:cstheme="minorEastAsia"/>
          <w:color w:val="000000"/>
          <w:szCs w:val="21"/>
        </w:rPr>
        <w:t>密切关注。</w:t>
      </w:r>
    </w:p>
    <w:p>
      <w:pPr>
        <w:pStyle w:val="4"/>
        <w:numPr>
          <w:ilvl w:val="0"/>
          <w:numId w:val="5"/>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37" w:name="_Toc24714"/>
      <w:r>
        <w:rPr>
          <w:rFonts w:hint="eastAsia" w:asciiTheme="minorEastAsia" w:hAnsiTheme="minorEastAsia" w:eastAsiaTheme="minorEastAsia" w:cstheme="minorEastAsia"/>
          <w:sz w:val="21"/>
          <w:szCs w:val="21"/>
        </w:rPr>
        <w:t>注意事项</w:t>
      </w:r>
      <w:bookmarkEnd w:id="37"/>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24</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15142"/>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39" w:name="_Toc23028"/>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szCs w:val="21"/>
                <w:lang w:val="zh-CN"/>
              </w:rPr>
              <w:t>华中农业大学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jc w:val="left"/>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ind w:left="21" w:leftChars="10"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zh-CN" w:eastAsia="zh-CN"/>
              </w:rPr>
            </w:pPr>
            <w:r>
              <w:rPr>
                <w:rFonts w:hint="eastAsia" w:asciiTheme="minorEastAsia" w:hAnsiTheme="minorEastAsia" w:eastAsiaTheme="minorEastAsia" w:cstheme="minorEastAsia"/>
                <w:szCs w:val="21"/>
                <w:lang w:eastAsia="zh-CN"/>
              </w:rPr>
              <w:t>招标代理服务费</w:t>
            </w:r>
          </w:p>
        </w:tc>
        <w:tc>
          <w:tcPr>
            <w:tcW w:w="6130" w:type="dxa"/>
            <w:vAlign w:val="center"/>
          </w:tcPr>
          <w:p>
            <w:pPr>
              <w:autoSpaceDE w:val="0"/>
              <w:autoSpaceDN w:val="0"/>
              <w:adjustRightIn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szCs w:val="21"/>
              </w:rPr>
              <w:t>货物</w:t>
            </w:r>
            <w:r>
              <w:rPr>
                <w:rFonts w:hint="eastAsia" w:asciiTheme="minorEastAsia" w:hAnsiTheme="minorEastAsia" w:eastAsiaTheme="minorEastAsia" w:cstheme="minorEastAsia"/>
                <w:szCs w:val="21"/>
                <w:lang w:val="zh-CN"/>
              </w:rPr>
              <w:t>类取费标准的</w:t>
            </w:r>
            <w:r>
              <w:rPr>
                <w:rFonts w:hint="eastAsia" w:asciiTheme="minorEastAsia" w:hAnsiTheme="minorEastAsia" w:eastAsiaTheme="minorEastAsia" w:cstheme="minorEastAsia"/>
                <w:szCs w:val="21"/>
              </w:rPr>
              <w:t>70%</w:t>
            </w:r>
            <w:r>
              <w:rPr>
                <w:rFonts w:hint="eastAsia" w:asciiTheme="minorEastAsia" w:hAnsiTheme="minorEastAsia" w:eastAsiaTheme="minorEastAsia" w:cstheme="minorEastAsia"/>
                <w:szCs w:val="21"/>
                <w:lang w:val="zh-CN"/>
              </w:rPr>
              <w:t>向采购代理机构支付招标代理服务费</w:t>
            </w:r>
            <w:r>
              <w:rPr>
                <w:rFonts w:hint="eastAsia" w:asciiTheme="minorEastAsia" w:hAnsiTheme="minorEastAsia" w:eastAsiaTheme="minorEastAsia" w:cstheme="minorEastAsia"/>
                <w:szCs w:val="21"/>
              </w:rPr>
              <w:t>。招标代理服务费由成交供应商在领取成交通知书的同时，向采购代理机构支付。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napToGrid w:val="0"/>
                <w:kern w:val="0"/>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lang w:val="en-US" w:eastAsia="zh-CN"/>
              </w:rPr>
              <w:t>包</w:t>
            </w:r>
            <w:r>
              <w:rPr>
                <w:rFonts w:hint="eastAsia" w:asciiTheme="minorEastAsia" w:hAnsiTheme="minorEastAsia" w:eastAsiaTheme="minorEastAsia" w:cstheme="minorEastAsia"/>
                <w:snapToGrid w:val="0"/>
                <w:kern w:val="0"/>
                <w:szCs w:val="21"/>
                <w:lang w:val="zh-CN"/>
              </w:rPr>
              <w:t>采购的规定</w:t>
            </w:r>
          </w:p>
        </w:tc>
        <w:tc>
          <w:tcPr>
            <w:tcW w:w="6130" w:type="dxa"/>
          </w:tcPr>
          <w:p>
            <w:pPr>
              <w:autoSpaceDE w:val="0"/>
              <w:autoSpaceDN w:val="0"/>
              <w:adjustRightInd w:val="0"/>
              <w:rPr>
                <w:rFonts w:hint="eastAsia" w:asciiTheme="minorEastAsia" w:hAnsiTheme="minorEastAsia" w:eastAsiaTheme="minorEastAsia" w:cstheme="minorEastAsia"/>
                <w:szCs w:val="21"/>
                <w:lang w:val="zh-CN" w:eastAsia="zh-CN"/>
              </w:rPr>
            </w:pPr>
            <w:r>
              <w:rPr>
                <w:rFonts w:hint="eastAsia" w:asciiTheme="minorEastAsia" w:hAnsiTheme="minorEastAsia" w:eastAsiaTheme="minorEastAsia" w:cstheme="minorEastAsia"/>
                <w:szCs w:val="21"/>
                <w:lang w:val="zh-CN" w:eastAsia="zh-CN"/>
              </w:rPr>
              <w:t>详见</w:t>
            </w:r>
            <w:r>
              <w:rPr>
                <w:rFonts w:hint="eastAsia" w:asciiTheme="minorEastAsia" w:hAnsiTheme="minorEastAsia" w:eastAsiaTheme="minorEastAsia" w:cstheme="minorEastAsia"/>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本次采购</w:t>
            </w:r>
            <w:r>
              <w:rPr>
                <w:rFonts w:hint="eastAsia" w:asciiTheme="minorEastAsia" w:hAnsiTheme="minorEastAsia" w:eastAsiaTheme="minorEastAsia" w:cstheme="minorEastAsia"/>
                <w:color w:val="auto"/>
                <w:szCs w:val="21"/>
                <w:lang w:val="zh-CN"/>
              </w:rPr>
              <w:t xml:space="preserve">  </w:t>
            </w:r>
            <w:r>
              <w:rPr>
                <w:rFonts w:hint="eastAsia" w:asciiTheme="minorEastAsia" w:hAnsiTheme="minorEastAsia" w:eastAsiaTheme="minorEastAsia" w:cstheme="minorEastAsia"/>
                <w:color w:val="auto"/>
                <w:szCs w:val="21"/>
                <w:u w:val="single"/>
                <w:lang w:val="zh-CN"/>
              </w:rPr>
              <w:t>不接受</w:t>
            </w:r>
            <w:r>
              <w:rPr>
                <w:rFonts w:hint="eastAsia" w:asciiTheme="minorEastAsia" w:hAnsiTheme="minorEastAsia" w:eastAsiaTheme="minorEastAsia" w:cstheme="minorEastAsia"/>
                <w:color w:val="auto"/>
                <w:szCs w:val="21"/>
                <w:lang w:val="zh-CN"/>
              </w:rPr>
              <w:t xml:space="preserve"> 联合</w:t>
            </w:r>
            <w:r>
              <w:rPr>
                <w:rFonts w:hint="eastAsia" w:asciiTheme="minorEastAsia" w:hAnsiTheme="minorEastAsia" w:eastAsiaTheme="minorEastAsia" w:cstheme="minorEastAsia"/>
                <w:szCs w:val="21"/>
                <w:lang w:val="zh-CN"/>
              </w:rPr>
              <w:t>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2"/>
              </w:rPr>
              <w:t>应提交的资格证明文件（实质性要求）</w:t>
            </w:r>
          </w:p>
        </w:tc>
        <w:tc>
          <w:tcPr>
            <w:tcW w:w="6130" w:type="dxa"/>
            <w:vAlign w:val="center"/>
          </w:tcPr>
          <w:p>
            <w:pPr>
              <w:autoSpaceDE w:val="0"/>
              <w:autoSpaceDN w:val="0"/>
              <w:adjustRightInd w:val="0"/>
              <w:spacing w:line="240" w:lineRule="auto"/>
              <w:jc w:val="left"/>
              <w:rPr>
                <w:rFonts w:ascii="宋体" w:hAnsi="宋体" w:eastAsia="宋体" w:cs="宋体"/>
                <w:sz w:val="21"/>
                <w:szCs w:val="21"/>
              </w:rPr>
            </w:pPr>
            <w:r>
              <w:rPr>
                <w:rFonts w:ascii="宋体" w:hAnsi="宋体" w:eastAsia="宋体" w:cs="宋体"/>
                <w:sz w:val="21"/>
                <w:szCs w:val="21"/>
              </w:rPr>
              <w:t>详见第一章《竞争性磋商采购公告》第二款“资格要求”，须提供的证明文件包括但不限于： </w:t>
            </w:r>
            <w:r>
              <w:rPr>
                <w:rFonts w:ascii="宋体" w:hAnsi="宋体" w:eastAsia="宋体" w:cs="宋体"/>
                <w:sz w:val="21"/>
                <w:szCs w:val="21"/>
              </w:rPr>
              <w:br w:type="textWrapping"/>
            </w:r>
            <w:r>
              <w:rPr>
                <w:rFonts w:ascii="宋体" w:hAnsi="宋体" w:eastAsia="宋体" w:cs="宋体"/>
                <w:sz w:val="21"/>
                <w:szCs w:val="21"/>
              </w:rPr>
              <w:t>1、具有独立承担民事责任的能力；</w:t>
            </w:r>
            <w:r>
              <w:rPr>
                <w:rFonts w:ascii="宋体" w:hAnsi="宋体" w:eastAsia="宋体" w:cs="宋体"/>
                <w:sz w:val="21"/>
                <w:szCs w:val="21"/>
              </w:rPr>
              <w:br w:type="textWrapping"/>
            </w:r>
            <w:r>
              <w:rPr>
                <w:rFonts w:ascii="宋体" w:hAnsi="宋体" w:eastAsia="宋体" w:cs="宋体"/>
                <w:sz w:val="21"/>
                <w:szCs w:val="21"/>
              </w:rPr>
              <w:t>营业执照等证明文件或自然人的身份证明（如</w:t>
            </w:r>
            <w:r>
              <w:rPr>
                <w:rFonts w:hint="eastAsia" w:ascii="宋体" w:hAnsi="宋体" w:eastAsia="宋体" w:cs="宋体"/>
                <w:sz w:val="21"/>
                <w:szCs w:val="21"/>
                <w:lang w:eastAsia="zh-CN"/>
              </w:rPr>
              <w:t>供应商</w:t>
            </w:r>
            <w:r>
              <w:rPr>
                <w:rFonts w:ascii="宋体" w:hAnsi="宋体" w:eastAsia="宋体" w:cs="宋体"/>
                <w:sz w:val="21"/>
                <w:szCs w:val="21"/>
              </w:rPr>
              <w:t>是企业 （包括合伙企业），应提供在工商部门注册的有效“企业法人营业执照”或“营业执照”；如</w:t>
            </w:r>
            <w:r>
              <w:rPr>
                <w:rFonts w:hint="eastAsia" w:ascii="宋体" w:hAnsi="宋体" w:eastAsia="宋体" w:cs="宋体"/>
                <w:sz w:val="21"/>
                <w:szCs w:val="21"/>
                <w:lang w:eastAsia="zh-CN"/>
              </w:rPr>
              <w:t>供应商</w:t>
            </w:r>
            <w:r>
              <w:rPr>
                <w:rFonts w:ascii="宋体" w:hAnsi="宋体" w:eastAsia="宋体" w:cs="宋体"/>
                <w:sz w:val="21"/>
                <w:szCs w:val="21"/>
              </w:rPr>
              <w:t>是事业单位，应提供有效的“事业单位法人证书”；</w:t>
            </w:r>
            <w:r>
              <w:rPr>
                <w:rFonts w:hint="eastAsia" w:ascii="宋体" w:hAnsi="宋体" w:eastAsia="宋体" w:cs="宋体"/>
                <w:sz w:val="21"/>
                <w:szCs w:val="21"/>
                <w:lang w:eastAsia="zh-CN"/>
              </w:rPr>
              <w:t>供应商</w:t>
            </w:r>
            <w:r>
              <w:rPr>
                <w:rFonts w:ascii="宋体" w:hAnsi="宋体" w:eastAsia="宋体" w:cs="宋体"/>
                <w:sz w:val="21"/>
                <w:szCs w:val="21"/>
              </w:rPr>
              <w:t>是非企业专业服务机构的，应提供执业许可证等证明文件；如</w:t>
            </w:r>
            <w:r>
              <w:rPr>
                <w:rFonts w:hint="eastAsia" w:ascii="宋体" w:hAnsi="宋体" w:eastAsia="宋体" w:cs="宋体"/>
                <w:sz w:val="21"/>
                <w:szCs w:val="21"/>
                <w:lang w:eastAsia="zh-CN"/>
              </w:rPr>
              <w:t>供应商</w:t>
            </w:r>
            <w:r>
              <w:rPr>
                <w:rFonts w:ascii="宋体" w:hAnsi="宋体" w:eastAsia="宋体" w:cs="宋体"/>
                <w:sz w:val="21"/>
                <w:szCs w:val="21"/>
              </w:rPr>
              <w:t>是个体工商户，应提供有效的“个体工商户营业执照”；如</w:t>
            </w:r>
            <w:r>
              <w:rPr>
                <w:rFonts w:hint="eastAsia" w:ascii="宋体" w:hAnsi="宋体" w:eastAsia="宋体" w:cs="宋体"/>
                <w:sz w:val="21"/>
                <w:szCs w:val="21"/>
                <w:lang w:eastAsia="zh-CN"/>
              </w:rPr>
              <w:t>供应商</w:t>
            </w:r>
            <w:r>
              <w:rPr>
                <w:rFonts w:ascii="宋体" w:hAnsi="宋体" w:eastAsia="宋体" w:cs="宋体"/>
                <w:sz w:val="21"/>
                <w:szCs w:val="21"/>
              </w:rPr>
              <w:t>是自然人，应提供有效的自然人身份证明）。</w:t>
            </w:r>
            <w:r>
              <w:rPr>
                <w:rFonts w:ascii="宋体" w:hAnsi="宋体" w:eastAsia="宋体" w:cs="宋体"/>
                <w:sz w:val="21"/>
                <w:szCs w:val="21"/>
              </w:rPr>
              <w:br w:type="textWrapping"/>
            </w:r>
            <w:r>
              <w:rPr>
                <w:rFonts w:ascii="宋体" w:hAnsi="宋体" w:eastAsia="宋体" w:cs="宋体"/>
                <w:sz w:val="21"/>
                <w:szCs w:val="21"/>
              </w:rPr>
              <w:t>2、具有良好的商业信誉和健全的财务会计制度；</w:t>
            </w:r>
            <w:r>
              <w:rPr>
                <w:rFonts w:ascii="宋体" w:hAnsi="宋体" w:eastAsia="宋体" w:cs="宋体"/>
                <w:sz w:val="21"/>
                <w:szCs w:val="21"/>
              </w:rPr>
              <w:br w:type="textWrapping"/>
            </w:r>
            <w:r>
              <w:rPr>
                <w:rFonts w:ascii="宋体" w:hAnsi="宋体" w:eastAsia="宋体" w:cs="宋体"/>
                <w:sz w:val="21"/>
                <w:szCs w:val="21"/>
              </w:rPr>
              <w:t>良好的商业信誉证明材料（自拟），财务状况报告（</w:t>
            </w:r>
            <w:r>
              <w:rPr>
                <w:rFonts w:hint="eastAsia" w:ascii="宋体" w:hAnsi="宋体" w:eastAsia="宋体" w:cs="宋体"/>
                <w:sz w:val="21"/>
                <w:szCs w:val="21"/>
                <w:lang w:eastAsia="zh-CN"/>
              </w:rPr>
              <w:t>供应商</w:t>
            </w:r>
            <w:r>
              <w:rPr>
                <w:rFonts w:ascii="宋体" w:hAnsi="宋体" w:eastAsia="宋体" w:cs="宋体"/>
                <w:sz w:val="21"/>
                <w:szCs w:val="21"/>
              </w:rPr>
              <w:t>是法人的，应提供近前一年度经审计的财务报告，或其基本开户银行出具的资信证明（银行资信证明应能说明该</w:t>
            </w:r>
            <w:r>
              <w:rPr>
                <w:rFonts w:hint="eastAsia" w:ascii="宋体" w:hAnsi="宋体" w:eastAsia="宋体" w:cs="宋体"/>
                <w:sz w:val="21"/>
                <w:szCs w:val="21"/>
                <w:lang w:eastAsia="zh-CN"/>
              </w:rPr>
              <w:t>供应商</w:t>
            </w:r>
            <w:r>
              <w:rPr>
                <w:rFonts w:ascii="宋体" w:hAnsi="宋体" w:eastAsia="宋体" w:cs="宋体"/>
                <w:sz w:val="21"/>
                <w:szCs w:val="21"/>
              </w:rPr>
              <w:t>与银行之间业务往来正常，企业信誉良好等。银行出具的单纯的存款证明不能视作银行资信证明。下同），其他组织和自然人，没有经审计的财务报告，提供银行出具的资信证明。由财政部门认可的政府采购专业担保机构对</w:t>
            </w:r>
            <w:r>
              <w:rPr>
                <w:rFonts w:hint="eastAsia" w:ascii="宋体" w:hAnsi="宋体" w:eastAsia="宋体" w:cs="宋体"/>
                <w:sz w:val="21"/>
                <w:szCs w:val="21"/>
                <w:lang w:eastAsia="zh-CN"/>
              </w:rPr>
              <w:t>供应商</w:t>
            </w:r>
            <w:r>
              <w:rPr>
                <w:rFonts w:ascii="宋体" w:hAnsi="宋体" w:eastAsia="宋体" w:cs="宋体"/>
                <w:sz w:val="21"/>
                <w:szCs w:val="21"/>
              </w:rPr>
              <w:t>进行资信审查后出具投标担保函的，可以不用提供经审计的财务报告和银行资信证明文件。） </w:t>
            </w:r>
            <w:r>
              <w:rPr>
                <w:rFonts w:ascii="宋体" w:hAnsi="宋体" w:eastAsia="宋体" w:cs="宋体"/>
                <w:sz w:val="21"/>
                <w:szCs w:val="21"/>
              </w:rPr>
              <w:br w:type="textWrapping"/>
            </w:r>
            <w:r>
              <w:rPr>
                <w:rFonts w:ascii="宋体" w:hAnsi="宋体" w:eastAsia="宋体" w:cs="宋体"/>
                <w:sz w:val="21"/>
                <w:szCs w:val="21"/>
              </w:rPr>
              <w:t>3、具有履行合同所必需的设备和专业技术能力的证明材料；（自拟）</w:t>
            </w:r>
            <w:r>
              <w:rPr>
                <w:rFonts w:ascii="宋体" w:hAnsi="宋体" w:eastAsia="宋体" w:cs="宋体"/>
                <w:sz w:val="21"/>
                <w:szCs w:val="21"/>
              </w:rPr>
              <w:br w:type="textWrapping"/>
            </w:r>
            <w:r>
              <w:rPr>
                <w:rFonts w:ascii="宋体" w:hAnsi="宋体" w:eastAsia="宋体" w:cs="宋体"/>
                <w:sz w:val="21"/>
                <w:szCs w:val="21"/>
              </w:rPr>
              <w:t>4、具有依法缴纳税收和社会保障资金的良好记录：（1）</w:t>
            </w:r>
            <w:r>
              <w:rPr>
                <w:rFonts w:hint="eastAsia" w:ascii="宋体" w:hAnsi="宋体" w:eastAsia="宋体" w:cs="宋体"/>
                <w:sz w:val="21"/>
                <w:szCs w:val="21"/>
                <w:lang w:eastAsia="zh-CN"/>
              </w:rPr>
              <w:t>供应商</w:t>
            </w:r>
            <w:r>
              <w:rPr>
                <w:rFonts w:ascii="宋体" w:hAnsi="宋体" w:eastAsia="宋体" w:cs="宋体"/>
                <w:sz w:val="21"/>
                <w:szCs w:val="21"/>
              </w:rPr>
              <w:t>依法缴纳税收的证明材料：竞标截止时间前一段时间（至少提供一个月）缴纳税收的凭据（完税证明、缴款书、银行代扣（代缴）转账凭证等均可）；（2）</w:t>
            </w:r>
            <w:r>
              <w:rPr>
                <w:rFonts w:hint="eastAsia" w:ascii="宋体" w:hAnsi="宋体" w:eastAsia="宋体" w:cs="宋体"/>
                <w:sz w:val="21"/>
                <w:szCs w:val="21"/>
                <w:lang w:eastAsia="zh-CN"/>
              </w:rPr>
              <w:t>供应商</w:t>
            </w:r>
            <w:r>
              <w:rPr>
                <w:rFonts w:ascii="宋体" w:hAnsi="宋体" w:eastAsia="宋体" w:cs="宋体"/>
                <w:sz w:val="21"/>
                <w:szCs w:val="21"/>
              </w:rPr>
              <w:t>依法缴纳社会保障资金的证明材料：竞标截止时间前一段时间（至少提供一个月）缴纳社会保险的凭据（专用发票或社会保险缴纳清单或转账凭证等均可）；（3）</w:t>
            </w:r>
            <w:r>
              <w:rPr>
                <w:rFonts w:hint="eastAsia" w:ascii="宋体" w:hAnsi="宋体" w:eastAsia="宋体" w:cs="宋体"/>
                <w:sz w:val="21"/>
                <w:szCs w:val="21"/>
                <w:lang w:eastAsia="zh-CN"/>
              </w:rPr>
              <w:t>供应商</w:t>
            </w:r>
            <w:r>
              <w:rPr>
                <w:rFonts w:ascii="宋体" w:hAnsi="宋体" w:eastAsia="宋体" w:cs="宋体"/>
                <w:sz w:val="21"/>
                <w:szCs w:val="21"/>
              </w:rPr>
              <w:t>为其他组织或自然人的，也需要按此项规定提供缴纳税收的凭据和缴纳社会保险的凭据；（4）递交</w:t>
            </w:r>
            <w:r>
              <w:rPr>
                <w:rFonts w:hint="eastAsia" w:ascii="宋体" w:hAnsi="宋体" w:eastAsia="宋体" w:cs="宋体"/>
                <w:sz w:val="21"/>
                <w:szCs w:val="21"/>
                <w:lang w:eastAsia="zh-CN"/>
              </w:rPr>
              <w:t>响应文件</w:t>
            </w:r>
            <w:r>
              <w:rPr>
                <w:rFonts w:ascii="宋体" w:hAnsi="宋体" w:eastAsia="宋体" w:cs="宋体"/>
                <w:sz w:val="21"/>
                <w:szCs w:val="21"/>
              </w:rPr>
              <w:t>截止时间的当月成立但因税务机关原因导致其尚未依法缴纳税收的</w:t>
            </w:r>
            <w:r>
              <w:rPr>
                <w:rFonts w:hint="eastAsia" w:ascii="宋体" w:hAnsi="宋体" w:eastAsia="宋体" w:cs="宋体"/>
                <w:sz w:val="21"/>
                <w:szCs w:val="21"/>
                <w:lang w:eastAsia="zh-CN"/>
              </w:rPr>
              <w:t>供应商</w:t>
            </w:r>
            <w:r>
              <w:rPr>
                <w:rFonts w:ascii="宋体" w:hAnsi="宋体" w:eastAsia="宋体" w:cs="宋体"/>
                <w:sz w:val="21"/>
                <w:szCs w:val="21"/>
              </w:rPr>
              <w:t>，提供依法缴纳税收承诺书原件（格式自拟），该承诺书视同税收缴纳凭据。（5）递交</w:t>
            </w:r>
            <w:r>
              <w:rPr>
                <w:rFonts w:hint="eastAsia" w:ascii="宋体" w:hAnsi="宋体" w:eastAsia="宋体" w:cs="宋体"/>
                <w:sz w:val="21"/>
                <w:szCs w:val="21"/>
                <w:lang w:eastAsia="zh-CN"/>
              </w:rPr>
              <w:t>响应文件</w:t>
            </w:r>
            <w:r>
              <w:rPr>
                <w:rFonts w:ascii="宋体" w:hAnsi="宋体" w:eastAsia="宋体" w:cs="宋体"/>
                <w:sz w:val="21"/>
                <w:szCs w:val="21"/>
              </w:rPr>
              <w:t>截止时间的当月成立但因社会保障资金管理机关原因导致其尚未依法缴纳社会保障资金的</w:t>
            </w:r>
            <w:r>
              <w:rPr>
                <w:rFonts w:hint="eastAsia" w:ascii="宋体" w:hAnsi="宋体" w:eastAsia="宋体" w:cs="宋体"/>
                <w:sz w:val="21"/>
                <w:szCs w:val="21"/>
                <w:lang w:eastAsia="zh-CN"/>
              </w:rPr>
              <w:t>供应商</w:t>
            </w:r>
            <w:r>
              <w:rPr>
                <w:rFonts w:ascii="宋体" w:hAnsi="宋体" w:eastAsia="宋体" w:cs="宋体"/>
                <w:sz w:val="21"/>
                <w:szCs w:val="21"/>
              </w:rPr>
              <w:t>，提供依法缴纳社会保障资金承诺书原件（格式自拟），该承诺书视同社会保险凭据。（6）依法免税或不需要缴纳社会保障资金的</w:t>
            </w:r>
            <w:r>
              <w:rPr>
                <w:rFonts w:hint="eastAsia" w:ascii="宋体" w:hAnsi="宋体" w:eastAsia="宋体" w:cs="宋体"/>
                <w:sz w:val="21"/>
                <w:szCs w:val="21"/>
                <w:lang w:eastAsia="zh-CN"/>
              </w:rPr>
              <w:t>供应商</w:t>
            </w:r>
            <w:r>
              <w:rPr>
                <w:rFonts w:ascii="宋体" w:hAnsi="宋体" w:eastAsia="宋体" w:cs="宋体"/>
                <w:sz w:val="21"/>
                <w:szCs w:val="21"/>
              </w:rPr>
              <w:t>，应提供相应文件证明其依法免税或不需要缴纳社会保障资金。 </w:t>
            </w:r>
            <w:r>
              <w:rPr>
                <w:rFonts w:ascii="宋体" w:hAnsi="宋体" w:eastAsia="宋体" w:cs="宋体"/>
                <w:sz w:val="21"/>
                <w:szCs w:val="21"/>
              </w:rPr>
              <w:br w:type="textWrapping"/>
            </w:r>
            <w:r>
              <w:rPr>
                <w:rFonts w:ascii="宋体" w:hAnsi="宋体" w:eastAsia="宋体" w:cs="宋体"/>
                <w:sz w:val="21"/>
                <w:szCs w:val="21"/>
              </w:rPr>
              <w:t>5、参加政府采购活动前三年内（不足3年按公司成立时间起算），在经营活动中没有重大违法记录（提供书面声明，格式见</w:t>
            </w:r>
            <w:r>
              <w:rPr>
                <w:rFonts w:hint="eastAsia" w:ascii="宋体" w:hAnsi="宋体" w:eastAsia="宋体" w:cs="宋体"/>
                <w:sz w:val="21"/>
                <w:szCs w:val="21"/>
                <w:lang w:eastAsia="zh-CN"/>
              </w:rPr>
              <w:t>磋商文件</w:t>
            </w:r>
            <w:r>
              <w:rPr>
                <w:rFonts w:ascii="宋体" w:hAnsi="宋体" w:eastAsia="宋体" w:cs="宋体"/>
                <w:sz w:val="21"/>
                <w:szCs w:val="21"/>
              </w:rPr>
              <w:t>第六章）；</w:t>
            </w:r>
          </w:p>
          <w:p>
            <w:pPr>
              <w:autoSpaceDE w:val="0"/>
              <w:autoSpaceDN w:val="0"/>
              <w:adjustRightInd w:val="0"/>
              <w:spacing w:line="240" w:lineRule="auto"/>
              <w:jc w:val="left"/>
              <w:rPr>
                <w:rFonts w:hint="eastAsia" w:ascii="宋体" w:hAnsi="宋体" w:eastAsia="宋体" w:cs="宋体"/>
                <w:b/>
                <w:bCs/>
                <w:sz w:val="21"/>
                <w:szCs w:val="21"/>
                <w:lang w:val="zh-CN"/>
              </w:rPr>
            </w:pPr>
            <w:r>
              <w:rPr>
                <w:rFonts w:hint="eastAsia" w:ascii="宋体" w:hAnsi="宋体" w:eastAsia="宋体" w:cs="宋体"/>
                <w:b/>
                <w:bCs/>
                <w:sz w:val="21"/>
                <w:szCs w:val="21"/>
                <w:lang w:val="zh-CN"/>
              </w:rPr>
              <w:t xml:space="preserve">6、符合本文件第一章第二款资格要求的所有证明资料。 </w:t>
            </w:r>
          </w:p>
          <w:p>
            <w:pPr>
              <w:rPr>
                <w:rFonts w:hint="eastAsia" w:asciiTheme="minorEastAsia" w:hAnsiTheme="minorEastAsia" w:eastAsiaTheme="minorEastAsia" w:cstheme="minorEastAsia"/>
                <w:color w:val="FF0000"/>
                <w:szCs w:val="21"/>
                <w:lang w:val="zh-CN"/>
              </w:rPr>
            </w:pPr>
            <w:r>
              <w:rPr>
                <w:rFonts w:hint="eastAsia" w:ascii="宋体" w:hAnsi="宋体" w:eastAsia="宋体" w:cs="宋体"/>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14.4</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供应商不得存在的其他情形</w:t>
            </w:r>
          </w:p>
        </w:tc>
        <w:tc>
          <w:tcPr>
            <w:tcW w:w="6130" w:type="dxa"/>
            <w:vAlign w:val="center"/>
          </w:tcPr>
          <w:p>
            <w:pPr>
              <w:numPr>
                <w:ilvl w:val="0"/>
                <w:numId w:val="8"/>
              </w:numPr>
              <w:rPr>
                <w:rFonts w:hint="eastAsia"/>
              </w:rPr>
            </w:pPr>
            <w:r>
              <w:rPr>
                <w:rFonts w:hint="eastAsia"/>
              </w:rPr>
              <w:t>与采购人存在利害关系可能影响</w:t>
            </w:r>
            <w:r>
              <w:rPr>
                <w:rFonts w:hint="eastAsia"/>
                <w:lang w:val="en-US" w:eastAsia="zh-CN"/>
              </w:rPr>
              <w:t>采购</w:t>
            </w:r>
            <w:r>
              <w:rPr>
                <w:rFonts w:hint="eastAsia"/>
              </w:rPr>
              <w:t>公正性的法人、其他组织或者个人，不得参与本项目；单位负责人为同一人或存在控股、管理关系的不同单位只能有一家单位报名(按在采购代理机构处获取文件登记的先后顺序)。</w:t>
            </w:r>
          </w:p>
          <w:p>
            <w:pPr>
              <w:numPr>
                <w:ilvl w:val="0"/>
                <w:numId w:val="8"/>
              </w:numPr>
              <w:rPr>
                <w:rFonts w:hint="eastAsia"/>
                <w:lang w:val="en-US" w:eastAsia="zh-CN"/>
              </w:rPr>
            </w:pPr>
            <w:r>
              <w:rPr>
                <w:rFonts w:hint="eastAsia"/>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numPr>
                <w:ilvl w:val="0"/>
                <w:numId w:val="0"/>
              </w:numPr>
              <w:rPr>
                <w:rFonts w:hint="eastAsia"/>
              </w:rPr>
            </w:pPr>
            <w:r>
              <w:rPr>
                <w:rFonts w:hint="eastAsia"/>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eastAsia="zh-CN"/>
              </w:rPr>
              <w:t>人民币</w:t>
            </w:r>
            <w:r>
              <w:rPr>
                <w:rFonts w:hint="eastAsia" w:asciiTheme="minorEastAsia" w:hAnsiTheme="minorEastAsia" w:eastAsiaTheme="minorEastAsia" w:cstheme="minorEastAsia"/>
                <w:color w:val="auto"/>
                <w:sz w:val="21"/>
                <w:szCs w:val="21"/>
                <w:lang w:val="en-US" w:eastAsia="zh-CN"/>
              </w:rPr>
              <w:t>壹万</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1000</w:t>
            </w:r>
            <w:r>
              <w:rPr>
                <w:rFonts w:hint="eastAsia" w:asciiTheme="minorEastAsia" w:hAnsiTheme="minorEastAsia" w:eastAsiaTheme="minorEastAsia" w:cstheme="minorEastAsia"/>
                <w:color w:val="auto"/>
                <w:sz w:val="21"/>
                <w:szCs w:val="21"/>
              </w:rPr>
              <w:t xml:space="preserve">0.00元) </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w:t>
            </w:r>
            <w:r>
              <w:rPr>
                <w:rFonts w:hint="eastAsia" w:asciiTheme="minorEastAsia" w:hAnsiTheme="minorEastAsia" w:eastAsiaTheme="minorEastAsia" w:cstheme="minorEastAsia"/>
                <w:sz w:val="21"/>
                <w:szCs w:val="21"/>
                <w:lang w:eastAsia="zh-CN"/>
              </w:rPr>
              <w:t>，以采购代理公司银行到账信息为准。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rPr>
              <w:t>WORD格式</w:t>
            </w:r>
            <w:r>
              <w:rPr>
                <w:rFonts w:hint="eastAsia" w:asciiTheme="minorEastAsia" w:hAnsiTheme="minorEastAsia" w:eastAsiaTheme="minorEastAsia" w:cstheme="minorEastAsia"/>
                <w:color w:val="auto"/>
                <w:sz w:val="21"/>
                <w:szCs w:val="21"/>
                <w:u w:val="single"/>
                <w:lang w:val="en-US" w:eastAsia="zh-CN"/>
              </w:rPr>
              <w:t>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lang w:val="en-US" w:eastAsia="zh-CN"/>
              </w:rPr>
              <w:t>不满足要求做废标处理；</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样品（本项目不适用）</w:t>
            </w:r>
          </w:p>
        </w:tc>
        <w:tc>
          <w:tcPr>
            <w:tcW w:w="6130" w:type="dxa"/>
            <w:vAlign w:val="center"/>
          </w:tcPr>
          <w:p>
            <w:pPr>
              <w:autoSpaceDE w:val="0"/>
              <w:autoSpaceDN w:val="0"/>
              <w:adjustRightInd w:val="0"/>
              <w:rPr>
                <w:rFonts w:hint="eastAsia"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color w:val="auto"/>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Cs w:val="21"/>
                <w:lang w:val="zh-CN"/>
              </w:rPr>
              <w:br w:type="textWrapping"/>
            </w:r>
            <w:r>
              <w:rPr>
                <w:rFonts w:hint="eastAsia" w:asciiTheme="minorEastAsia" w:hAnsiTheme="minorEastAsia" w:eastAsiaTheme="minorEastAsia" w:cstheme="minorEastAsia"/>
                <w:color w:val="auto"/>
                <w:kern w:val="0"/>
                <w:szCs w:val="21"/>
                <w:lang w:val="zh-CN"/>
              </w:rPr>
              <w:t>退还样品的相关规定：</w:t>
            </w:r>
            <w:r>
              <w:rPr>
                <w:rFonts w:hint="eastAsia" w:asciiTheme="minorEastAsia" w:hAnsiTheme="minorEastAsia" w:eastAsiaTheme="minorEastAsia" w:cstheme="minorEastAsia"/>
                <w:color w:val="auto"/>
                <w:kern w:val="0"/>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bCs/>
                <w:snapToGrid w:val="0"/>
                <w:kern w:val="0"/>
                <w:szCs w:val="21"/>
                <w:lang w:val="en-US" w:eastAsia="zh-CN"/>
              </w:rPr>
            </w:pPr>
            <w:r>
              <w:rPr>
                <w:rFonts w:hint="eastAsia" w:asciiTheme="minorEastAsia" w:hAnsiTheme="minorEastAsia" w:eastAsiaTheme="minorEastAsia" w:cstheme="minorEastAsia"/>
                <w:b/>
                <w:bCs/>
                <w:snapToGrid w:val="0"/>
                <w:kern w:val="0"/>
                <w:szCs w:val="21"/>
                <w:lang w:val="en-US" w:eastAsia="zh-CN"/>
              </w:rPr>
              <w:t>磋商代表</w:t>
            </w:r>
          </w:p>
        </w:tc>
        <w:tc>
          <w:tcPr>
            <w:tcW w:w="6130" w:type="dxa"/>
            <w:vAlign w:val="center"/>
          </w:tcPr>
          <w:p>
            <w:pPr>
              <w:autoSpaceDE w:val="0"/>
              <w:autoSpaceDN w:val="0"/>
              <w:adjustRightInd w:val="0"/>
              <w:jc w:val="left"/>
              <w:rPr>
                <w:rFonts w:hint="eastAsia"/>
                <w:b/>
                <w:bCs/>
                <w:lang w:val="en-US" w:eastAsia="zh-CN"/>
              </w:rPr>
            </w:pPr>
            <w:r>
              <w:rPr>
                <w:rFonts w:hint="eastAsia"/>
                <w:b/>
                <w:bCs/>
                <w:lang w:val="zh-CN" w:eastAsia="zh-CN"/>
              </w:rPr>
              <w:t>建议供应商拟派出席磋商会议的磋商代表为熟知本项目的技术人员或商务负责人等能</w:t>
            </w:r>
            <w:r>
              <w:rPr>
                <w:rFonts w:hint="eastAsia"/>
                <w:b/>
                <w:bCs/>
                <w:lang w:val="en-US" w:eastAsia="zh-CN"/>
              </w:rPr>
              <w:t>为磋商小组详细介绍供应商公司实际情况的</w:t>
            </w:r>
          </w:p>
          <w:p>
            <w:pPr>
              <w:autoSpaceDE w:val="0"/>
              <w:autoSpaceDN w:val="0"/>
              <w:adjustRightInd w:val="0"/>
              <w:jc w:val="left"/>
              <w:rPr>
                <w:rFonts w:hint="eastAsia"/>
                <w:b/>
                <w:bCs/>
                <w:lang w:val="zh-CN"/>
              </w:rPr>
            </w:pPr>
            <w:r>
              <w:rPr>
                <w:rFonts w:hint="eastAsia"/>
                <w:b/>
                <w:bCs/>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lang w:val="en-US" w:eastAsia="zh-CN"/>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lang w:val="en-US" w:eastAsia="zh-CN"/>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lang w:val="en-US" w:eastAsia="zh-CN"/>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lang w:val="en-US" w:eastAsia="zh-CN"/>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lang w:val="en-US" w:eastAsia="zh-CN"/>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lang w:val="en-US" w:eastAsia="zh-CN"/>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w:t>
            </w:r>
            <w:r>
              <w:rPr>
                <w:rFonts w:hint="eastAsia" w:asciiTheme="minorEastAsia" w:hAnsiTheme="minorEastAsia" w:eastAsiaTheme="minorEastAsia" w:cstheme="minorEastAsia"/>
                <w:bCs/>
                <w:kern w:val="44"/>
                <w:szCs w:val="21"/>
                <w:lang w:val="en-US" w:eastAsia="zh-CN"/>
              </w:rPr>
              <w:t>联系采购代理机构</w:t>
            </w:r>
            <w:r>
              <w:rPr>
                <w:rFonts w:hint="eastAsia" w:asciiTheme="minorEastAsia" w:hAnsiTheme="minorEastAsia" w:eastAsiaTheme="minorEastAsia" w:cstheme="minorEastAsia"/>
                <w:bCs/>
                <w:kern w:val="44"/>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hint="eastAsia"/>
                <w:color w:val="auto"/>
                <w:lang w:val="zh-CN"/>
              </w:rPr>
            </w:pPr>
            <w:r>
              <w:rPr>
                <w:rFonts w:hint="eastAsia"/>
                <w:color w:val="auto"/>
                <w:lang w:val="zh-CN"/>
              </w:rPr>
              <w:t>本项目竞标报价为“交钥匙”价。竞标报价应包括完成该项目的全部相关货款、货物</w:t>
            </w:r>
            <w:r>
              <w:rPr>
                <w:rFonts w:hint="eastAsia"/>
                <w:color w:val="auto"/>
                <w:lang w:val="en-US" w:eastAsia="zh-CN"/>
              </w:rPr>
              <w:t>本身</w:t>
            </w:r>
            <w:r>
              <w:rPr>
                <w:rFonts w:hint="eastAsia"/>
                <w:color w:val="auto"/>
                <w:lang w:val="zh-CN"/>
              </w:rPr>
              <w:t>、外贸代理费、检、报关清关、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hint="eastAsia"/>
                <w:color w:val="auto"/>
                <w:lang w:val="zh-CN"/>
              </w:rPr>
            </w:pPr>
            <w:r>
              <w:rPr>
                <w:rFonts w:hint="eastAsia"/>
                <w:color w:val="auto"/>
                <w:lang w:val="zh-CN"/>
              </w:rPr>
              <w:t>各供应商按此要求进行报价，同时在合同实施过程中还将发生的其它费用</w:t>
            </w:r>
            <w:r>
              <w:rPr>
                <w:rFonts w:hint="eastAsia"/>
                <w:color w:val="auto"/>
                <w:lang w:val="en-US" w:eastAsia="zh-CN"/>
              </w:rPr>
              <w:t>也</w:t>
            </w:r>
            <w:r>
              <w:rPr>
                <w:rFonts w:hint="eastAsia"/>
                <w:color w:val="auto"/>
                <w:lang w:val="zh-CN"/>
              </w:rPr>
              <w:t>应包含在总价中，对在合同实施过程中可能发生的其它费用（如：贸易摩擦导致的惩罚性关税、增加耗材、材料涨价、人工、运输成本增加等因素），</w:t>
            </w:r>
            <w:r>
              <w:rPr>
                <w:rFonts w:hint="eastAsia"/>
                <w:color w:val="auto"/>
                <w:lang w:val="en-US" w:eastAsia="zh-CN"/>
              </w:rPr>
              <w:t>采购人</w:t>
            </w:r>
            <w:r>
              <w:rPr>
                <w:rFonts w:hint="eastAsia"/>
                <w:color w:val="auto"/>
                <w:lang w:val="zh-CN"/>
              </w:rPr>
              <w:t>概不负责。</w:t>
            </w:r>
          </w:p>
          <w:p>
            <w:pPr>
              <w:autoSpaceDE w:val="0"/>
              <w:autoSpaceDN w:val="0"/>
              <w:adjustRightInd w:val="0"/>
              <w:snapToGrid w:val="0"/>
              <w:spacing w:before="31" w:beforeLines="10" w:after="31" w:afterLines="10"/>
              <w:ind w:right="21" w:rightChars="10"/>
              <w:jc w:val="left"/>
              <w:rPr>
                <w:rFonts w:hint="eastAsia"/>
                <w:color w:val="auto"/>
              </w:rPr>
            </w:pPr>
            <w:r>
              <w:rPr>
                <w:rFonts w:hint="eastAsia"/>
                <w:color w:val="auto"/>
                <w:lang w:val="zh-CN"/>
              </w:rPr>
              <w:t>对于</w:t>
            </w:r>
            <w:r>
              <w:rPr>
                <w:rFonts w:hint="eastAsia"/>
                <w:color w:val="auto"/>
                <w:lang w:val="en-US" w:eastAsia="zh-CN"/>
              </w:rPr>
              <w:t>磋商</w:t>
            </w:r>
            <w:r>
              <w:rPr>
                <w:rFonts w:hint="eastAsia"/>
                <w:color w:val="auto"/>
                <w:lang w:val="zh-CN"/>
              </w:rPr>
              <w:t>文件未列明，而</w:t>
            </w:r>
            <w:r>
              <w:rPr>
                <w:rFonts w:hint="eastAsia"/>
                <w:color w:val="auto"/>
                <w:lang w:val="en-US" w:eastAsia="zh-CN"/>
              </w:rPr>
              <w:t>磋商</w:t>
            </w:r>
            <w:r>
              <w:rPr>
                <w:rFonts w:hint="eastAsia"/>
                <w:color w:val="auto"/>
                <w:lang w:val="zh-CN"/>
              </w:rPr>
              <w:t>供应商认为</w:t>
            </w:r>
            <w:r>
              <w:rPr>
                <w:rFonts w:hint="eastAsia"/>
                <w:color w:val="auto"/>
                <w:lang w:val="en-US" w:eastAsia="zh-CN"/>
              </w:rPr>
              <w:t>必须</w:t>
            </w:r>
            <w:r>
              <w:rPr>
                <w:rFonts w:hint="eastAsia"/>
                <w:color w:val="auto"/>
                <w:lang w:val="zh-CN"/>
              </w:rPr>
              <w:t>的费用也需列入总报价。在合同实施时，采购人将不予支付</w:t>
            </w:r>
            <w:r>
              <w:rPr>
                <w:rFonts w:hint="eastAsia"/>
                <w:color w:val="auto"/>
                <w:lang w:val="en-US" w:eastAsia="zh-CN"/>
              </w:rPr>
              <w:t>成交</w:t>
            </w:r>
            <w:r>
              <w:rPr>
                <w:rFonts w:hint="eastAsia"/>
                <w:color w:val="auto"/>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核心产品</w:t>
            </w:r>
          </w:p>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（本项目不适用）</w:t>
            </w:r>
          </w:p>
        </w:tc>
        <w:tc>
          <w:tcPr>
            <w:tcW w:w="6130" w:type="dxa"/>
            <w:vAlign w:val="center"/>
          </w:tcPr>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本项目核心产品：</w:t>
            </w:r>
            <w:r>
              <w:rPr>
                <w:rFonts w:hint="eastAsia" w:asciiTheme="minorEastAsia" w:hAnsiTheme="minorEastAsia" w:eastAsiaTheme="minorEastAsia" w:cstheme="minorEastAsia"/>
                <w:color w:val="auto"/>
                <w:u w:val="single"/>
              </w:rPr>
              <w:t>/</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1.提供相同品牌产品且通过资格审查、符合性审查的不同供应商参</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加同一合同项下投标的，按一家供应商计算，评审后得分最高的同</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品牌供应商获得成交供应商推荐资格；评审得分相同的，采取随机</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抽取方式确定，其他同品牌供应商不作为中标候选人。</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2.若核心产品不止 1 个，各供应商所投任一核心产品的品牌相同，</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则按一家供应商计算。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采购人不组织统一踏勘，</w:t>
            </w:r>
            <w:r>
              <w:rPr>
                <w:rFonts w:hint="eastAsia" w:asciiTheme="minorEastAsia" w:hAnsiTheme="minorEastAsia" w:eastAsiaTheme="minorEastAsia" w:cstheme="minorEastAsia"/>
                <w:color w:val="auto"/>
              </w:rPr>
              <w:t>请各供应商自行踏勘现场；</w:t>
            </w:r>
          </w:p>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□组织，踏勘时间：                            </w:t>
            </w:r>
          </w:p>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踏勘集中地点：</w:t>
            </w:r>
          </w:p>
          <w:p>
            <w:pPr>
              <w:autoSpaceDE w:val="0"/>
              <w:autoSpaceDN w:val="0"/>
              <w:adjustRightInd w:val="0"/>
              <w:snapToGrid w:val="0"/>
              <w:spacing w:before="31" w:beforeLines="10" w:after="31" w:afterLines="10"/>
              <w:ind w:right="21" w:rightChars="10" w:firstLine="840" w:firstLineChars="4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踏勘联系人：</w:t>
            </w:r>
            <w:r>
              <w:rPr>
                <w:rFonts w:hint="eastAsia" w:asciiTheme="minorEastAsia" w:hAnsiTheme="minorEastAsia" w:eastAsiaTheme="minorEastAsia" w:cstheme="minorEastAsia"/>
                <w:color w:val="auto"/>
              </w:rPr>
              <w:t xml:space="preserve">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注：1、</w:t>
            </w:r>
            <w:r>
              <w:rPr>
                <w:rFonts w:hint="eastAsia" w:asciiTheme="minorEastAsia" w:hAnsiTheme="minorEastAsia" w:eastAsiaTheme="minorEastAsia" w:cstheme="minorEastAsia"/>
                <w:color w:val="auto"/>
              </w:rPr>
              <w:t>供应商承担踏勘现场所发生的自身费用；</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供应商应承担踏勘现场的责任和风险。</w:t>
            </w:r>
          </w:p>
          <w:p>
            <w:pPr>
              <w:numPr>
                <w:ilvl w:val="0"/>
                <w:numId w:val="0"/>
              </w:numPr>
              <w:autoSpaceDE w:val="0"/>
              <w:autoSpaceDN w:val="0"/>
              <w:adjustRightInd w:val="0"/>
              <w:snapToGrid w:val="0"/>
              <w:spacing w:before="31" w:beforeLines="10" w:after="31" w:afterLines="10"/>
              <w:ind w:left="0" w:leftChars="0" w:right="21" w:rightChars="10" w:firstLine="0" w:firstLineChars="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采购人在踏勘现场中介绍的项目</w:t>
            </w:r>
            <w:r>
              <w:rPr>
                <w:rFonts w:hint="eastAsia" w:asciiTheme="minorEastAsia" w:hAnsiTheme="minorEastAsia" w:eastAsiaTheme="minorEastAsia" w:cstheme="minorEastAsia"/>
                <w:color w:val="auto"/>
                <w:lang w:val="en-US" w:eastAsia="zh-CN"/>
              </w:rPr>
              <w:t>背景及项目现场</w:t>
            </w:r>
            <w:r>
              <w:rPr>
                <w:rFonts w:hint="eastAsia" w:asciiTheme="minorEastAsia" w:hAnsiTheme="minorEastAsia" w:eastAsiaTheme="minorEastAsia" w:cstheme="minorEastAsia"/>
                <w:color w:val="auto"/>
              </w:rPr>
              <w:t xml:space="preserve">和相关的周边环境情况，供应商在编制响应文件时参考，采购人和采购代理机构不对供应商据此作出的判断和决策负责。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default"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4</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付款方式</w:t>
            </w:r>
          </w:p>
        </w:tc>
        <w:tc>
          <w:tcPr>
            <w:tcW w:w="6130" w:type="dxa"/>
            <w:vAlign w:val="center"/>
          </w:tcPr>
          <w:p>
            <w:pPr>
              <w:numPr>
                <w:ilvl w:val="0"/>
                <w:numId w:val="0"/>
              </w:numPr>
              <w:autoSpaceDE w:val="0"/>
              <w:autoSpaceDN w:val="0"/>
              <w:adjustRightInd w:val="0"/>
              <w:snapToGrid w:val="0"/>
              <w:spacing w:before="31" w:beforeLines="10" w:after="31" w:afterLines="10"/>
              <w:ind w:left="0" w:leftChars="0" w:right="21" w:rightChars="10" w:firstLine="0" w:firstLineChars="0"/>
              <w:jc w:val="left"/>
              <w:rPr>
                <w:rFonts w:hint="eastAsia" w:asciiTheme="minorEastAsia" w:hAnsiTheme="minorEastAsia" w:eastAsiaTheme="minorEastAsia" w:cstheme="minorEastAsia"/>
                <w:color w:val="auto"/>
                <w:lang w:val="en-US" w:eastAsia="zh-CN"/>
              </w:rPr>
            </w:pPr>
            <w:r>
              <w:rPr>
                <w:rFonts w:hint="eastAsia" w:ascii="宋体" w:hAnsi="宋体"/>
                <w:color w:val="auto"/>
                <w:szCs w:val="21"/>
                <w:lang w:val="zh-CN"/>
              </w:rPr>
              <w:t>经甲方验收合格并收到乙方发票后</w:t>
            </w:r>
            <w:r>
              <w:rPr>
                <w:rFonts w:ascii="宋体" w:hAnsi="宋体"/>
                <w:color w:val="auto"/>
                <w:szCs w:val="21"/>
                <w:lang w:val="zh-CN"/>
              </w:rPr>
              <w:t>10天内，甲方向乙方支付合同总金额的100%；履约保证金自动转为质保金，货物验收合格后安全运行一年（自验收合格之日起计算），如无质量及售后服务等其他违约事项，甲方向乙方无息退还质量保证金。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default"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5</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olor w:val="auto"/>
                <w:szCs w:val="21"/>
                <w:lang w:val="zh-CN"/>
              </w:rPr>
              <w:t>履约保证金</w:t>
            </w:r>
          </w:p>
        </w:tc>
        <w:tc>
          <w:tcPr>
            <w:tcW w:w="6130" w:type="dxa"/>
            <w:vAlign w:val="center"/>
          </w:tcPr>
          <w:p>
            <w:pPr>
              <w:autoSpaceDE w:val="0"/>
              <w:autoSpaceDN w:val="0"/>
              <w:adjustRightInd w:val="0"/>
              <w:snapToGrid w:val="0"/>
              <w:spacing w:beforeLines="10" w:afterLines="10"/>
              <w:ind w:right="21" w:rightChars="10"/>
              <w:jc w:val="left"/>
              <w:rPr>
                <w:rFonts w:hint="eastAsia" w:ascii="宋体" w:hAnsi="宋体" w:eastAsia="宋体" w:cs="Times New Roman"/>
                <w:color w:val="auto"/>
                <w:kern w:val="2"/>
                <w:sz w:val="21"/>
                <w:szCs w:val="21"/>
                <w:lang w:val="zh-CN" w:eastAsia="zh-CN" w:bidi="ar-SA"/>
              </w:rPr>
            </w:pPr>
            <w:r>
              <w:rPr>
                <w:rFonts w:hint="eastAsia" w:ascii="宋体" w:hAnsi="宋体"/>
                <w:color w:val="auto"/>
                <w:szCs w:val="21"/>
                <w:lang w:val="zh-CN"/>
              </w:rPr>
              <w:t>国产设备合同总金额的</w:t>
            </w:r>
            <w:r>
              <w:rPr>
                <w:rFonts w:ascii="宋体" w:hAnsi="宋体"/>
                <w:color w:val="auto"/>
                <w:szCs w:val="21"/>
                <w:lang w:val="zh-CN"/>
              </w:rPr>
              <w:t>5%；签订合同前5个工作日递交，以支票、汇票、本票等非现金形式提交。</w:t>
            </w:r>
          </w:p>
        </w:tc>
      </w:tr>
    </w:tbl>
    <w:p>
      <w:pPr>
        <w:rPr>
          <w:rFonts w:hint="eastAsia" w:asciiTheme="minorEastAsia" w:hAnsiTheme="minorEastAsia" w:eastAsiaTheme="minorEastAsia" w:cstheme="minorEastAsia"/>
          <w:b/>
          <w:szCs w:val="21"/>
        </w:rPr>
      </w:pPr>
      <w:bookmarkStart w:id="40" w:name="_Toc4374"/>
      <w:r>
        <w:rPr>
          <w:rFonts w:hint="eastAsia" w:asciiTheme="minorEastAsia" w:hAnsiTheme="minorEastAsia" w:eastAsiaTheme="minorEastAsia" w:cstheme="minorEastAsia"/>
          <w:b/>
          <w:szCs w:val="21"/>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供应商须知</w:t>
      </w:r>
      <w:bookmarkEnd w:id="40"/>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1" w:name="_Toc4795"/>
      <w:r>
        <w:rPr>
          <w:rFonts w:hint="eastAsia" w:asciiTheme="minorEastAsia" w:hAnsiTheme="minorEastAsia" w:eastAsiaTheme="minorEastAsia" w:cstheme="minorEastAsia"/>
          <w:b/>
          <w:szCs w:val="21"/>
        </w:rPr>
        <w:t>总则</w:t>
      </w:r>
      <w:bookmarkEnd w:id="41"/>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2" w:name="_Toc27243"/>
      <w:bookmarkStart w:id="43" w:name="_Toc13216"/>
      <w:r>
        <w:rPr>
          <w:rFonts w:hint="eastAsia" w:asciiTheme="minorEastAsia" w:hAnsiTheme="minorEastAsia" w:eastAsiaTheme="minorEastAsia" w:cstheme="minorEastAsia"/>
          <w:b/>
          <w:szCs w:val="21"/>
        </w:rPr>
        <w:t>适用法律及范围</w:t>
      </w:r>
      <w:bookmarkEnd w:id="42"/>
      <w:bookmarkEnd w:id="43"/>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4" w:name="_Toc20138"/>
      <w:bookmarkStart w:id="45" w:name="_Toc30547"/>
      <w:r>
        <w:rPr>
          <w:rFonts w:hint="eastAsia" w:asciiTheme="minorEastAsia" w:hAnsiTheme="minorEastAsia" w:eastAsiaTheme="minorEastAsia" w:cstheme="minorEastAsia"/>
          <w:b/>
          <w:szCs w:val="21"/>
        </w:rPr>
        <w:t>定义</w:t>
      </w:r>
      <w:bookmarkEnd w:id="44"/>
      <w:bookmarkEnd w:id="45"/>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6" w:name="_Toc30503"/>
      <w:bookmarkStart w:id="47" w:name="_Toc30413"/>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8" w:name="_Toc31566"/>
      <w:bookmarkStart w:id="49" w:name="_Toc9974"/>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0" w:name="_Toc31999"/>
      <w:r>
        <w:rPr>
          <w:rFonts w:hint="eastAsia" w:asciiTheme="minorEastAsia" w:hAnsiTheme="minorEastAsia" w:eastAsiaTheme="minorEastAsia" w:cstheme="minorEastAsia"/>
          <w:b/>
          <w:szCs w:val="21"/>
        </w:rPr>
        <w:t>竞争性磋商采购文件</w:t>
      </w:r>
      <w:bookmarkEnd w:id="50"/>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51" w:name="_Toc30845"/>
      <w:bookmarkStart w:id="52" w:name="_Toc4547"/>
      <w:r>
        <w:rPr>
          <w:rFonts w:hint="eastAsia" w:asciiTheme="minorEastAsia" w:hAnsiTheme="minorEastAsia" w:eastAsiaTheme="minorEastAsia" w:cstheme="minorEastAsia"/>
          <w:b/>
          <w:szCs w:val="21"/>
        </w:rPr>
        <w:t>竞争性磋商采购文件的构成</w:t>
      </w:r>
      <w:bookmarkEnd w:id="51"/>
      <w:bookmarkEnd w:id="52"/>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29700"/>
      <w:bookmarkStart w:id="54" w:name="_Toc14791"/>
      <w:r>
        <w:rPr>
          <w:rFonts w:hint="eastAsia" w:asciiTheme="minorEastAsia" w:hAnsiTheme="minorEastAsia" w:eastAsiaTheme="minorEastAsia" w:cstheme="minorEastAsia"/>
          <w:b/>
          <w:snapToGrid w:val="0"/>
          <w:kern w:val="0"/>
          <w:szCs w:val="21"/>
          <w:lang w:val="zh-CN"/>
        </w:rPr>
        <w:t>竞争性磋商采购文件的澄清</w:t>
      </w:r>
      <w:bookmarkEnd w:id="53"/>
      <w:bookmarkEnd w:id="54"/>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31761"/>
      <w:bookmarkStart w:id="56" w:name="_Toc31307"/>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7" w:name="_Toc3204"/>
      <w:r>
        <w:rPr>
          <w:rFonts w:hint="eastAsia" w:asciiTheme="minorEastAsia" w:hAnsiTheme="minorEastAsia" w:eastAsiaTheme="minorEastAsia" w:cstheme="minorEastAsia"/>
          <w:b/>
          <w:szCs w:val="21"/>
        </w:rPr>
        <w:t>竞争性磋商响应文件</w:t>
      </w:r>
      <w:bookmarkEnd w:id="57"/>
    </w:p>
    <w:p>
      <w:pPr>
        <w:numPr>
          <w:ilvl w:val="0"/>
          <w:numId w:val="10"/>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58" w:name="_Toc30987"/>
      <w:bookmarkStart w:id="59" w:name="_Toc30649"/>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32272"/>
      <w:bookmarkStart w:id="61" w:name="_Toc14572"/>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19"/>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9580"/>
      <w:bookmarkStart w:id="63" w:name="_Toc25217"/>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24544"/>
      <w:bookmarkStart w:id="65" w:name="_Toc29934"/>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6453"/>
      <w:bookmarkStart w:id="67" w:name="_Toc6176"/>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3324"/>
      <w:bookmarkStart w:id="69" w:name="_Toc16011"/>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13751"/>
      <w:bookmarkStart w:id="71" w:name="_Toc2434"/>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9935"/>
      <w:bookmarkStart w:id="73" w:name="_Toc411"/>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6"/>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7068"/>
      <w:bookmarkStart w:id="75" w:name="_Toc5348"/>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7"/>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5276"/>
      <w:bookmarkStart w:id="77" w:name="_Toc5668"/>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19824"/>
      <w:bookmarkStart w:id="79"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0" w:name="_Toc3313"/>
      <w:r>
        <w:rPr>
          <w:rFonts w:hint="eastAsia" w:asciiTheme="minorEastAsia" w:hAnsiTheme="minorEastAsia" w:eastAsiaTheme="minorEastAsia" w:cstheme="minorEastAsia"/>
          <w:b/>
          <w:szCs w:val="21"/>
        </w:rPr>
        <w:t>竞争性磋商响应文件的递交</w:t>
      </w:r>
      <w:bookmarkEnd w:id="80"/>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1" w:name="_Toc6823"/>
      <w:bookmarkStart w:id="82"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3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3" w:name="_Toc11848"/>
      <w:bookmarkStart w:id="84"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5" w:name="_Toc6348"/>
      <w:bookmarkStart w:id="86" w:name="_Toc31376"/>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2"/>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5628"/>
      <w:bookmarkStart w:id="88"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9" w:name="_Toc8549"/>
      <w:r>
        <w:rPr>
          <w:rFonts w:hint="eastAsia" w:asciiTheme="minorEastAsia" w:hAnsiTheme="minorEastAsia" w:eastAsiaTheme="minorEastAsia" w:cstheme="minorEastAsia"/>
          <w:b/>
          <w:szCs w:val="21"/>
        </w:rPr>
        <w:t>磋商程序及步骤</w:t>
      </w:r>
      <w:bookmarkEnd w:id="8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0" w:name="_Toc2731"/>
      <w:bookmarkStart w:id="91" w:name="_Toc22624"/>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2" w:name="_Toc12040"/>
      <w:bookmarkStart w:id="93" w:name="_Toc21483"/>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94" w:name="_Toc9967"/>
      <w:bookmarkStart w:id="95"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6" w:name="_Toc22872"/>
      <w:r>
        <w:rPr>
          <w:rFonts w:hint="eastAsia" w:asciiTheme="minorEastAsia" w:hAnsiTheme="minorEastAsia" w:eastAsiaTheme="minorEastAsia" w:cstheme="minorEastAsia"/>
          <w:b/>
        </w:rPr>
        <w:t>资格审查和符合性审查</w:t>
      </w:r>
      <w:bookmarkEnd w:id="96"/>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7" w:name="_Toc11358"/>
      <w:r>
        <w:rPr>
          <w:rFonts w:hint="eastAsia" w:asciiTheme="minorEastAsia" w:hAnsiTheme="minorEastAsia" w:eastAsiaTheme="minorEastAsia" w:cstheme="minorEastAsia"/>
          <w:b/>
        </w:rPr>
        <w:t>磋商</w:t>
      </w:r>
      <w:bookmarkEnd w:id="97"/>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8" w:name="_Toc13528"/>
      <w:r>
        <w:rPr>
          <w:rFonts w:hint="eastAsia" w:asciiTheme="minorEastAsia" w:hAnsiTheme="minorEastAsia" w:eastAsiaTheme="minorEastAsia" w:cstheme="minorEastAsia"/>
          <w:b/>
          <w:lang w:val="zh-CN"/>
        </w:rPr>
        <w:t>保密</w:t>
      </w:r>
      <w:bookmarkEnd w:id="98"/>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4"/>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9" w:name="_Toc28795"/>
      <w:r>
        <w:rPr>
          <w:rFonts w:hint="eastAsia" w:asciiTheme="minorEastAsia" w:hAnsiTheme="minorEastAsia" w:eastAsiaTheme="minorEastAsia" w:cstheme="minorEastAsia"/>
          <w:b/>
          <w:szCs w:val="21"/>
        </w:rPr>
        <w:t>成交与签订合同</w:t>
      </w:r>
      <w:bookmarkEnd w:id="9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0" w:name="_Toc29010"/>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1" w:name="_Toc31420"/>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13988"/>
      <w:bookmarkStart w:id="103" w:name="_Toc4883"/>
      <w:bookmarkStart w:id="104" w:name="_Toc14510"/>
      <w:bookmarkStart w:id="105" w:name="_Toc1309"/>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21193"/>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16714"/>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8" w:name="_Toc21867"/>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9" w:name="_Toc5571"/>
      <w:bookmarkStart w:id="110" w:name="_Toc28705"/>
      <w:bookmarkStart w:id="111" w:name="_Toc14767"/>
      <w:bookmarkStart w:id="112" w:name="_Toc1929"/>
      <w:r>
        <w:rPr>
          <w:rFonts w:hint="eastAsia" w:asciiTheme="minorEastAsia" w:hAnsiTheme="minorEastAsia" w:eastAsiaTheme="minorEastAsia" w:cstheme="minorEastAsia"/>
          <w:b/>
          <w:szCs w:val="21"/>
          <w:lang w:val="zh-CN"/>
        </w:rPr>
        <w:t>政策</w:t>
      </w:r>
      <w:bookmarkEnd w:id="109"/>
      <w:bookmarkEnd w:id="110"/>
      <w:bookmarkEnd w:id="111"/>
      <w:bookmarkEnd w:id="112"/>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3" w:name="_Toc15706"/>
      <w:r>
        <w:rPr>
          <w:rFonts w:hint="eastAsia" w:asciiTheme="minorEastAsia" w:hAnsiTheme="minorEastAsia" w:eastAsiaTheme="minorEastAsia" w:cstheme="minorEastAsia"/>
          <w:b/>
          <w:lang w:val="en-US" w:eastAsia="zh-CN"/>
        </w:rPr>
        <w:t>政府采购政策</w:t>
      </w:r>
      <w:bookmarkEnd w:id="11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4" w:name="_Toc12380"/>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28459"/>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16" w:name="_Toc11180"/>
      <w:r>
        <w:rPr>
          <w:rFonts w:hint="eastAsia" w:asciiTheme="minorEastAsia" w:hAnsiTheme="minorEastAsia" w:eastAsiaTheme="minorEastAsia" w:cstheme="minorEastAsia"/>
          <w:b/>
          <w:bCs/>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2570"/>
      <w:r>
        <w:rPr>
          <w:rFonts w:hint="eastAsia" w:asciiTheme="minorEastAsia" w:hAnsiTheme="minorEastAsia" w:eastAsiaTheme="minorEastAsia" w:cstheme="minorEastAsia"/>
          <w:b/>
          <w:bCs/>
          <w:color w:val="auto"/>
          <w:sz w:val="24"/>
          <w:szCs w:val="24"/>
          <w:lang w:val="en-US" w:eastAsia="zh-CN"/>
        </w:rPr>
        <w:t>一、技术需求</w:t>
      </w:r>
      <w:bookmarkEnd w:id="117"/>
    </w:p>
    <w:tbl>
      <w:tblPr>
        <w:tblStyle w:val="26"/>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576"/>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eastAsia" w:ascii="宋体" w:hAnsi="宋体" w:eastAsia="宋体" w:cs="宋体"/>
                <w:b w:val="0"/>
                <w:bCs/>
                <w:color w:val="000000"/>
                <w:sz w:val="21"/>
                <w:szCs w:val="21"/>
                <w:lang w:eastAsia="zh-CN"/>
              </w:rPr>
            </w:pPr>
            <w:r>
              <w:rPr>
                <w:rFonts w:hint="eastAsia" w:ascii="宋体" w:hAnsi="宋体" w:cs="宋体"/>
                <w:b w:val="0"/>
                <w:bCs/>
                <w:color w:val="000000"/>
                <w:sz w:val="21"/>
                <w:szCs w:val="21"/>
                <w:lang w:eastAsia="zh-CN"/>
              </w:rPr>
              <w:t>序号</w:t>
            </w:r>
          </w:p>
        </w:tc>
        <w:tc>
          <w:tcPr>
            <w:tcW w:w="1576" w:type="dxa"/>
            <w:vAlign w:val="center"/>
          </w:tcPr>
          <w:p>
            <w:pPr>
              <w:autoSpaceDE w:val="0"/>
              <w:autoSpaceDN w:val="0"/>
              <w:adjustRightInd w:val="0"/>
              <w:spacing w:line="360" w:lineRule="auto"/>
              <w:rPr>
                <w:rFonts w:hint="eastAsia" w:ascii="宋体" w:hAnsi="宋体" w:eastAsia="宋体" w:cs="宋体"/>
                <w:b w:val="0"/>
                <w:bCs/>
                <w:color w:val="000000"/>
                <w:sz w:val="21"/>
                <w:szCs w:val="21"/>
                <w:lang w:eastAsia="zh-CN"/>
              </w:rPr>
            </w:pPr>
            <w:r>
              <w:rPr>
                <w:rFonts w:hint="eastAsia" w:ascii="宋体" w:hAnsi="宋体" w:cs="宋体"/>
                <w:b w:val="0"/>
                <w:bCs/>
                <w:color w:val="000000"/>
                <w:sz w:val="21"/>
                <w:szCs w:val="21"/>
                <w:lang w:eastAsia="zh-CN"/>
              </w:rPr>
              <w:t>类别</w:t>
            </w:r>
          </w:p>
        </w:tc>
        <w:tc>
          <w:tcPr>
            <w:tcW w:w="7003" w:type="dxa"/>
          </w:tcPr>
          <w:p>
            <w:pPr>
              <w:autoSpaceDE w:val="0"/>
              <w:autoSpaceDN w:val="0"/>
              <w:adjustRightInd w:val="0"/>
              <w:spacing w:line="360" w:lineRule="auto"/>
              <w:rPr>
                <w:rFonts w:hint="eastAsia" w:ascii="宋体" w:hAnsi="宋体" w:eastAsia="宋体" w:cs="宋体"/>
                <w:b w:val="0"/>
                <w:bCs/>
                <w:color w:val="000000"/>
                <w:sz w:val="21"/>
                <w:szCs w:val="21"/>
                <w:lang w:eastAsia="zh-CN"/>
              </w:rPr>
            </w:pPr>
            <w:r>
              <w:rPr>
                <w:rFonts w:hint="eastAsia" w:ascii="宋体" w:hAnsi="宋体" w:cs="宋体"/>
                <w:b w:val="0"/>
                <w:bCs/>
                <w:color w:val="000000"/>
                <w:sz w:val="21"/>
                <w:szCs w:val="21"/>
                <w:lang w:eastAsia="zh-CN"/>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 xml:space="preserve">★CPU </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≥Intel第9代 酷睿 i7-9700K 处理器（3.6GHz/12MB 高速缓存/8核）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★主板</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Intel芯片组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★内存</w:t>
            </w:r>
          </w:p>
        </w:tc>
        <w:tc>
          <w:tcPr>
            <w:tcW w:w="7003" w:type="dxa"/>
            <w:vAlign w:val="top"/>
          </w:tcPr>
          <w:p>
            <w:pPr>
              <w:pStyle w:val="98"/>
              <w:rPr>
                <w:rFonts w:hint="eastAsia" w:ascii="宋体" w:hAnsi="宋体" w:eastAsia="宋体" w:cs="宋体"/>
                <w:kern w:val="2"/>
                <w:sz w:val="20"/>
                <w:szCs w:val="20"/>
                <w:lang w:val="en-US" w:eastAsia="zh-CN" w:bidi="ar-SA"/>
              </w:rPr>
            </w:pPr>
            <w:r>
              <w:rPr>
                <w:rFonts w:hint="eastAsia" w:ascii="宋体" w:hAnsi="宋体" w:eastAsia="宋体" w:cs="宋体"/>
                <w:sz w:val="20"/>
                <w:szCs w:val="20"/>
              </w:rPr>
              <w:t>≥32G DDR4-2666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光驱</w:t>
            </w:r>
          </w:p>
        </w:tc>
        <w:tc>
          <w:tcPr>
            <w:tcW w:w="7003" w:type="dxa"/>
            <w:vAlign w:val="top"/>
          </w:tcPr>
          <w:p>
            <w:pPr>
              <w:tabs>
                <w:tab w:val="left" w:pos="1590"/>
              </w:tabs>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5</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★显卡</w:t>
            </w:r>
          </w:p>
        </w:tc>
        <w:tc>
          <w:tcPr>
            <w:tcW w:w="7003" w:type="dxa"/>
            <w:vAlign w:val="top"/>
          </w:tcPr>
          <w:p>
            <w:pPr>
              <w:tabs>
                <w:tab w:val="left" w:pos="1590"/>
              </w:tabs>
              <w:autoSpaceDE w:val="0"/>
              <w:autoSpaceDN w:val="0"/>
              <w:adjustRightInd w:val="0"/>
              <w:spacing w:line="360" w:lineRule="auto"/>
              <w:rPr>
                <w:rFonts w:hint="eastAsia" w:ascii="宋体" w:hAnsi="宋体" w:eastAsia="宋体" w:cs="宋体"/>
                <w:sz w:val="20"/>
                <w:szCs w:val="20"/>
              </w:rPr>
            </w:pPr>
            <w:r>
              <w:rPr>
                <w:rFonts w:hint="eastAsia" w:ascii="宋体" w:hAnsi="宋体" w:eastAsia="宋体" w:cs="宋体"/>
                <w:sz w:val="20"/>
                <w:szCs w:val="20"/>
              </w:rPr>
              <w:t>≥NVIDIA GeForce RTX2060 6GB独立显卡</w:t>
            </w:r>
          </w:p>
          <w:p>
            <w:pPr>
              <w:tabs>
                <w:tab w:val="left" w:pos="1590"/>
              </w:tabs>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（显卡须计算机原厂原配，享受计算机原厂保修，不接受第三方加装改配）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接口</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≥10个USB 接口（≥6个USB 3.1接口），机箱前置≥1个USB 3.1 Type-c可充电口、≥2 个DisplayPort、1 个 VGA、1 个音频输入端口、1 个音频输出端口、1 个 RJ-45 端口，以上接口均要求板载原生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7</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★扩展槽</w:t>
            </w:r>
          </w:p>
        </w:tc>
        <w:tc>
          <w:tcPr>
            <w:tcW w:w="7003" w:type="dxa"/>
            <w:vAlign w:val="top"/>
          </w:tcPr>
          <w:p>
            <w:pPr>
              <w:autoSpaceDE w:val="0"/>
              <w:autoSpaceDN w:val="0"/>
              <w:adjustRightInd w:val="0"/>
              <w:spacing w:line="360" w:lineRule="auto"/>
              <w:rPr>
                <w:rFonts w:hint="eastAsia" w:ascii="宋体" w:hAnsi="宋体" w:eastAsia="宋体" w:cs="宋体"/>
                <w:sz w:val="20"/>
                <w:szCs w:val="20"/>
              </w:rPr>
            </w:pPr>
            <w:r>
              <w:rPr>
                <w:rFonts w:hint="eastAsia" w:ascii="宋体" w:hAnsi="宋体" w:eastAsia="宋体" w:cs="宋体"/>
                <w:sz w:val="20"/>
                <w:szCs w:val="20"/>
              </w:rPr>
              <w:t>≥1个M.2 2230（用于可选无线网卡）；1个PCIe 3 x16；1个PCIe 3 x16（有线x4）；2个M.2 2230/2280（用于存储硬盘）；2个PCIe 3 x1,</w:t>
            </w:r>
          </w:p>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以上扩展槽均要求板载原生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8</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★硬盘</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≥SSD 256G M.2 2280 PCIe NVMe 固态硬盘+1TB  7200转 SATA硬盘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9</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网卡</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10/100/1000M以太网卡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音频</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cs="宋体"/>
                <w:sz w:val="20"/>
                <w:szCs w:val="20"/>
              </w:rPr>
              <w:t>高性能品牌音频编解码器</w:t>
            </w:r>
            <w:r>
              <w:rPr>
                <w:rFonts w:hint="eastAsia" w:ascii="宋体" w:hAnsi="宋体" w:eastAsia="宋体" w:cs="宋体"/>
                <w:sz w:val="20"/>
                <w:szCs w:val="20"/>
              </w:rPr>
              <w:t>，2个通用音频插孔（3.5毫米，机箱正面的耳机和麦克（ф3.5，立体声）接口独立分开），支持多音频流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11</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★键盘/鼠标</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USB 抗菌键盘、USB抗菌光电鼠标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12</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★电源</w:t>
            </w:r>
          </w:p>
        </w:tc>
        <w:tc>
          <w:tcPr>
            <w:tcW w:w="7003" w:type="dxa"/>
            <w:vAlign w:val="top"/>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≥500W高效PFC电源，能效≥92%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w:t>
            </w:r>
          </w:p>
        </w:tc>
        <w:tc>
          <w:tcPr>
            <w:tcW w:w="1576" w:type="dxa"/>
            <w:vAlign w:val="center"/>
          </w:tcPr>
          <w:p>
            <w:pPr>
              <w:autoSpaceDE w:val="0"/>
              <w:autoSpaceDN w:val="0"/>
              <w:adjustRightInd w:val="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★机箱</w:t>
            </w:r>
          </w:p>
        </w:tc>
        <w:tc>
          <w:tcPr>
            <w:tcW w:w="7003" w:type="dxa"/>
            <w:vAlign w:val="center"/>
          </w:tcPr>
          <w:p>
            <w:pPr>
              <w:autoSpaceDE w:val="0"/>
              <w:autoSpaceDN w:val="0"/>
              <w:adjustRightInd w:val="0"/>
              <w:jc w:val="both"/>
              <w:rPr>
                <w:rFonts w:hint="eastAsia" w:ascii="宋体" w:hAnsi="宋体" w:eastAsia="宋体" w:cs="宋体"/>
                <w:kern w:val="2"/>
                <w:sz w:val="20"/>
                <w:szCs w:val="20"/>
                <w:lang w:val="en-US" w:eastAsia="zh-CN" w:bidi="ar-SA"/>
              </w:rPr>
            </w:pPr>
            <w:r>
              <w:rPr>
                <w:rFonts w:hint="eastAsia" w:ascii="宋体" w:hAnsi="宋体" w:eastAsia="宋体" w:cs="宋体"/>
                <w:sz w:val="20"/>
                <w:szCs w:val="20"/>
              </w:rPr>
              <w:t>立式大机箱，机箱容积≥20L，标配机箱内置扬声器，标配机箱锁孔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14</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★云桌面管理软件</w:t>
            </w:r>
          </w:p>
        </w:tc>
        <w:tc>
          <w:tcPr>
            <w:tcW w:w="7003" w:type="dxa"/>
            <w:vAlign w:val="top"/>
          </w:tcPr>
          <w:p>
            <w:pPr>
              <w:rPr>
                <w:rFonts w:hint="eastAsia" w:ascii="宋体" w:hAnsi="宋体" w:eastAsia="宋体" w:cs="宋体"/>
                <w:sz w:val="20"/>
                <w:szCs w:val="20"/>
              </w:rPr>
            </w:pPr>
            <w:r>
              <w:rPr>
                <w:rFonts w:hint="eastAsia" w:ascii="宋体" w:hAnsi="宋体" w:eastAsia="宋体" w:cs="宋体"/>
                <w:sz w:val="20"/>
                <w:szCs w:val="20"/>
              </w:rPr>
              <w:t>提供原厂随机自带同品牌或第三方正版云桌面管理软件，满足以下功能，并提供原厂盖章证明文件和功能截图证明。</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无需安装客户端，直接浏览器在任意地点访问服务器以软件方式实现系统部署、集中管理和硬盘保护功能（提供功能截图）</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支持后台部署和自动推送，支持静默增量更新，终端系统运行不中断</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一个平台可对多个公共机房集中管理，支持终端跨VLAN、路由、硬件防火墙等复杂网络环境的部署；</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灵活设定桌面系统盘/数据盘的还原属性，支持不还原/每次还原/每周还原/每月还原；支持各种品牌PC，兼容PC机，瘦终端等异构设备的统一管理，一个桌面模板自动适配所有异构设备（提供功能截图）</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支持广播和P2P部署和更新系统，支持断电、断点传输（提供功能截图）</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管理服务器无需专业服务器，普通PC或工作站即可管理200台终端，操作系统和应用运行在终端本地；</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可远程锁定终端桌面的屏幕、键盘，锁定USB、光盘，管理员可批量解锁，也可在服务器上算出解锁密码；（提供功能截图）</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支持通过管理平台对终端执行唤醒、重启、关机，远程部署、运维终端操作系统，支持按位置批量设置起始计算机名，起始IP，可反复编辑修改. （提供功能截图）</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终端支持多硬盘配置，支持Windows和Linux系统，且终端可同时部署多套系统，多个系统可共享本地公有磁盘，终端镜像要求可集中管理, ，灵活实现快照更新（提供功能截图）</w:t>
            </w:r>
          </w:p>
          <w:p>
            <w:pPr>
              <w:pStyle w:val="92"/>
              <w:numPr>
                <w:ilvl w:val="0"/>
                <w:numId w:val="35"/>
              </w:numPr>
              <w:spacing w:line="360" w:lineRule="auto"/>
              <w:ind w:firstLineChars="0"/>
              <w:rPr>
                <w:rFonts w:hint="eastAsia" w:ascii="宋体" w:hAnsi="宋体" w:eastAsia="宋体" w:cs="宋体"/>
                <w:kern w:val="0"/>
                <w:sz w:val="20"/>
                <w:szCs w:val="20"/>
              </w:rPr>
            </w:pPr>
            <w:r>
              <w:rPr>
                <w:rFonts w:hint="eastAsia" w:ascii="宋体" w:hAnsi="宋体" w:eastAsia="宋体" w:cs="宋体"/>
                <w:kern w:val="0"/>
                <w:sz w:val="20"/>
                <w:szCs w:val="20"/>
              </w:rPr>
              <w:t>支持一机多用，支持管理服务器动态分配CPU、内存、硬盘等虚拟主机资源，可将用户的服务端软件安装在虚拟服务器（提供功能截图）</w:t>
            </w:r>
          </w:p>
          <w:p>
            <w:pPr>
              <w:pStyle w:val="92"/>
              <w:numPr>
                <w:ilvl w:val="0"/>
                <w:numId w:val="35"/>
              </w:numPr>
              <w:spacing w:line="360" w:lineRule="auto"/>
              <w:ind w:left="360" w:leftChars="0" w:hanging="360" w:firstLineChars="0"/>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支持U盘应急恢复系统，直接在终端插入系统应急U盘，即可实现快速的操作系统恢复和虚拟磁盘数据找回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★操作系统</w:t>
            </w:r>
          </w:p>
        </w:tc>
        <w:tc>
          <w:tcPr>
            <w:tcW w:w="7003" w:type="dxa"/>
            <w:vAlign w:val="top"/>
          </w:tcPr>
          <w:p>
            <w:pPr>
              <w:spacing w:line="36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提供正版windows10  Home 64位或以上版本操作系统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02" w:type="dxa"/>
            <w:vAlign w:val="center"/>
          </w:tcPr>
          <w:p>
            <w:pPr>
              <w:autoSpaceDE w:val="0"/>
              <w:autoSpaceDN w:val="0"/>
              <w:adjustRightInd w:val="0"/>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w:t>
            </w:r>
          </w:p>
        </w:tc>
        <w:tc>
          <w:tcPr>
            <w:tcW w:w="1576" w:type="dxa"/>
            <w:vAlign w:val="center"/>
          </w:tcPr>
          <w:p>
            <w:pPr>
              <w:autoSpaceDE w:val="0"/>
              <w:autoSpaceDN w:val="0"/>
              <w:adjustRightInd w:val="0"/>
              <w:spacing w:line="360" w:lineRule="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★显示器</w:t>
            </w:r>
          </w:p>
        </w:tc>
        <w:tc>
          <w:tcPr>
            <w:tcW w:w="7003" w:type="dxa"/>
            <w:vAlign w:val="top"/>
          </w:tcPr>
          <w:p>
            <w:pPr>
              <w:spacing w:line="360" w:lineRule="exact"/>
              <w:rPr>
                <w:rFonts w:hint="eastAsia" w:ascii="宋体" w:hAnsi="宋体" w:eastAsia="宋体" w:cs="宋体"/>
                <w:kern w:val="2"/>
                <w:sz w:val="20"/>
                <w:szCs w:val="20"/>
                <w:lang w:val="en-US" w:eastAsia="zh-CN" w:bidi="ar-SA"/>
              </w:rPr>
            </w:pPr>
            <w:r>
              <w:rPr>
                <w:rFonts w:hint="eastAsia" w:ascii="宋体" w:hAnsi="宋体" w:eastAsia="宋体" w:cs="宋体"/>
                <w:sz w:val="20"/>
                <w:szCs w:val="20"/>
              </w:rPr>
              <w:t>≥27"宽屏，16:9或16:10 LED背光 液晶显示器, ,至少需有VGA、HDMI 1.4(支持HDCP)接口,带有HDMI线缆, ≥300nits, ≥1000:1,1千万:1(动态对比度), ≥5ms(灰度),屏幕高度可调整 ,分辨率≥2560x1440, 具备TUV低蓝光认证，显示器与主机同一品牌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281" w:type="dxa"/>
            <w:gridSpan w:val="3"/>
            <w:vAlign w:val="center"/>
          </w:tcPr>
          <w:p>
            <w:pPr>
              <w:spacing w:line="360" w:lineRule="auto"/>
              <w:rPr>
                <w:rFonts w:hint="eastAsia" w:ascii="宋体" w:hAnsi="宋体" w:eastAsia="宋体" w:cs="宋体"/>
                <w:color w:val="FF0000"/>
                <w:sz w:val="21"/>
                <w:szCs w:val="21"/>
                <w:lang w:eastAsia="zh-CN"/>
              </w:rPr>
            </w:pPr>
            <w:r>
              <w:rPr>
                <w:rFonts w:hint="eastAsia" w:ascii="宋体" w:hAnsi="宋体" w:cs="宋体"/>
                <w:b/>
                <w:bCs/>
                <w:color w:val="auto"/>
                <w:sz w:val="21"/>
                <w:szCs w:val="21"/>
                <w:lang w:eastAsia="zh-CN"/>
              </w:rPr>
              <w:t>备注：提供生产厂商参数资料（加盖生产厂商公章原件）和此产品宣传官网网址截图以及和售后服务承诺函（加盖生产厂商公章原件）</w:t>
            </w:r>
          </w:p>
        </w:tc>
      </w:tr>
    </w:tbl>
    <w:p>
      <w:pPr>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br w:type="page"/>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具有唯一性，供应商可提供同等档次或更高档次产品，并提供相应技术参数证明其符合采购需求或优于采购需求，否则视其为不满足采购需求。</w:t>
      </w:r>
    </w:p>
    <w:p>
      <w:pPr>
        <w:autoSpaceDE w:val="0"/>
        <w:autoSpaceDN w:val="0"/>
        <w:adjustRightInd w:val="0"/>
        <w:spacing w:line="360" w:lineRule="auto"/>
        <w:outlineLvl w:val="9"/>
        <w:rPr>
          <w:rFonts w:hint="eastAsia"/>
          <w:lang w:val="en-US" w:eastAsia="zh-CN"/>
        </w:rPr>
      </w:pPr>
      <w:r>
        <w:rPr>
          <w:rFonts w:ascii="宋体" w:hAnsi="宋体" w:eastAsia="宋体" w:cs="宋体"/>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18" w:name="_Toc30527"/>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18"/>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2、产品质量要求：</w:t>
      </w:r>
    </w:p>
    <w:p>
      <w:pPr>
        <w:autoSpaceDE w:val="0"/>
        <w:autoSpaceDN w:val="0"/>
        <w:adjustRightInd w:val="0"/>
        <w:spacing w:line="360" w:lineRule="auto"/>
        <w:ind w:firstLine="420" w:firstLineChars="200"/>
        <w:jc w:val="left"/>
        <w:rPr>
          <w:rFonts w:hint="eastAsia" w:ascii="宋体" w:hAnsi="宋体" w:cs="宋体"/>
          <w:sz w:val="21"/>
          <w:szCs w:val="21"/>
        </w:rPr>
      </w:pPr>
      <w:r>
        <w:rPr>
          <w:rFonts w:hint="eastAsia" w:ascii="宋体" w:hAnsi="宋体" w:cs="宋体"/>
          <w:sz w:val="21"/>
          <w:szCs w:val="21"/>
        </w:rPr>
        <w:t>2.1满足执行的国家相关标准、行业标准、地方标准或其他标准、规范；</w:t>
      </w:r>
    </w:p>
    <w:p>
      <w:pPr>
        <w:autoSpaceDE w:val="0"/>
        <w:autoSpaceDN w:val="0"/>
        <w:adjustRightInd w:val="0"/>
        <w:spacing w:line="360" w:lineRule="auto"/>
        <w:ind w:firstLine="420" w:firstLineChars="200"/>
        <w:jc w:val="left"/>
        <w:rPr>
          <w:rFonts w:hint="eastAsia" w:ascii="宋体" w:hAnsi="宋体" w:cs="宋体"/>
          <w:sz w:val="21"/>
          <w:szCs w:val="21"/>
        </w:rPr>
      </w:pPr>
      <w:r>
        <w:rPr>
          <w:rFonts w:hint="eastAsia" w:ascii="宋体" w:hAnsi="宋体" w:cs="宋体"/>
          <w:sz w:val="21"/>
          <w:szCs w:val="21"/>
        </w:rPr>
        <w:t>2.2所有产品是否满足招标文件的要求及投标文件的承诺；</w:t>
      </w:r>
    </w:p>
    <w:p>
      <w:pPr>
        <w:autoSpaceDE w:val="0"/>
        <w:autoSpaceDN w:val="0"/>
        <w:adjustRightInd w:val="0"/>
        <w:spacing w:line="360" w:lineRule="auto"/>
        <w:ind w:firstLine="420" w:firstLineChars="200"/>
        <w:jc w:val="left"/>
        <w:rPr>
          <w:rFonts w:hint="eastAsia" w:ascii="宋体" w:hAnsi="宋体" w:cs="宋体"/>
          <w:sz w:val="21"/>
          <w:szCs w:val="21"/>
        </w:rPr>
      </w:pPr>
      <w:r>
        <w:rPr>
          <w:rFonts w:hint="eastAsia" w:ascii="宋体" w:hAnsi="宋体" w:cs="宋体"/>
          <w:sz w:val="21"/>
          <w:szCs w:val="21"/>
        </w:rPr>
        <w:t>2.3投标人须提供设备的相应参数和技术支持材料，不得完全照搬招标文件技术参数要求内容或标示无偏离或者符合等。</w:t>
      </w:r>
    </w:p>
    <w:p>
      <w:pPr>
        <w:autoSpaceDE w:val="0"/>
        <w:autoSpaceDN w:val="0"/>
        <w:adjustRightInd w:val="0"/>
        <w:spacing w:line="360" w:lineRule="auto"/>
        <w:ind w:firstLine="420" w:firstLineChars="200"/>
        <w:jc w:val="left"/>
        <w:rPr>
          <w:rFonts w:hint="eastAsia" w:ascii="宋体" w:hAnsi="宋体" w:cs="宋体"/>
          <w:sz w:val="21"/>
          <w:szCs w:val="21"/>
        </w:rPr>
      </w:pPr>
      <w:r>
        <w:rPr>
          <w:rFonts w:hint="eastAsia" w:ascii="宋体" w:hAnsi="宋体" w:cs="宋体"/>
          <w:sz w:val="21"/>
          <w:szCs w:val="21"/>
        </w:rPr>
        <w:t>2.4本次招标项目的质量必须完全满足中华人民共和国国家质量标准及现行规范要求，投标人应根据企业实际能力在投标文件中对项目质量予以承诺，中标后在合同中加以确认。</w:t>
      </w:r>
    </w:p>
    <w:p>
      <w:pPr>
        <w:autoSpaceDE w:val="0"/>
        <w:autoSpaceDN w:val="0"/>
        <w:adjustRightInd w:val="0"/>
        <w:spacing w:line="360" w:lineRule="auto"/>
        <w:ind w:firstLine="420" w:firstLineChars="200"/>
        <w:jc w:val="left"/>
        <w:rPr>
          <w:rFonts w:hint="eastAsia" w:ascii="宋体" w:hAnsi="宋体" w:cs="宋体"/>
          <w:sz w:val="21"/>
          <w:szCs w:val="21"/>
        </w:rPr>
      </w:pPr>
      <w:r>
        <w:rPr>
          <w:rFonts w:hint="eastAsia" w:ascii="宋体" w:hAnsi="宋体" w:cs="宋体"/>
          <w:sz w:val="21"/>
          <w:szCs w:val="21"/>
        </w:rPr>
        <w:t>2.5如有在本招标文件中未说明的设备运行所必须的其他辅助设备及软件系统，请在投标文件中提供详细说明及相关报价。</w:t>
      </w:r>
    </w:p>
    <w:p>
      <w:pPr>
        <w:autoSpaceDE w:val="0"/>
        <w:autoSpaceDN w:val="0"/>
        <w:adjustRightInd w:val="0"/>
        <w:spacing w:line="360" w:lineRule="auto"/>
        <w:ind w:firstLine="420" w:firstLineChars="200"/>
        <w:jc w:val="left"/>
        <w:rPr>
          <w:rFonts w:hint="eastAsia" w:ascii="宋体" w:hAnsi="宋体" w:cs="宋体"/>
          <w:sz w:val="21"/>
          <w:szCs w:val="21"/>
        </w:rPr>
      </w:pPr>
      <w:r>
        <w:rPr>
          <w:rFonts w:hint="eastAsia" w:ascii="宋体" w:hAnsi="宋体" w:cs="宋体"/>
          <w:sz w:val="21"/>
          <w:szCs w:val="21"/>
        </w:rPr>
        <w:t>2.6投标人在招标及中标后，发生侵犯专利权的行为时，其侵权责任与招标人无关，应由中标人承担相应的责任，并不得影响招标人的利益。</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宋体" w:hAnsi="宋体" w:cs="宋体"/>
          <w:sz w:val="21"/>
          <w:szCs w:val="21"/>
        </w:rPr>
        <w:t>2.7所投产品可与符合行业标准的其他任何品牌产品无缝集成，协同工作，且其技术指标不会因此而受到影响。投标人需要对此给予明确的承诺，如有不符合的情况，则需提供详细说明。</w:t>
      </w:r>
      <w:r>
        <w:rPr>
          <w:rFonts w:hint="eastAsia" w:asciiTheme="minorEastAsia" w:hAnsiTheme="minorEastAsia" w:eastAsiaTheme="minorEastAsia" w:cstheme="minorEastAsia"/>
          <w:b w:val="0"/>
          <w:bCs w:val="0"/>
          <w:color w:val="FF0000"/>
          <w:szCs w:val="21"/>
          <w:lang w:eastAsia="zh-CN"/>
        </w:rPr>
        <w:br w:type="textWrapping"/>
      </w:r>
      <w:r>
        <w:rPr>
          <w:rFonts w:hint="eastAsia" w:asciiTheme="minorEastAsia" w:hAnsiTheme="minorEastAsia" w:eastAsiaTheme="minorEastAsia" w:cstheme="minorEastAsia"/>
          <w:b w:val="0"/>
          <w:bCs w:val="0"/>
          <w:color w:val="auto"/>
          <w:szCs w:val="21"/>
          <w:lang w:val="en-US" w:eastAsia="zh-CN"/>
        </w:rPr>
        <w:t>3、售后服务要求：</w:t>
      </w:r>
    </w:p>
    <w:p>
      <w:pPr>
        <w:autoSpaceDE w:val="0"/>
        <w:autoSpaceDN w:val="0"/>
        <w:adjustRightInd w:val="0"/>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3.1产品安装、调试和验收：产品到达最终用户现场并且实验室条件合格后，在接到用户通知后，中标人需在规定时间内安排有经验的技术人员到用户现场安装、调试，按验收指标逐项测试，直至达到验收要求。</w:t>
      </w:r>
    </w:p>
    <w:p>
      <w:pPr>
        <w:autoSpaceDE w:val="0"/>
        <w:autoSpaceDN w:val="0"/>
        <w:adjustRightInd w:val="0"/>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3.2产品安装调试后即提供现场培训，培训内容主要是计算机操作和维护。</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宋体" w:hAnsi="宋体" w:cs="宋体"/>
          <w:color w:val="auto"/>
          <w:sz w:val="21"/>
          <w:szCs w:val="21"/>
        </w:rPr>
        <w:t>3.3维修响应：4小时故障响应，24小时内到现场。</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4、交货地点：华中农业大学内指定地点</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5、交货期：合同签订后20日历天内供货，7天内完成安装调试到位。</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6、质保期：</w:t>
      </w:r>
      <w:r>
        <w:rPr>
          <w:rFonts w:hint="eastAsia" w:asciiTheme="minorEastAsia" w:hAnsiTheme="minorEastAsia" w:eastAsiaTheme="minorEastAsia" w:cstheme="minorEastAsia"/>
          <w:b w:val="0"/>
          <w:bCs w:val="0"/>
          <w:color w:val="auto"/>
          <w:kern w:val="2"/>
          <w:sz w:val="21"/>
          <w:szCs w:val="21"/>
          <w:lang w:val="en-US" w:eastAsia="zh-CN" w:bidi="ar-SA"/>
        </w:rPr>
        <w:t>三年，质保期内原厂免费上门服务及保修，质保期外对设备进行定期巡检和维护。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w:t>
      </w:r>
      <w:r>
        <w:rPr>
          <w:rFonts w:hint="eastAsia" w:asciiTheme="minorEastAsia" w:hAnsiTheme="minorEastAsia" w:eastAsiaTheme="minorEastAsia" w:cstheme="minorEastAsia"/>
          <w:color w:val="auto"/>
          <w:szCs w:val="21"/>
        </w:rPr>
        <w:t>国产设备合同总金额的5%；签订合同前5个工作日递交，以支票、汇票、本票等非现金形式提交。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8、付款方式：</w:t>
      </w:r>
      <w:r>
        <w:rPr>
          <w:rFonts w:hint="eastAsia" w:asciiTheme="minorEastAsia" w:hAnsiTheme="minorEastAsia" w:eastAsiaTheme="minorEastAsia" w:cstheme="minorEastAsia"/>
          <w:color w:val="auto"/>
          <w:szCs w:val="21"/>
        </w:rPr>
        <w:t>经甲方验收合格并收到乙方发票后10天内，甲方向乙方支付合同总金额的100%；履约保证金自动转为质保金，货物验收合格后安全运行一年（自验收合格之日起计算），如无质量及售后服务等其他违约事项，甲方向乙方无息退还质量保证金。</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rPr>
          <w:rFonts w:hint="eastAsia" w:asciiTheme="minorEastAsia" w:hAnsiTheme="minorEastAsia" w:eastAsiaTheme="minorEastAsia" w:cstheme="minorEastAsia"/>
          <w:szCs w:val="21"/>
        </w:rPr>
      </w:pPr>
      <w:bookmarkStart w:id="119" w:name="_Toc2788"/>
      <w:r>
        <w:rPr>
          <w:rFonts w:hint="eastAsia" w:asciiTheme="minorEastAsia" w:hAnsiTheme="minorEastAsia" w:eastAsiaTheme="minorEastAsia" w:cstheme="minorEastAsia"/>
          <w:sz w:val="36"/>
          <w:szCs w:val="36"/>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19"/>
    </w:p>
    <w:p>
      <w:pPr>
        <w:spacing w:line="360" w:lineRule="auto"/>
        <w:outlineLvl w:val="1"/>
        <w:rPr>
          <w:rFonts w:hint="eastAsia" w:asciiTheme="minorEastAsia" w:hAnsiTheme="minorEastAsia" w:eastAsiaTheme="minorEastAsia" w:cstheme="minorEastAsia"/>
          <w:b/>
          <w:szCs w:val="21"/>
        </w:rPr>
      </w:pPr>
      <w:bookmarkStart w:id="120" w:name="_Toc8606"/>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0"/>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相同品牌处理原则</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1" w:name="_Toc32290"/>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1"/>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szCs w:val="21"/>
          <w:lang w:val="en-US" w:eastAsia="zh-CN"/>
        </w:rPr>
      </w:pPr>
      <w:bookmarkStart w:id="122" w:name="_Toc1388"/>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2"/>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276"/>
        <w:gridCol w:w="66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7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612"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c>
          <w:tcPr>
            <w:tcW w:w="127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612" w:type="dxa"/>
            <w:vAlign w:val="center"/>
          </w:tcPr>
          <w:p>
            <w:pPr>
              <w:widowControl/>
              <w:spacing w:line="260" w:lineRule="exact"/>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lang w:val="en-US" w:eastAsia="zh-CN"/>
              </w:rPr>
              <w:t>30</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lang w:val="en-US" w:eastAsia="zh-CN"/>
              </w:rPr>
              <w:t>30</w:t>
            </w:r>
          </w:p>
          <w:p>
            <w:pPr>
              <w:widowControl/>
              <w:spacing w:line="260" w:lineRule="exact"/>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664" w:type="dxa"/>
            <w:vAlign w:val="center"/>
          </w:tcPr>
          <w:p>
            <w:pPr>
              <w:widowControl/>
              <w:spacing w:line="260" w:lineRule="exact"/>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25</w:t>
            </w:r>
            <w:r>
              <w:rPr>
                <w:rFonts w:hint="eastAsia" w:asciiTheme="minorEastAsia" w:hAnsiTheme="minorEastAsia" w:eastAsiaTheme="minorEastAsia" w:cstheme="minorEastAsia"/>
                <w:color w:val="auto"/>
                <w:spacing w:val="-6"/>
                <w:sz w:val="21"/>
                <w:szCs w:val="21"/>
              </w:rPr>
              <w:t>分</w:t>
            </w:r>
          </w:p>
        </w:tc>
        <w:tc>
          <w:tcPr>
            <w:tcW w:w="1276" w:type="dxa"/>
            <w:vAlign w:val="center"/>
          </w:tcPr>
          <w:p>
            <w:pPr>
              <w:spacing w:line="360" w:lineRule="auto"/>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类似业绩</w:t>
            </w:r>
          </w:p>
        </w:tc>
        <w:tc>
          <w:tcPr>
            <w:tcW w:w="6612" w:type="dxa"/>
            <w:vAlign w:val="center"/>
          </w:tcPr>
          <w:p>
            <w:pPr>
              <w:spacing w:line="360" w:lineRule="auto"/>
              <w:rPr>
                <w:rFonts w:hint="eastAsia" w:ascii="宋体" w:hAnsi="宋体" w:eastAsia="宋体" w:cs="宋体"/>
                <w:kern w:val="2"/>
                <w:sz w:val="21"/>
                <w:szCs w:val="24"/>
                <w:lang w:val="en-US" w:eastAsia="zh-CN" w:bidi="ar-SA"/>
              </w:rPr>
            </w:pPr>
            <w:r>
              <w:rPr>
                <w:rFonts w:hint="eastAsia" w:ascii="宋体" w:hAnsi="宋体" w:eastAsia="宋体" w:cs="宋体"/>
              </w:rPr>
              <w:t>近三年（磋商截止时间往前推算36个月）具有类似采购业绩的，每个得2分，最多得</w:t>
            </w:r>
            <w:r>
              <w:rPr>
                <w:rFonts w:hint="eastAsia" w:ascii="宋体" w:hAnsi="宋体" w:eastAsia="宋体" w:cs="宋体"/>
                <w:lang w:val="en-US" w:eastAsia="zh-CN"/>
              </w:rPr>
              <w:t>8</w:t>
            </w:r>
            <w:r>
              <w:rPr>
                <w:rFonts w:hint="eastAsia" w:ascii="宋体" w:hAnsi="宋体" w:eastAsia="宋体" w:cs="宋体"/>
              </w:rPr>
              <w:t>分；（需提供合同真彩扫描件并加盖公章，未提供不得分）</w:t>
            </w:r>
          </w:p>
        </w:tc>
        <w:tc>
          <w:tcPr>
            <w:tcW w:w="664" w:type="dxa"/>
            <w:vAlign w:val="center"/>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8</w:t>
            </w:r>
            <w:r>
              <w:rPr>
                <w:rFonts w:hint="eastAsia" w:ascii="宋体" w:hAnsi="宋体" w:eastAsia="宋体" w:cs="宋体"/>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276" w:type="dxa"/>
            <w:vAlign w:val="center"/>
          </w:tcPr>
          <w:p>
            <w:pPr>
              <w:spacing w:line="36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szCs w:val="21"/>
              </w:rPr>
              <w:t>财务状况</w:t>
            </w:r>
          </w:p>
        </w:tc>
        <w:tc>
          <w:tcPr>
            <w:tcW w:w="6612" w:type="dxa"/>
            <w:vAlign w:val="center"/>
          </w:tcPr>
          <w:p>
            <w:pPr>
              <w:spacing w:line="360" w:lineRule="auto"/>
              <w:rPr>
                <w:rFonts w:hint="eastAsia" w:ascii="宋体" w:hAnsi="宋体" w:eastAsia="宋体" w:cs="宋体"/>
                <w:spacing w:val="-6"/>
                <w:szCs w:val="21"/>
              </w:rPr>
            </w:pPr>
            <w:r>
              <w:rPr>
                <w:rFonts w:hint="eastAsia" w:ascii="宋体" w:hAnsi="宋体" w:eastAsia="宋体" w:cs="宋体"/>
                <w:spacing w:val="-6"/>
                <w:szCs w:val="21"/>
              </w:rPr>
              <w:t>根据供应商提供的近三年（2017</w:t>
            </w:r>
            <w:r>
              <w:rPr>
                <w:rFonts w:hint="eastAsia" w:ascii="宋体" w:hAnsi="宋体" w:cs="宋体"/>
                <w:spacing w:val="-6"/>
                <w:szCs w:val="21"/>
                <w:lang w:eastAsia="zh-CN"/>
              </w:rPr>
              <w:t>年</w:t>
            </w:r>
            <w:r>
              <w:rPr>
                <w:rFonts w:hint="eastAsia" w:ascii="宋体" w:hAnsi="宋体" w:eastAsia="宋体" w:cs="宋体"/>
                <w:spacing w:val="-6"/>
                <w:szCs w:val="21"/>
              </w:rPr>
              <w:t>、2018</w:t>
            </w:r>
            <w:r>
              <w:rPr>
                <w:rFonts w:hint="eastAsia" w:ascii="宋体" w:hAnsi="宋体" w:cs="宋体"/>
                <w:spacing w:val="-6"/>
                <w:szCs w:val="21"/>
                <w:lang w:eastAsia="zh-CN"/>
              </w:rPr>
              <w:t>年、</w:t>
            </w:r>
            <w:r>
              <w:rPr>
                <w:rFonts w:hint="eastAsia" w:ascii="宋体" w:hAnsi="宋体" w:cs="宋体"/>
                <w:spacing w:val="-6"/>
                <w:szCs w:val="21"/>
                <w:lang w:val="en-US" w:eastAsia="zh-CN"/>
              </w:rPr>
              <w:t>2019年</w:t>
            </w:r>
            <w:r>
              <w:rPr>
                <w:rFonts w:hint="eastAsia" w:ascii="宋体" w:hAnsi="宋体" w:eastAsia="宋体" w:cs="宋体"/>
                <w:spacing w:val="-6"/>
                <w:szCs w:val="21"/>
              </w:rPr>
              <w:t>）财务报告，对其经营状况、财务状况相互比较：</w:t>
            </w:r>
          </w:p>
          <w:p>
            <w:pPr>
              <w:spacing w:line="360" w:lineRule="auto"/>
              <w:rPr>
                <w:rFonts w:hint="eastAsia" w:ascii="宋体" w:hAnsi="宋体" w:eastAsia="宋体" w:cs="宋体"/>
                <w:spacing w:val="-6"/>
                <w:szCs w:val="21"/>
              </w:rPr>
            </w:pPr>
            <w:r>
              <w:rPr>
                <w:rFonts w:hint="eastAsia" w:ascii="宋体" w:hAnsi="宋体" w:eastAsia="宋体" w:cs="宋体"/>
                <w:spacing w:val="-6"/>
                <w:szCs w:val="21"/>
              </w:rPr>
              <w:t>连续盈利，偿债能力、盈利能力和抗风险能力强的，得3分；</w:t>
            </w:r>
          </w:p>
          <w:p>
            <w:pPr>
              <w:spacing w:line="360" w:lineRule="auto"/>
              <w:rPr>
                <w:rFonts w:hint="eastAsia" w:ascii="宋体" w:hAnsi="宋体" w:eastAsia="宋体" w:cs="宋体"/>
                <w:spacing w:val="-6"/>
                <w:szCs w:val="21"/>
              </w:rPr>
            </w:pPr>
            <w:r>
              <w:rPr>
                <w:rFonts w:hint="eastAsia" w:ascii="宋体" w:hAnsi="宋体" w:eastAsia="宋体" w:cs="宋体"/>
                <w:spacing w:val="-6"/>
                <w:szCs w:val="21"/>
              </w:rPr>
              <w:t>盈利情况一般，偿债能力和抗风险能力较弱的，得2分；</w:t>
            </w:r>
          </w:p>
          <w:p>
            <w:pPr>
              <w:spacing w:line="360" w:lineRule="auto"/>
              <w:rPr>
                <w:rFonts w:hint="eastAsia" w:ascii="宋体" w:hAnsi="宋体" w:eastAsia="宋体" w:cs="宋体"/>
                <w:spacing w:val="-6"/>
                <w:szCs w:val="21"/>
              </w:rPr>
            </w:pPr>
            <w:r>
              <w:rPr>
                <w:rFonts w:hint="eastAsia" w:ascii="宋体" w:hAnsi="宋体" w:eastAsia="宋体" w:cs="宋体"/>
                <w:spacing w:val="-6"/>
                <w:szCs w:val="21"/>
              </w:rPr>
              <w:t>无盈利，偿债能力和抗风险能力差的，得1分；</w:t>
            </w:r>
          </w:p>
          <w:p>
            <w:pPr>
              <w:spacing w:line="360" w:lineRule="auto"/>
              <w:rPr>
                <w:rFonts w:hint="eastAsia" w:ascii="宋体" w:hAnsi="宋体" w:eastAsia="宋体" w:cs="宋体"/>
                <w:spacing w:val="-6"/>
                <w:kern w:val="2"/>
                <w:sz w:val="21"/>
                <w:szCs w:val="21"/>
                <w:lang w:val="en-US" w:eastAsia="zh-CN" w:bidi="ar-SA"/>
              </w:rPr>
            </w:pPr>
            <w:r>
              <w:rPr>
                <w:rFonts w:hint="eastAsia" w:ascii="宋体" w:hAnsi="宋体" w:eastAsia="宋体" w:cs="宋体"/>
                <w:spacing w:val="-6"/>
                <w:szCs w:val="21"/>
              </w:rPr>
              <w:t>（成立不足三年的按公司成立时间起算）</w:t>
            </w:r>
          </w:p>
        </w:tc>
        <w:tc>
          <w:tcPr>
            <w:tcW w:w="664" w:type="dxa"/>
            <w:vAlign w:val="center"/>
          </w:tcPr>
          <w:p>
            <w:pPr>
              <w:spacing w:line="360" w:lineRule="auto"/>
              <w:jc w:val="center"/>
              <w:rPr>
                <w:rFonts w:hint="eastAsia" w:ascii="宋体" w:hAnsi="宋体" w:eastAsia="宋体" w:cs="宋体"/>
                <w:spacing w:val="-6"/>
                <w:kern w:val="2"/>
                <w:sz w:val="21"/>
                <w:szCs w:val="21"/>
                <w:lang w:val="en-US" w:eastAsia="zh-CN" w:bidi="ar-SA"/>
              </w:rPr>
            </w:pPr>
            <w:r>
              <w:rPr>
                <w:rFonts w:hint="eastAsia" w:ascii="宋体" w:hAnsi="宋体" w:eastAsia="宋体" w:cs="宋体"/>
                <w:spacing w:val="-6"/>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276" w:type="dxa"/>
            <w:vAlign w:val="center"/>
          </w:tcPr>
          <w:p>
            <w:pPr>
              <w:widowControl/>
              <w:spacing w:line="360" w:lineRule="auto"/>
              <w:jc w:val="center"/>
              <w:textAlignment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Cs w:val="21"/>
              </w:rPr>
              <w:t>用户评价</w:t>
            </w:r>
          </w:p>
        </w:tc>
        <w:tc>
          <w:tcPr>
            <w:tcW w:w="6612" w:type="dxa"/>
            <w:vAlign w:val="center"/>
          </w:tcPr>
          <w:p>
            <w:pPr>
              <w:widowControl/>
              <w:spacing w:line="360" w:lineRule="auto"/>
              <w:textAlignment w:val="center"/>
              <w:rPr>
                <w:rFonts w:hint="eastAsia" w:ascii="宋体" w:hAnsi="宋体" w:eastAsia="宋体" w:cs="宋体"/>
                <w:spacing w:val="-6"/>
                <w:kern w:val="2"/>
                <w:sz w:val="21"/>
                <w:szCs w:val="21"/>
                <w:lang w:val="en-US" w:eastAsia="zh-CN" w:bidi="ar-SA"/>
              </w:rPr>
            </w:pPr>
            <w:r>
              <w:rPr>
                <w:rFonts w:hint="eastAsia" w:ascii="宋体" w:hAnsi="宋体" w:eastAsia="宋体" w:cs="宋体"/>
                <w:szCs w:val="21"/>
              </w:rPr>
              <w:t>提供近</w:t>
            </w:r>
            <w:r>
              <w:rPr>
                <w:rFonts w:hint="eastAsia" w:ascii="宋体" w:hAnsi="宋体" w:eastAsia="宋体" w:cs="宋体"/>
                <w:kern w:val="0"/>
                <w:szCs w:val="21"/>
              </w:rPr>
              <w:t>三年</w:t>
            </w:r>
            <w:r>
              <w:rPr>
                <w:rFonts w:hint="eastAsia" w:ascii="宋体" w:hAnsi="宋体" w:eastAsia="宋体" w:cs="宋体"/>
              </w:rPr>
              <w:t>（磋商截止时间往前推算36个月）</w:t>
            </w:r>
            <w:r>
              <w:rPr>
                <w:rFonts w:hint="eastAsia" w:ascii="宋体" w:hAnsi="宋体" w:eastAsia="宋体" w:cs="宋体"/>
                <w:szCs w:val="21"/>
              </w:rPr>
              <w:t>用户出具的满意评价证明（盖用户单位公章），每提供一个得1分，最高得</w:t>
            </w:r>
            <w:r>
              <w:rPr>
                <w:rFonts w:hint="eastAsia"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pacing w:val="-6"/>
                <w:szCs w:val="21"/>
              </w:rPr>
              <w:t>（需提供不同单位出具加盖公章的满意评价证明）</w:t>
            </w:r>
          </w:p>
        </w:tc>
        <w:tc>
          <w:tcPr>
            <w:tcW w:w="664" w:type="dxa"/>
            <w:vAlign w:val="center"/>
          </w:tcPr>
          <w:p>
            <w:pPr>
              <w:widowControl/>
              <w:spacing w:line="360" w:lineRule="auto"/>
              <w:jc w:val="center"/>
              <w:textAlignment w:val="center"/>
              <w:rPr>
                <w:rFonts w:hint="eastAsia" w:ascii="宋体" w:hAnsi="宋体" w:eastAsia="宋体" w:cs="宋体"/>
                <w:spacing w:val="-6"/>
                <w:kern w:val="2"/>
                <w:sz w:val="21"/>
                <w:szCs w:val="21"/>
                <w:lang w:val="en-US" w:eastAsia="zh-CN" w:bidi="ar-SA"/>
              </w:rPr>
            </w:pPr>
            <w:r>
              <w:rPr>
                <w:rFonts w:hint="eastAsia" w:ascii="宋体" w:hAnsi="宋体" w:eastAsia="宋体" w:cs="宋体"/>
                <w:kern w:val="0"/>
                <w:szCs w:val="21"/>
                <w:lang w:val="en-US" w:eastAsia="zh-CN"/>
              </w:rPr>
              <w:t>5</w:t>
            </w:r>
            <w:r>
              <w:rPr>
                <w:rFonts w:hint="eastAsia" w:ascii="宋体" w:hAnsi="宋体" w:eastAsia="宋体" w:cs="宋体"/>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276" w:type="dxa"/>
            <w:tcBorders>
              <w:bottom w:val="single" w:color="auto" w:sz="4" w:space="0"/>
            </w:tcBorders>
            <w:vAlign w:val="center"/>
          </w:tcPr>
          <w:p>
            <w:pPr>
              <w:spacing w:line="36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体系认证</w:t>
            </w:r>
          </w:p>
        </w:tc>
        <w:tc>
          <w:tcPr>
            <w:tcW w:w="6612" w:type="dxa"/>
            <w:tcBorders>
              <w:bottom w:val="single" w:color="auto" w:sz="4" w:space="0"/>
            </w:tcBorders>
            <w:vAlign w:val="center"/>
          </w:tcPr>
          <w:p>
            <w:pPr>
              <w:spacing w:line="36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提供OHSAS1800职业健康体系认证证书、ISO9001质量管理体系认证证书、ISO14001环境管理体系认证。每提供1 个证书得1分，不提供的不得分。</w:t>
            </w:r>
          </w:p>
        </w:tc>
        <w:tc>
          <w:tcPr>
            <w:tcW w:w="664" w:type="dxa"/>
            <w:tcBorders>
              <w:bottom w:val="single" w:color="auto" w:sz="4" w:space="0"/>
            </w:tcBorders>
            <w:vAlign w:val="center"/>
          </w:tcPr>
          <w:p>
            <w:pPr>
              <w:spacing w:line="36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6"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276" w:type="dxa"/>
            <w:vMerge w:val="restart"/>
            <w:tcBorders>
              <w:top w:val="single" w:color="auto" w:sz="4" w:space="0"/>
            </w:tcBorders>
            <w:vAlign w:val="center"/>
          </w:tcPr>
          <w:p>
            <w:pPr>
              <w:rPr>
                <w:rFonts w:hint="eastAsia" w:ascii="宋体" w:hAnsi="宋体" w:eastAsia="宋体" w:cs="宋体"/>
                <w:spacing w:val="-6"/>
                <w:kern w:val="0"/>
                <w:sz w:val="21"/>
                <w:szCs w:val="21"/>
                <w:lang w:eastAsia="zh-CN"/>
              </w:rPr>
            </w:pPr>
            <w:r>
              <w:rPr>
                <w:rFonts w:hint="eastAsia" w:ascii="宋体" w:hAnsi="宋体" w:eastAsia="宋体" w:cs="宋体"/>
                <w:spacing w:val="-6"/>
                <w:kern w:val="0"/>
                <w:sz w:val="21"/>
                <w:szCs w:val="21"/>
                <w:lang w:eastAsia="zh-CN"/>
              </w:rPr>
              <w:t>企业认证</w:t>
            </w:r>
          </w:p>
        </w:tc>
        <w:tc>
          <w:tcPr>
            <w:tcW w:w="6612" w:type="dxa"/>
            <w:tcBorders>
              <w:top w:val="single" w:color="auto" w:sz="4" w:space="0"/>
            </w:tcBorders>
            <w:vAlign w:val="center"/>
          </w:tcPr>
          <w:p>
            <w:pPr>
              <w:autoSpaceDE w:val="0"/>
              <w:autoSpaceDN w:val="0"/>
              <w:adjustRightInd w:val="0"/>
              <w:spacing w:line="300" w:lineRule="auto"/>
              <w:ind w:right="71" w:rightChars="34"/>
              <w:rPr>
                <w:rFonts w:hint="default" w:ascii="宋体" w:hAnsi="宋体" w:eastAsia="宋体" w:cs="宋体"/>
                <w:spacing w:val="-6"/>
                <w:kern w:val="0"/>
                <w:sz w:val="21"/>
                <w:szCs w:val="21"/>
                <w:lang w:val="en-US" w:eastAsia="zh-CN"/>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提供整机（含显示器）3C认证</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2分，不提供则不得分。</w:t>
            </w:r>
          </w:p>
        </w:tc>
        <w:tc>
          <w:tcPr>
            <w:tcW w:w="664" w:type="dxa"/>
            <w:tcBorders>
              <w:top w:val="single" w:color="auto" w:sz="4" w:space="0"/>
            </w:tcBorders>
            <w:vAlign w:val="center"/>
          </w:tcPr>
          <w:p>
            <w:pPr>
              <w:autoSpaceDE w:val="0"/>
              <w:autoSpaceDN w:val="0"/>
              <w:adjustRightInd w:val="0"/>
              <w:spacing w:line="300" w:lineRule="auto"/>
              <w:ind w:right="71" w:rightChars="34"/>
              <w:rPr>
                <w:rFonts w:hint="eastAsia" w:ascii="宋体" w:hAnsi="宋体" w:eastAsia="宋体" w:cs="宋体"/>
                <w:spacing w:val="-6"/>
                <w:kern w:val="0"/>
                <w:sz w:val="21"/>
                <w:szCs w:val="21"/>
                <w:lang w:val="en-US" w:eastAsia="zh-CN"/>
              </w:rPr>
            </w:pPr>
            <w:r>
              <w:rPr>
                <w:rFonts w:hint="eastAsia" w:ascii="宋体" w:hAnsi="宋体" w:cs="宋体"/>
                <w:spacing w:val="-6"/>
                <w:kern w:val="0"/>
                <w:sz w:val="21"/>
                <w:szCs w:val="21"/>
                <w:lang w:val="en-US" w:eastAsia="zh-CN"/>
              </w:rPr>
              <w:t>2</w:t>
            </w:r>
            <w:r>
              <w:rPr>
                <w:rFonts w:hint="eastAsia" w:ascii="宋体" w:hAnsi="宋体" w:eastAsia="宋体" w:cs="宋体"/>
                <w:spacing w:val="-6"/>
                <w:kern w:val="0"/>
                <w:sz w:val="21"/>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6" w:hRule="atLeast"/>
        </w:trPr>
        <w:tc>
          <w:tcPr>
            <w:tcW w:w="736" w:type="dxa"/>
            <w:vMerge w:val="continue"/>
            <w:vAlign w:val="center"/>
          </w:tcPr>
          <w:p>
            <w:pPr>
              <w:autoSpaceDE w:val="0"/>
              <w:autoSpaceDN w:val="0"/>
              <w:adjustRightInd w:val="0"/>
              <w:spacing w:line="300" w:lineRule="auto"/>
              <w:ind w:right="71" w:rightChars="34"/>
            </w:pPr>
          </w:p>
        </w:tc>
        <w:tc>
          <w:tcPr>
            <w:tcW w:w="1276" w:type="dxa"/>
            <w:vMerge w:val="continue"/>
            <w:vAlign w:val="center"/>
          </w:tcPr>
          <w:p>
            <w:pPr>
              <w:autoSpaceDE w:val="0"/>
              <w:autoSpaceDN w:val="0"/>
              <w:adjustRightInd w:val="0"/>
              <w:spacing w:line="300" w:lineRule="auto"/>
              <w:ind w:right="71" w:rightChars="34"/>
            </w:pPr>
          </w:p>
        </w:tc>
        <w:tc>
          <w:tcPr>
            <w:tcW w:w="6612" w:type="dxa"/>
            <w:tcBorders>
              <w:top w:val="single" w:color="auto" w:sz="4" w:space="0"/>
            </w:tcBorders>
            <w:vAlign w:val="center"/>
          </w:tcPr>
          <w:p>
            <w:pPr>
              <w:autoSpaceDE w:val="0"/>
              <w:autoSpaceDN w:val="0"/>
              <w:adjustRightInd w:val="0"/>
              <w:spacing w:line="300" w:lineRule="auto"/>
              <w:ind w:right="71" w:rightChars="34"/>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w:t>
            </w:r>
            <w:r>
              <w:rPr>
                <w:rFonts w:hint="eastAsia" w:ascii="宋体" w:hAnsi="宋体" w:eastAsia="宋体" w:cs="宋体"/>
                <w:color w:val="auto"/>
                <w:sz w:val="21"/>
                <w:szCs w:val="21"/>
                <w:lang w:eastAsia="zh-CN"/>
              </w:rPr>
              <w:t>节能环保产品证书</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2分，不提供则不得分。</w:t>
            </w:r>
          </w:p>
        </w:tc>
        <w:tc>
          <w:tcPr>
            <w:tcW w:w="664" w:type="dxa"/>
            <w:vAlign w:val="center"/>
          </w:tcPr>
          <w:p>
            <w:pPr>
              <w:autoSpaceDE w:val="0"/>
              <w:autoSpaceDN w:val="0"/>
              <w:adjustRightInd w:val="0"/>
              <w:spacing w:line="300" w:lineRule="auto"/>
              <w:ind w:right="71" w:rightChars="34"/>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6" w:hRule="atLeast"/>
        </w:trPr>
        <w:tc>
          <w:tcPr>
            <w:tcW w:w="736" w:type="dxa"/>
            <w:vMerge w:val="continue"/>
            <w:vAlign w:val="center"/>
          </w:tcPr>
          <w:p>
            <w:pPr>
              <w:autoSpaceDE w:val="0"/>
              <w:autoSpaceDN w:val="0"/>
              <w:adjustRightInd w:val="0"/>
              <w:spacing w:line="300" w:lineRule="auto"/>
              <w:ind w:right="71" w:rightChars="34"/>
              <w:rPr>
                <w:rFonts w:hint="eastAsia" w:ascii="宋体" w:hAnsi="宋体" w:eastAsia="宋体" w:cs="宋体"/>
                <w:color w:val="auto"/>
                <w:sz w:val="21"/>
                <w:szCs w:val="21"/>
                <w:lang w:eastAsia="zh-CN"/>
              </w:rPr>
            </w:pPr>
          </w:p>
        </w:tc>
        <w:tc>
          <w:tcPr>
            <w:tcW w:w="1276" w:type="dxa"/>
            <w:vMerge w:val="continue"/>
            <w:vAlign w:val="center"/>
          </w:tcPr>
          <w:p>
            <w:pPr>
              <w:autoSpaceDE w:val="0"/>
              <w:autoSpaceDN w:val="0"/>
              <w:adjustRightInd w:val="0"/>
              <w:spacing w:line="300" w:lineRule="auto"/>
              <w:ind w:right="71" w:rightChars="34"/>
              <w:rPr>
                <w:rFonts w:hint="eastAsia" w:ascii="宋体" w:hAnsi="宋体" w:eastAsia="宋体" w:cs="宋体"/>
                <w:color w:val="auto"/>
                <w:sz w:val="21"/>
                <w:szCs w:val="21"/>
                <w:lang w:eastAsia="zh-CN"/>
              </w:rPr>
            </w:pPr>
          </w:p>
        </w:tc>
        <w:tc>
          <w:tcPr>
            <w:tcW w:w="6612" w:type="dxa"/>
            <w:tcBorders>
              <w:top w:val="single" w:color="auto" w:sz="4" w:space="0"/>
            </w:tcBorders>
            <w:vAlign w:val="center"/>
          </w:tcPr>
          <w:p>
            <w:pPr>
              <w:autoSpaceDE w:val="0"/>
              <w:autoSpaceDN w:val="0"/>
              <w:adjustRightInd w:val="0"/>
              <w:spacing w:line="300" w:lineRule="auto"/>
              <w:ind w:right="71" w:rightChars="34"/>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w:t>
            </w:r>
            <w:r>
              <w:rPr>
                <w:rFonts w:hint="eastAsia" w:ascii="宋体" w:hAnsi="宋体" w:eastAsia="宋体" w:cs="宋体"/>
                <w:color w:val="auto"/>
                <w:sz w:val="21"/>
                <w:szCs w:val="21"/>
                <w:lang w:eastAsia="zh-CN"/>
              </w:rPr>
              <w:t>客户联络中心国标标准管理体系4PS认证</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2分，不提供则不得分。</w:t>
            </w:r>
          </w:p>
        </w:tc>
        <w:tc>
          <w:tcPr>
            <w:tcW w:w="664" w:type="dxa"/>
            <w:vAlign w:val="center"/>
          </w:tcPr>
          <w:p>
            <w:pPr>
              <w:autoSpaceDE w:val="0"/>
              <w:autoSpaceDN w:val="0"/>
              <w:adjustRightInd w:val="0"/>
              <w:spacing w:line="300" w:lineRule="auto"/>
              <w:ind w:right="71" w:rightChars="34"/>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45</w:t>
            </w:r>
            <w:r>
              <w:rPr>
                <w:rFonts w:hint="eastAsia" w:asciiTheme="minorEastAsia" w:hAnsiTheme="minorEastAsia" w:eastAsiaTheme="minorEastAsia" w:cstheme="minorEastAsia"/>
                <w:color w:val="auto"/>
                <w:spacing w:val="-6"/>
                <w:sz w:val="21"/>
                <w:szCs w:val="21"/>
              </w:rPr>
              <w:t>分</w:t>
            </w:r>
          </w:p>
        </w:tc>
        <w:tc>
          <w:tcPr>
            <w:tcW w:w="1276" w:type="dxa"/>
            <w:vAlign w:val="center"/>
          </w:tcPr>
          <w:p>
            <w:pPr>
              <w:spacing w:line="360" w:lineRule="auto"/>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技术响应</w:t>
            </w:r>
          </w:p>
        </w:tc>
        <w:tc>
          <w:tcPr>
            <w:tcW w:w="6612" w:type="dxa"/>
            <w:vAlign w:val="center"/>
          </w:tcPr>
          <w:p>
            <w:pPr>
              <w:widowControl/>
              <w:spacing w:line="360" w:lineRule="auto"/>
              <w:rPr>
                <w:rFonts w:hint="eastAsia" w:ascii="宋体" w:hAnsi="宋体" w:eastAsia="宋体" w:cs="宋体"/>
              </w:rPr>
            </w:pPr>
            <w:r>
              <w:rPr>
                <w:rFonts w:hint="eastAsia" w:ascii="宋体" w:hAnsi="宋体" w:eastAsia="宋体" w:cs="宋体"/>
              </w:rPr>
              <w:t>供应商所投产品技术参数响应情况占</w:t>
            </w:r>
            <w:r>
              <w:rPr>
                <w:rFonts w:hint="eastAsia" w:ascii="宋体" w:hAnsi="宋体" w:cs="宋体"/>
                <w:lang w:val="en-US" w:eastAsia="zh-CN"/>
              </w:rPr>
              <w:t>35</w:t>
            </w:r>
            <w:r>
              <w:rPr>
                <w:rFonts w:hint="eastAsia" w:ascii="宋体" w:hAnsi="宋体" w:eastAsia="宋体" w:cs="宋体"/>
              </w:rPr>
              <w:t>分，具体由磋商小组根据供应商的响应文件中产品情况、《技术响应、偏离说明表》等有关资料打分。</w:t>
            </w:r>
          </w:p>
          <w:p>
            <w:pPr>
              <w:widowControl/>
              <w:spacing w:line="360" w:lineRule="auto"/>
              <w:rPr>
                <w:rFonts w:hint="eastAsia" w:ascii="宋体" w:hAnsi="宋体" w:eastAsia="宋体" w:cs="宋体"/>
              </w:rPr>
            </w:pPr>
            <w:r>
              <w:rPr>
                <w:rFonts w:hint="eastAsia" w:ascii="宋体" w:hAnsi="宋体" w:eastAsia="宋体" w:cs="宋体"/>
              </w:rPr>
              <w:t>其中：完全满足磋商文件技术参数要求的得</w:t>
            </w:r>
            <w:r>
              <w:rPr>
                <w:rFonts w:hint="eastAsia" w:ascii="宋体" w:hAnsi="宋体" w:cs="宋体"/>
                <w:lang w:val="en-US" w:eastAsia="zh-CN"/>
              </w:rPr>
              <w:t>35</w:t>
            </w:r>
            <w:r>
              <w:rPr>
                <w:rFonts w:hint="eastAsia" w:ascii="宋体" w:hAnsi="宋体" w:eastAsia="宋体" w:cs="宋体"/>
              </w:rPr>
              <w:t>分；在此基础上，磋商文件中标注 “★”的内容为重要条款。标注“★”的内容有一项不符合的则每项扣5分，无标注“★”的内容有一项不符合的则每项扣 3分扣完为止。</w:t>
            </w:r>
          </w:p>
          <w:p>
            <w:pPr>
              <w:widowControl/>
              <w:spacing w:line="360" w:lineRule="auto"/>
              <w:rPr>
                <w:rFonts w:hint="eastAsia" w:ascii="宋体" w:hAnsi="宋体" w:eastAsia="宋体" w:cs="宋体"/>
                <w:kern w:val="2"/>
                <w:sz w:val="21"/>
                <w:szCs w:val="24"/>
                <w:lang w:val="en-US" w:eastAsia="zh-CN" w:bidi="ar-SA"/>
              </w:rPr>
            </w:pPr>
            <w:r>
              <w:rPr>
                <w:rFonts w:hint="eastAsia" w:ascii="宋体" w:hAnsi="宋体" w:eastAsia="宋体" w:cs="宋体"/>
              </w:rPr>
              <w:t>备注：复制磋商文件技术要求作为实际响应数据或投标响应数据无对应支持文件的，其技术响应将可能按负偏离处理。参数需列出证明文件予以佐证,未予以佐证视为不响应。（主要技术参数以提供原厂确认并盖章的技术参数或原厂出具的产品宣传彩页或打印的官网资料截图资料为准）</w:t>
            </w:r>
          </w:p>
        </w:tc>
        <w:tc>
          <w:tcPr>
            <w:tcW w:w="664" w:type="dxa"/>
            <w:vAlign w:val="center"/>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35</w:t>
            </w:r>
            <w:r>
              <w:rPr>
                <w:rFonts w:hint="eastAsia" w:ascii="宋体" w:hAnsi="宋体" w:eastAsia="宋体" w:cs="宋体"/>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276" w:type="dxa"/>
            <w:vAlign w:val="center"/>
          </w:tcPr>
          <w:p>
            <w:pPr>
              <w:widowControl/>
              <w:spacing w:line="360" w:lineRule="auto"/>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应急响应</w:t>
            </w:r>
          </w:p>
        </w:tc>
        <w:tc>
          <w:tcPr>
            <w:tcW w:w="6612" w:type="dxa"/>
            <w:vAlign w:val="center"/>
          </w:tcPr>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根据供应商售后服务机构配置情况</w:t>
            </w:r>
            <w:r>
              <w:rPr>
                <w:rFonts w:hint="eastAsia" w:ascii="宋体" w:hAnsi="宋体" w:cs="宋体"/>
                <w:kern w:val="0"/>
                <w:szCs w:val="21"/>
                <w:lang w:eastAsia="zh-CN"/>
              </w:rPr>
              <w:t>、交通便捷性、突发状况及时</w:t>
            </w:r>
            <w:r>
              <w:rPr>
                <w:rFonts w:hint="eastAsia" w:ascii="宋体" w:hAnsi="宋体" w:cs="宋体"/>
                <w:kern w:val="0"/>
                <w:szCs w:val="21"/>
                <w:lang w:val="en-US" w:eastAsia="zh-CN"/>
              </w:rPr>
              <w:t>响应情况</w:t>
            </w:r>
            <w:r>
              <w:rPr>
                <w:rFonts w:hint="eastAsia" w:ascii="宋体" w:hAnsi="宋体" w:cs="宋体"/>
                <w:kern w:val="0"/>
                <w:szCs w:val="21"/>
                <w:lang w:eastAsia="zh-CN"/>
              </w:rPr>
              <w:t>和</w:t>
            </w:r>
            <w:r>
              <w:rPr>
                <w:rFonts w:hint="eastAsia" w:ascii="宋体" w:hAnsi="宋体" w:cs="宋体"/>
                <w:kern w:val="0"/>
                <w:szCs w:val="21"/>
                <w:lang w:val="en-US" w:eastAsia="zh-CN"/>
              </w:rPr>
              <w:t>售后应急</w:t>
            </w:r>
            <w:r>
              <w:rPr>
                <w:rFonts w:hint="eastAsia" w:ascii="宋体" w:hAnsi="宋体" w:cs="宋体"/>
                <w:kern w:val="0"/>
                <w:szCs w:val="21"/>
                <w:lang w:eastAsia="zh-CN"/>
              </w:rPr>
              <w:t>响应</w:t>
            </w:r>
            <w:r>
              <w:rPr>
                <w:rFonts w:hint="eastAsia" w:ascii="宋体" w:hAnsi="宋体" w:cs="宋体"/>
                <w:kern w:val="0"/>
                <w:szCs w:val="21"/>
                <w:lang w:val="en-US" w:eastAsia="zh-CN"/>
              </w:rPr>
              <w:t>到位</w:t>
            </w:r>
            <w:r>
              <w:rPr>
                <w:rFonts w:hint="eastAsia" w:ascii="宋体" w:hAnsi="宋体" w:cs="宋体"/>
                <w:kern w:val="0"/>
                <w:szCs w:val="21"/>
                <w:lang w:eastAsia="zh-CN"/>
              </w:rPr>
              <w:t>时间承诺函（</w:t>
            </w:r>
            <w:r>
              <w:rPr>
                <w:rFonts w:hint="eastAsia" w:ascii="宋体" w:hAnsi="宋体" w:cs="宋体"/>
                <w:kern w:val="0"/>
                <w:szCs w:val="21"/>
                <w:lang w:val="en-US" w:eastAsia="zh-CN"/>
              </w:rPr>
              <w:t>格式自拟</w:t>
            </w:r>
            <w:r>
              <w:rPr>
                <w:rFonts w:hint="eastAsia" w:ascii="宋体" w:hAnsi="宋体" w:cs="宋体"/>
                <w:kern w:val="0"/>
                <w:szCs w:val="21"/>
                <w:lang w:eastAsia="zh-CN"/>
              </w:rPr>
              <w:t>）进行</w:t>
            </w:r>
            <w:r>
              <w:rPr>
                <w:rFonts w:hint="eastAsia" w:ascii="宋体" w:hAnsi="宋体" w:cs="宋体"/>
                <w:kern w:val="0"/>
                <w:szCs w:val="21"/>
                <w:lang w:val="en-US" w:eastAsia="zh-CN"/>
              </w:rPr>
              <w:t>综合评议</w:t>
            </w:r>
            <w:r>
              <w:rPr>
                <w:rFonts w:hint="eastAsia" w:ascii="宋体" w:hAnsi="宋体" w:cs="宋体"/>
                <w:kern w:val="0"/>
                <w:szCs w:val="21"/>
                <w:lang w:eastAsia="zh-CN"/>
              </w:rPr>
              <w:t>：</w:t>
            </w:r>
          </w:p>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售后服务机构配置情况良好</w:t>
            </w:r>
            <w:r>
              <w:rPr>
                <w:rFonts w:hint="eastAsia" w:ascii="宋体" w:hAnsi="宋体" w:cs="宋体"/>
                <w:kern w:val="0"/>
                <w:szCs w:val="21"/>
                <w:lang w:eastAsia="zh-CN"/>
              </w:rPr>
              <w:t>、交通便捷、响应时间快</w:t>
            </w:r>
            <w:r>
              <w:rPr>
                <w:rFonts w:hint="eastAsia" w:ascii="宋体" w:hAnsi="宋体" w:cs="宋体"/>
                <w:kern w:val="0"/>
                <w:szCs w:val="21"/>
              </w:rPr>
              <w:t>得</w:t>
            </w:r>
            <w:r>
              <w:rPr>
                <w:rFonts w:hint="eastAsia" w:ascii="宋体" w:hAnsi="宋体" w:cs="宋体"/>
                <w:kern w:val="0"/>
                <w:szCs w:val="21"/>
                <w:lang w:val="en-US" w:eastAsia="zh-CN"/>
              </w:rPr>
              <w:t>5</w:t>
            </w:r>
            <w:r>
              <w:rPr>
                <w:rFonts w:hint="eastAsia" w:ascii="宋体" w:hAnsi="宋体" w:cs="宋体"/>
                <w:kern w:val="0"/>
                <w:szCs w:val="21"/>
              </w:rPr>
              <w:t>分</w:t>
            </w:r>
            <w:r>
              <w:rPr>
                <w:rFonts w:hint="eastAsia" w:ascii="宋体" w:hAnsi="宋体" w:cs="宋体"/>
                <w:kern w:val="0"/>
                <w:szCs w:val="21"/>
                <w:lang w:eastAsia="zh-CN"/>
              </w:rPr>
              <w:t>；</w:t>
            </w:r>
          </w:p>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配置情况</w:t>
            </w:r>
            <w:r>
              <w:rPr>
                <w:rFonts w:hint="eastAsia" w:ascii="宋体" w:hAnsi="宋体" w:cs="宋体"/>
                <w:kern w:val="0"/>
                <w:szCs w:val="21"/>
                <w:lang w:eastAsia="zh-CN"/>
              </w:rPr>
              <w:t>、交通便捷、响应时间</w:t>
            </w:r>
            <w:r>
              <w:rPr>
                <w:rFonts w:hint="eastAsia" w:ascii="宋体" w:hAnsi="宋体" w:cs="宋体"/>
                <w:kern w:val="0"/>
                <w:szCs w:val="21"/>
              </w:rPr>
              <w:t>一般的得</w:t>
            </w:r>
            <w:r>
              <w:rPr>
                <w:rFonts w:hint="eastAsia" w:ascii="宋体" w:hAnsi="宋体" w:cs="宋体"/>
                <w:kern w:val="0"/>
                <w:szCs w:val="21"/>
                <w:lang w:val="en-US" w:eastAsia="zh-CN"/>
              </w:rPr>
              <w:t>3</w:t>
            </w:r>
            <w:r>
              <w:rPr>
                <w:rFonts w:hint="eastAsia" w:ascii="宋体" w:hAnsi="宋体" w:cs="宋体"/>
                <w:kern w:val="0"/>
                <w:szCs w:val="21"/>
              </w:rPr>
              <w:t>分</w:t>
            </w:r>
            <w:r>
              <w:rPr>
                <w:rFonts w:hint="eastAsia" w:ascii="宋体" w:hAnsi="宋体" w:cs="宋体"/>
                <w:kern w:val="0"/>
                <w:szCs w:val="21"/>
                <w:lang w:eastAsia="zh-CN"/>
              </w:rPr>
              <w:t>；</w:t>
            </w:r>
          </w:p>
          <w:p>
            <w:pPr>
              <w:widowControl/>
              <w:spacing w:line="360" w:lineRule="auto"/>
              <w:rPr>
                <w:rFonts w:hint="eastAsia" w:ascii="宋体" w:hAnsi="宋体" w:eastAsia="宋体" w:cs="宋体"/>
                <w:kern w:val="0"/>
                <w:sz w:val="21"/>
                <w:szCs w:val="21"/>
                <w:lang w:val="en-US" w:eastAsia="zh-CN" w:bidi="ar-SA"/>
              </w:rPr>
            </w:pPr>
            <w:r>
              <w:rPr>
                <w:rFonts w:hint="eastAsia" w:ascii="宋体" w:hAnsi="宋体" w:cs="宋体"/>
                <w:kern w:val="0"/>
                <w:szCs w:val="21"/>
              </w:rPr>
              <w:t>配置情况、交通便捷、响应时间</w:t>
            </w:r>
            <w:r>
              <w:rPr>
                <w:rFonts w:hint="eastAsia" w:ascii="宋体" w:hAnsi="宋体" w:cs="宋体"/>
                <w:kern w:val="0"/>
                <w:szCs w:val="21"/>
                <w:lang w:eastAsia="zh-CN"/>
              </w:rPr>
              <w:t>较差</w:t>
            </w:r>
            <w:r>
              <w:rPr>
                <w:rFonts w:hint="eastAsia" w:ascii="宋体" w:hAnsi="宋体" w:cs="宋体"/>
                <w:kern w:val="0"/>
                <w:szCs w:val="21"/>
              </w:rPr>
              <w:t>的得</w:t>
            </w:r>
            <w:r>
              <w:rPr>
                <w:rFonts w:hint="eastAsia" w:ascii="宋体" w:hAnsi="宋体" w:cs="宋体"/>
                <w:kern w:val="0"/>
                <w:szCs w:val="21"/>
                <w:lang w:val="en-US" w:eastAsia="zh-CN"/>
              </w:rPr>
              <w:t>1</w:t>
            </w:r>
            <w:r>
              <w:rPr>
                <w:rFonts w:hint="eastAsia" w:ascii="宋体" w:hAnsi="宋体" w:cs="宋体"/>
                <w:kern w:val="0"/>
                <w:szCs w:val="21"/>
              </w:rPr>
              <w:t>分</w:t>
            </w:r>
            <w:r>
              <w:rPr>
                <w:rFonts w:hint="eastAsia" w:ascii="宋体" w:hAnsi="宋体" w:cs="宋体"/>
                <w:kern w:val="0"/>
                <w:szCs w:val="21"/>
                <w:lang w:eastAsia="zh-CN"/>
              </w:rPr>
              <w:t>；</w:t>
            </w:r>
          </w:p>
        </w:tc>
        <w:tc>
          <w:tcPr>
            <w:tcW w:w="664" w:type="dxa"/>
            <w:vAlign w:val="center"/>
          </w:tcPr>
          <w:p>
            <w:pPr>
              <w:widowControl/>
              <w:spacing w:line="360" w:lineRule="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276" w:type="dxa"/>
            <w:vAlign w:val="center"/>
          </w:tcPr>
          <w:p>
            <w:pPr>
              <w:widowControl/>
              <w:spacing w:line="360" w:lineRule="auto"/>
              <w:jc w:val="center"/>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rPr>
              <w:t>人员组成情况</w:t>
            </w:r>
          </w:p>
        </w:tc>
        <w:tc>
          <w:tcPr>
            <w:tcW w:w="6612" w:type="dxa"/>
            <w:vAlign w:val="center"/>
          </w:tcPr>
          <w:p>
            <w:pPr>
              <w:widowControl/>
              <w:spacing w:line="360"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实施方案情况，包括人员组织、交货期、质量保证措施等进行评分，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w:t>
            </w:r>
            <w:r>
              <w:rPr>
                <w:rFonts w:hint="eastAsia" w:ascii="宋体" w:hAnsi="宋体" w:cs="宋体"/>
                <w:kern w:val="0"/>
                <w:szCs w:val="21"/>
                <w:lang w:val="en-US" w:eastAsia="zh-CN"/>
              </w:rPr>
              <w:t>5</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w:t>
            </w:r>
            <w:r>
              <w:rPr>
                <w:rFonts w:hint="eastAsia" w:ascii="宋体" w:hAnsi="宋体" w:cs="宋体"/>
                <w:kern w:val="0"/>
                <w:szCs w:val="21"/>
                <w:lang w:val="en-US" w:eastAsia="zh-CN"/>
              </w:rPr>
              <w:t>3</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w:t>
            </w:r>
            <w:r>
              <w:rPr>
                <w:rFonts w:hint="eastAsia" w:ascii="宋体" w:hAnsi="宋体" w:cs="宋体"/>
                <w:kern w:val="0"/>
                <w:szCs w:val="21"/>
                <w:lang w:val="en-US" w:eastAsia="zh-CN"/>
              </w:rPr>
              <w:t>1</w:t>
            </w:r>
            <w:r>
              <w:rPr>
                <w:rFonts w:hint="eastAsia" w:ascii="宋体" w:hAnsi="宋体" w:cs="宋体"/>
                <w:kern w:val="0"/>
                <w:szCs w:val="21"/>
              </w:rPr>
              <w:t>分；</w:t>
            </w:r>
          </w:p>
          <w:p>
            <w:pPr>
              <w:widowControl/>
              <w:spacing w:line="360" w:lineRule="auto"/>
              <w:rPr>
                <w:rFonts w:hint="eastAsia" w:asciiTheme="minorEastAsia" w:hAnsiTheme="minorEastAsia" w:eastAsiaTheme="minorEastAsia" w:cstheme="minorEastAsia"/>
                <w:kern w:val="2"/>
                <w:sz w:val="21"/>
                <w:szCs w:val="24"/>
                <w:lang w:val="en-US" w:eastAsia="zh-CN" w:bidi="ar-SA"/>
              </w:rPr>
            </w:pPr>
            <w:r>
              <w:rPr>
                <w:rFonts w:hint="eastAsia" w:ascii="宋体" w:hAnsi="宋体" w:cs="宋体"/>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9"/>
        <w:rPr>
          <w:rFonts w:hint="eastAsia" w:asciiTheme="minorEastAsia" w:hAnsiTheme="minorEastAsia" w:eastAsiaTheme="minorEastAsia" w:cstheme="minorEastAsia"/>
          <w:b/>
          <w:szCs w:val="21"/>
          <w:lang w:val="en-US" w:eastAsia="zh-CN"/>
        </w:rPr>
      </w:pPr>
      <w:bookmarkStart w:id="123" w:name="_Toc23609"/>
      <w:r>
        <w:rPr>
          <w:rFonts w:hint="eastAsia" w:asciiTheme="minorEastAsia" w:hAnsiTheme="minorEastAsia" w:eastAsiaTheme="minorEastAsia" w:cstheme="minorEastAsia"/>
          <w:b/>
          <w:szCs w:val="21"/>
          <w:lang w:val="en-US" w:eastAsia="zh-CN"/>
        </w:rPr>
        <w:br w:type="textWrapping"/>
      </w:r>
    </w:p>
    <w:p>
      <w:pPr>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3"/>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4" w:name="_Toc2115"/>
      <w:r>
        <w:rPr>
          <w:rFonts w:hint="eastAsia" w:asciiTheme="minorEastAsia" w:hAnsiTheme="minorEastAsia" w:eastAsiaTheme="minorEastAsia" w:cstheme="minorEastAsia"/>
          <w:b/>
          <w:szCs w:val="21"/>
          <w:lang w:val="en-US" w:eastAsia="zh-CN"/>
        </w:rPr>
        <w:t>五、磋商及评审步骤</w:t>
      </w:r>
      <w:bookmarkEnd w:id="124"/>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25" w:name="_Toc211783328"/>
      <w:bookmarkStart w:id="126" w:name="_Toc318643471"/>
      <w:bookmarkStart w:id="127" w:name="_Toc20360"/>
      <w:r>
        <w:rPr>
          <w:rFonts w:hint="eastAsia" w:asciiTheme="minorEastAsia" w:hAnsiTheme="minorEastAsia" w:eastAsiaTheme="minorEastAsia" w:cstheme="minorEastAsia"/>
          <w:sz w:val="36"/>
          <w:szCs w:val="36"/>
        </w:rPr>
        <w:t>合同书</w:t>
      </w:r>
      <w:bookmarkEnd w:id="125"/>
      <w:bookmarkEnd w:id="126"/>
      <w:r>
        <w:rPr>
          <w:rFonts w:hint="eastAsia" w:asciiTheme="minorEastAsia" w:hAnsiTheme="minorEastAsia" w:eastAsiaTheme="minorEastAsia" w:cstheme="minorEastAsia"/>
          <w:sz w:val="36"/>
          <w:szCs w:val="36"/>
          <w:lang w:val="en-US" w:eastAsia="zh-CN"/>
        </w:rPr>
        <w:t>格式</w:t>
      </w:r>
      <w:bookmarkEnd w:id="127"/>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spacing w:line="360" w:lineRule="auto"/>
        <w:rPr>
          <w:rFonts w:asciiTheme="minorEastAsia" w:hAnsiTheme="minorEastAsia" w:eastAsiaTheme="minorEastAsia" w:cstheme="minorEastAsia"/>
          <w:b/>
          <w:bCs/>
          <w:szCs w:val="21"/>
        </w:rPr>
      </w:pPr>
      <w:bookmarkStart w:id="128" w:name="_Toc16771"/>
      <w:r>
        <w:rPr>
          <w:rFonts w:hint="eastAsia" w:asciiTheme="minorEastAsia" w:hAnsiTheme="minorEastAsia" w:eastAsiaTheme="minorEastAsia" w:cstheme="minorEastAsia"/>
          <w:b/>
          <w:bCs/>
          <w:szCs w:val="21"/>
        </w:rPr>
        <w:t>国产设备合同：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合同签订地点：</w:t>
      </w:r>
      <w:r>
        <w:rPr>
          <w:rFonts w:hint="eastAsia" w:asciiTheme="minorEastAsia" w:hAnsiTheme="minorEastAsia" w:eastAsiaTheme="minorEastAsia" w:cstheme="minorEastAsia"/>
          <w:szCs w:val="21"/>
          <w:u w:val="single"/>
        </w:rPr>
        <w:t>中国武汉洪山</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需求方：华中农业大学                   （以下简称甲方）</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供应方：                               （以下简称乙方）</w:t>
      </w:r>
    </w:p>
    <w:p>
      <w:pPr>
        <w:spacing w:line="360" w:lineRule="auto"/>
        <w:rPr>
          <w:rFonts w:asciiTheme="minorEastAsia" w:hAnsiTheme="minorEastAsia" w:eastAsiaTheme="minorEastAsia" w:cstheme="minorEastAsia"/>
          <w:szCs w:val="21"/>
        </w:rPr>
      </w:pPr>
    </w:p>
    <w:p>
      <w:pPr>
        <w:pStyle w:val="11"/>
        <w:spacing w:line="360" w:lineRule="auto"/>
        <w:ind w:right="-153" w:rightChars="-73"/>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依据学校集中采购（采购编号： ）结果</w:t>
      </w:r>
      <w:r>
        <w:rPr>
          <w:rFonts w:hint="eastAsia" w:asciiTheme="minorEastAsia" w:hAnsiTheme="minorEastAsia" w:eastAsiaTheme="minorEastAsia" w:cstheme="minorEastAsia"/>
          <w:i/>
          <w:szCs w:val="21"/>
        </w:rPr>
        <w:t>（非学校集中采购则删除）</w:t>
      </w:r>
      <w:r>
        <w:rPr>
          <w:rFonts w:hint="eastAsia" w:asciiTheme="minorEastAsia" w:hAnsiTheme="minorEastAsia" w:eastAsiaTheme="minorEastAsia" w:cstheme="minorEastAsia"/>
          <w:szCs w:val="21"/>
        </w:rPr>
        <w:t>，根据《中华人民共和国合同法》。为明确甲、乙双方责任，双方本着平等互利的原则，就甲方向乙方购买等的有关事项订立本合同。</w:t>
      </w:r>
    </w:p>
    <w:p>
      <w:pPr>
        <w:numPr>
          <w:ilvl w:val="0"/>
          <w:numId w:val="38"/>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产品名称、规格型号、厂家、数量、单价、金额见下表。</w:t>
      </w:r>
    </w:p>
    <w:tbl>
      <w:tblPr>
        <w:tblStyle w:val="26"/>
        <w:tblW w:w="8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912"/>
        <w:gridCol w:w="2420"/>
        <w:gridCol w:w="1247"/>
        <w:gridCol w:w="813"/>
        <w:gridCol w:w="72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912"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w:t>
            </w:r>
          </w:p>
        </w:tc>
        <w:tc>
          <w:tcPr>
            <w:tcW w:w="242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规格型号及技术指标</w:t>
            </w:r>
          </w:p>
        </w:tc>
        <w:tc>
          <w:tcPr>
            <w:tcW w:w="124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81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2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18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434" w:type="dxa"/>
            <w:gridSpan w:val="2"/>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   计</w:t>
            </w:r>
          </w:p>
        </w:tc>
        <w:tc>
          <w:tcPr>
            <w:tcW w:w="6385" w:type="dxa"/>
            <w:gridSpan w:val="5"/>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人民币元整(</w:t>
            </w:r>
            <w:r>
              <w:rPr>
                <w:rFonts w:hint="eastAsia" w:asciiTheme="minorEastAsia" w:hAnsiTheme="minorEastAsia" w:eastAsiaTheme="minorEastAsia" w:cstheme="minorEastAsia"/>
                <w:szCs w:val="21"/>
                <w:u w:val="single"/>
              </w:rPr>
              <w:t>￥   .00</w:t>
            </w:r>
            <w:r>
              <w:rPr>
                <w:rFonts w:hint="eastAsia" w:asciiTheme="minorEastAsia" w:hAnsiTheme="minorEastAsia" w:eastAsiaTheme="minorEastAsia" w:cstheme="minorEastAsia"/>
                <w:szCs w:val="21"/>
              </w:rPr>
              <w:t>)</w:t>
            </w:r>
          </w:p>
        </w:tc>
      </w:tr>
    </w:tbl>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注：配置、性能、功能等指标见附件</w:t>
      </w:r>
      <w:r>
        <w:rPr>
          <w:rFonts w:hint="eastAsia" w:asciiTheme="minorEastAsia" w:hAnsiTheme="minorEastAsia" w:eastAsiaTheme="minorEastAsia" w:cstheme="minorEastAsia"/>
          <w:i/>
          <w:szCs w:val="21"/>
        </w:rPr>
        <w:t>（如无则删除）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二．产品的质量要求和技术标准按国家或双方认可的产品技术标准。</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三、合同金额</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合同总金额为：人民币元整(￥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四、履约保证金及付款方式：采用以下方式 。</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无履约保证金，经甲方验收合格并收到乙方发票后</w:t>
      </w:r>
      <w:r>
        <w:rPr>
          <w:rFonts w:hint="eastAsia"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rPr>
        <w:t>天内，甲方向乙方支付合同总金额的100%，计人民币元整（￥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履约保证金：合同签订前，乙方向甲方支付合同总额的5%，计人民币元整（￥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）作为履约保证金，自验收合格之日起自动转为质量保证金。</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付款方式：经甲方验收合格并收到乙方发票后</w:t>
      </w:r>
      <w:r>
        <w:rPr>
          <w:rFonts w:hint="eastAsia"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rPr>
        <w:t>天内，甲方向乙方支付合同总金额的100%，计人民币元整（￥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）；货物验收合格后安全运行一年（自验收合格之日起计算），如无质量及售后服务等其他违约事项，甲方向乙方无息退还质量保证金。</w:t>
      </w:r>
    </w:p>
    <w:p>
      <w:pPr>
        <w:tabs>
          <w:tab w:val="left" w:pos="306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五．到货及培训：</w:t>
      </w:r>
    </w:p>
    <w:p>
      <w:pPr>
        <w:tabs>
          <w:tab w:val="left" w:pos="306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乙方于年月日前将货运到甲方指定地点（具体时间以甲方通知为准），乙方负责产品的安装调试以及技术支持，并对甲方操作（管理）人员进行必要的技术培训和操作指导，保证产品能正常运行。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六．质保期和售后服务：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（1）从甲方验收合格之日起年。质保期内，乙方为甲方提供免费服务和免费更换（人为损坏除外）。</w:t>
      </w:r>
    </w:p>
    <w:p>
      <w:pPr>
        <w:tabs>
          <w:tab w:val="left" w:pos="3060"/>
        </w:tabs>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售后服务联系人及联系电话：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（2）若产品出现故障，乙方应在接到通知后小时内到现场提供服务。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（3）质保期后，若产品出现故障，乙方应提供维修服务，只收材料成本费。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（4）其他服务：</w:t>
      </w:r>
      <w:r>
        <w:rPr>
          <w:rFonts w:hint="eastAsia" w:asciiTheme="minorEastAsia" w:hAnsiTheme="minorEastAsia" w:eastAsiaTheme="minorEastAsia" w:cstheme="minorEastAsia"/>
          <w:i/>
          <w:szCs w:val="21"/>
        </w:rPr>
        <w:t>（如没有则写无）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七．甲方的责任和义务：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（1）产品运抵甲方指定地点后，应立即组织人员对货物进行清点、签收。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（2）甲方收到产品时，如发现产品规格、型号、数量不符时，应及时通知乙方并要求乙方按要求更换或补充。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（3）产品正常运行</w:t>
      </w:r>
      <w:r>
        <w:rPr>
          <w:rFonts w:hint="eastAsia" w:asciiTheme="minorEastAsia" w:hAnsiTheme="minorEastAsia" w:eastAsiaTheme="minorEastAsia" w:cstheme="minorEastAsia"/>
          <w:szCs w:val="21"/>
          <w:u w:val="single"/>
        </w:rPr>
        <w:t>10</w:t>
      </w:r>
      <w:r>
        <w:rPr>
          <w:rFonts w:hint="eastAsia" w:asciiTheme="minorEastAsia" w:hAnsiTheme="minorEastAsia" w:eastAsiaTheme="minorEastAsia" w:cstheme="minorEastAsia"/>
          <w:szCs w:val="21"/>
        </w:rPr>
        <w:t>天后由甲方组织验收。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（4）按合同按时支付约定的费用。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八．乙方的责任和义务：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（1）按合同要求，按时提供全新完好的产品，否则应向甲方全额赔偿损失。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（2）在产品运抵甲方指定交货地点前三天通知甲方。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（3）负责对甲方人员进行操作培训，使其达到熟练操作的水平，并提供操作手册、专用工具等；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（4）应长期提供技术咨询服务。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（5）其他承诺：</w:t>
      </w:r>
      <w:r>
        <w:rPr>
          <w:rFonts w:hint="eastAsia" w:asciiTheme="minorEastAsia" w:hAnsiTheme="minorEastAsia" w:eastAsiaTheme="minorEastAsia" w:cstheme="minorEastAsia"/>
          <w:i/>
          <w:szCs w:val="21"/>
        </w:rPr>
        <w:t>（如没有则写无）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九．违约责任：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 甲方无正当理由拒收货物的，应向乙方支付合同总价款10% 的违约金。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 甲方逾期付款的，每逾期一日应向乙方支付未付款项的0.03%/日的违约金。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 乙方逾期交付货物给甲方的，每逾期一日应按逾期交付部分总价的 0.03%/日 计算向甲方支付违约金。如乙方逾期30天仍未交齐货物或者交付货物不合格的，甲方有权终止合同，乙方应按合同总价的10%计算向甲方支付违约金，并全额退还甲方已付给乙方的钱款及其利息。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乙方交付货物的质量、规格，性能、技术指标及配置不符合合同或合同附件约定的，甲方有权向乙方提出更换货物及索赔，乙方应在甲方提出之日起的日内免费更换合格的货物，由此造成的时间延误视作乙方逾期交付，按本合同第八条第3款处理。 如经两次更换，货物质量仍不符合规定的，甲方有权终止合同，乙方应向甲方返还已付款项，并按合同总价的10%向甲方支付违约金，造成甲方经济损失的，还需赔偿甲方的直接经济损失。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10%向甲方支付违约金并赔偿因此给甲方造成的一切损失，包括但不限于因第三人向甲方主张权利而发生的全部诉讼费、律师费、差旅费、邮件费、公告费、鉴定和调查取证等费用。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十．其他条款：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（1）本合同未尽事宜，经双方协商，签订补充协议，其补充协议与本合同有同等法律效力。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（2）本合同附件作为合同的有效组成部分，具有同等法律效力。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（3）本合同如发生纠纷，甲乙双方应积极协商，协商不成时，任何一方可向甲方所在地法院起诉。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（4）本合同一式五份，甲方执四份，乙方执一份，具有同等法律效力。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（5）本合同经双方签字盖章之日起生效。</w:t>
      </w:r>
    </w:p>
    <w:p>
      <w:pPr>
        <w:spacing w:line="360" w:lineRule="auto"/>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甲方：华中农业大学（盖章）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乙方：（盖章）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法定代表人：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委托代理人：</w:t>
      </w:r>
      <w:r>
        <w:rPr>
          <w:rFonts w:hint="eastAsia" w:asciiTheme="minorEastAsia" w:hAnsiTheme="minorEastAsia" w:eastAsiaTheme="minorEastAsia" w:cstheme="minorEastAsia"/>
          <w:i/>
          <w:szCs w:val="21"/>
        </w:rPr>
        <w:t>（签字）</w:t>
      </w:r>
      <w:r>
        <w:rPr>
          <w:rFonts w:hint="eastAsia" w:asciiTheme="minorEastAsia" w:hAnsiTheme="minorEastAsia" w:eastAsiaTheme="minorEastAsia" w:cstheme="minorEastAsia"/>
          <w:szCs w:val="21"/>
        </w:rPr>
        <w:t xml:space="preserve">                  委托代理人：</w:t>
      </w:r>
      <w:r>
        <w:rPr>
          <w:rFonts w:hint="eastAsia" w:asciiTheme="minorEastAsia" w:hAnsiTheme="minorEastAsia" w:eastAsiaTheme="minorEastAsia" w:cstheme="minorEastAsia"/>
          <w:i/>
          <w:szCs w:val="21"/>
        </w:rPr>
        <w:t>（签字）</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联系方式：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联系方式：</w:t>
      </w:r>
    </w:p>
    <w:p>
      <w:pPr>
        <w:spacing w:line="360" w:lineRule="auto"/>
        <w:ind w:firstLine="420" w:firstLineChars="20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Cs w:val="21"/>
        </w:rPr>
        <w:t>年    月    日                        年    月    日</w:t>
      </w:r>
    </w:p>
    <w:p>
      <w:pP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Cs w:val="21"/>
        </w:rPr>
        <w:br w:type="page"/>
      </w:r>
    </w:p>
    <w:p>
      <w:pPr>
        <w:pStyle w:val="3"/>
        <w:numPr>
          <w:ilvl w:val="0"/>
          <w:numId w:val="4"/>
        </w:num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竞争性磋商响应文件格式</w:t>
      </w:r>
      <w:bookmarkEnd w:id="128"/>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9" w:name="_Toc23858"/>
      <w:bookmarkStart w:id="130"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9"/>
    <w:bookmarkEnd w:id="130"/>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1" w:name="_Toc360174584"/>
      <w:bookmarkStart w:id="132" w:name="_Toc264644272"/>
      <w:bookmarkStart w:id="133" w:name="_Toc211783342"/>
      <w:bookmarkStart w:id="134" w:name="_Toc533330957"/>
      <w:bookmarkStart w:id="135" w:name="_Toc11320441"/>
      <w:bookmarkStart w:id="136"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1"/>
      <w:bookmarkEnd w:id="132"/>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、报价费用构成表</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六</w:t>
      </w:r>
      <w:r>
        <w:rPr>
          <w:rFonts w:hint="eastAsia" w:asciiTheme="minorEastAsia" w:hAnsiTheme="minorEastAsia" w:eastAsiaTheme="minorEastAsia" w:cstheme="minorEastAsia"/>
          <w:b w:val="0"/>
          <w:bCs/>
          <w:szCs w:val="21"/>
        </w:rPr>
        <w:t>、耗材清单</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七、拟投入设备/备件、工具情况</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八</w:t>
      </w:r>
      <w:r>
        <w:rPr>
          <w:rFonts w:hint="eastAsia" w:asciiTheme="minorEastAsia" w:hAnsiTheme="minorEastAsia" w:eastAsiaTheme="minorEastAsia" w:cstheme="minorEastAsia"/>
          <w:b w:val="0"/>
          <w:bCs/>
          <w:szCs w:val="21"/>
        </w:rPr>
        <w:t>、</w:t>
      </w:r>
      <w:r>
        <w:rPr>
          <w:rFonts w:hint="eastAsia" w:asciiTheme="minorEastAsia" w:hAnsiTheme="minorEastAsia" w:eastAsiaTheme="minorEastAsia" w:cstheme="minorEastAsia"/>
          <w:b w:val="0"/>
          <w:bCs/>
          <w:szCs w:val="21"/>
          <w:lang w:eastAsia="zh-CN"/>
        </w:rPr>
        <w:t>缴纳</w:t>
      </w:r>
      <w:r>
        <w:rPr>
          <w:rFonts w:hint="eastAsia" w:asciiTheme="minorEastAsia" w:hAnsiTheme="minorEastAsia" w:eastAsiaTheme="minorEastAsia" w:cstheme="minorEastAsia"/>
          <w:b w:val="0"/>
          <w:bCs/>
          <w:szCs w:val="21"/>
        </w:rPr>
        <w:t>保证金的银行凭证</w:t>
      </w:r>
      <w:r>
        <w:rPr>
          <w:rFonts w:hint="eastAsia" w:asciiTheme="minorEastAsia" w:hAnsiTheme="minorEastAsia" w:eastAsiaTheme="minorEastAsia" w:cstheme="minorEastAsia"/>
          <w:b w:val="0"/>
          <w:bCs/>
          <w:szCs w:val="21"/>
          <w:lang w:eastAsia="zh-CN"/>
        </w:rPr>
        <w:t>（</w:t>
      </w:r>
      <w:r>
        <w:rPr>
          <w:rFonts w:hint="eastAsia" w:asciiTheme="minorEastAsia" w:hAnsiTheme="minorEastAsia" w:eastAsiaTheme="minorEastAsia" w:cstheme="minorEastAsia"/>
          <w:b w:val="0"/>
          <w:bCs/>
          <w:szCs w:val="21"/>
          <w:lang w:val="en-US" w:eastAsia="zh-CN"/>
        </w:rPr>
        <w:t>如有</w:t>
      </w:r>
      <w:r>
        <w:rPr>
          <w:rFonts w:hint="eastAsia" w:asciiTheme="minorEastAsia" w:hAnsiTheme="minorEastAsia" w:eastAsiaTheme="minorEastAsia" w:cstheme="minorEastAsia"/>
          <w:b w:val="0"/>
          <w:bCs/>
          <w:szCs w:val="21"/>
          <w:lang w:eastAsia="zh-CN"/>
        </w:rPr>
        <w:t>）</w:t>
      </w:r>
      <w:r>
        <w:rPr>
          <w:rFonts w:hint="eastAsia" w:asciiTheme="minorEastAsia" w:hAnsiTheme="minorEastAsia" w:eastAsiaTheme="minorEastAsia" w:cstheme="minorEastAsia"/>
          <w:b w:val="0"/>
          <w:bCs/>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7" w:name="_Toc22111"/>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7"/>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8" w:name="_Toc15789"/>
      <w:bookmarkStart w:id="139" w:name="_Toc30144"/>
      <w:bookmarkStart w:id="140" w:name="_Toc20684"/>
      <w:bookmarkStart w:id="141" w:name="_Toc479184125"/>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8"/>
      <w:bookmarkEnd w:id="139"/>
      <w:bookmarkEnd w:id="140"/>
      <w:bookmarkEnd w:id="141"/>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货物</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2" w:name="_Toc24205"/>
      <w:bookmarkStart w:id="143" w:name="_Toc13969"/>
      <w:bookmarkStart w:id="144" w:name="_Toc2610"/>
      <w:bookmarkStart w:id="145"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2"/>
      <w:bookmarkEnd w:id="143"/>
      <w:bookmarkEnd w:id="144"/>
      <w:bookmarkEnd w:id="145"/>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6" w:name="_Toc29904"/>
      <w:bookmarkStart w:id="147" w:name="_Toc360120184"/>
      <w:bookmarkStart w:id="148" w:name="_Toc30245"/>
      <w:bookmarkStart w:id="149" w:name="_Toc424832832"/>
      <w:bookmarkStart w:id="150" w:name="_Toc432149008"/>
      <w:bookmarkStart w:id="151" w:name="_Toc479184127"/>
      <w:bookmarkStart w:id="152" w:name="_Toc10475"/>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6"/>
      <w:bookmarkEnd w:id="147"/>
      <w:bookmarkEnd w:id="148"/>
      <w:bookmarkEnd w:id="149"/>
      <w:bookmarkEnd w:id="150"/>
      <w:bookmarkEnd w:id="151"/>
      <w:bookmarkEnd w:id="152"/>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3" w:name="_Toc432149006"/>
      <w:bookmarkStart w:id="154" w:name="_Toc422466732"/>
      <w:r>
        <w:rPr>
          <w:rFonts w:hint="eastAsia" w:asciiTheme="minorEastAsia" w:hAnsiTheme="minorEastAsia" w:eastAsiaTheme="minorEastAsia" w:cstheme="minorEastAsia"/>
          <w:b/>
          <w:bCs/>
          <w:sz w:val="24"/>
        </w:rPr>
        <w:br w:type="page"/>
      </w:r>
      <w:bookmarkStart w:id="155" w:name="_Toc479184128"/>
      <w:bookmarkStart w:id="156" w:name="_Toc4741"/>
      <w:bookmarkStart w:id="157" w:name="_Toc4301"/>
      <w:bookmarkStart w:id="158" w:name="_Toc23856"/>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3"/>
      <w:bookmarkEnd w:id="154"/>
      <w:bookmarkEnd w:id="155"/>
      <w:bookmarkEnd w:id="156"/>
      <w:bookmarkEnd w:id="157"/>
      <w:bookmarkEnd w:id="158"/>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请填写本项目核心产品的品牌、规格型号和制造商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质保期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59" w:name="_Toc259028723"/>
      <w:bookmarkStart w:id="160" w:name="_Toc460258117"/>
      <w:bookmarkStart w:id="161" w:name="_Toc424832831"/>
      <w:bookmarkStart w:id="162" w:name="_Toc432149007"/>
      <w:r>
        <w:rPr>
          <w:rFonts w:hint="eastAsia" w:asciiTheme="minorEastAsia" w:hAnsiTheme="minorEastAsia" w:eastAsiaTheme="minorEastAsia" w:cstheme="minorEastAsia"/>
          <w:b/>
          <w:bCs/>
          <w:sz w:val="24"/>
        </w:rPr>
        <w:br w:type="page"/>
      </w:r>
      <w:bookmarkStart w:id="163" w:name="_Toc479184129"/>
      <w:bookmarkStart w:id="164" w:name="_Toc18559"/>
      <w:bookmarkStart w:id="165" w:name="_Toc1079"/>
      <w:bookmarkStart w:id="166" w:name="_Toc31617"/>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59"/>
      <w:bookmarkEnd w:id="160"/>
      <w:bookmarkEnd w:id="163"/>
      <w:bookmarkEnd w:id="164"/>
      <w:bookmarkEnd w:id="165"/>
      <w:r>
        <w:rPr>
          <w:rFonts w:hint="eastAsia" w:asciiTheme="minorEastAsia" w:hAnsiTheme="minorEastAsia" w:eastAsiaTheme="minorEastAsia" w:cstheme="minorEastAsia"/>
          <w:b/>
          <w:bCs/>
          <w:szCs w:val="21"/>
          <w:lang w:eastAsia="zh-CN"/>
        </w:rPr>
        <w:t>报价费用构成表</w:t>
      </w:r>
      <w:bookmarkEnd w:id="166"/>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2"/>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2"/>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2"/>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7" w:name="_Toc27104"/>
      <w:bookmarkStart w:id="168" w:name="_Toc28656"/>
      <w:bookmarkStart w:id="169" w:name="_Toc479184130"/>
      <w:bookmarkStart w:id="170" w:name="_Toc26825"/>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7"/>
      <w:bookmarkEnd w:id="168"/>
      <w:bookmarkEnd w:id="169"/>
      <w:bookmarkEnd w:id="170"/>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1" w:name="_Toc479184131"/>
      <w:bookmarkStart w:id="172" w:name="_Toc7535"/>
      <w:bookmarkStart w:id="173" w:name="_Toc32726"/>
      <w:bookmarkStart w:id="174" w:name="_Toc4793"/>
      <w:r>
        <w:rPr>
          <w:rFonts w:hint="eastAsia" w:asciiTheme="minorEastAsia" w:hAnsiTheme="minorEastAsia" w:eastAsiaTheme="minorEastAsia" w:cstheme="minorEastAsia"/>
          <w:b/>
          <w:bCs/>
          <w:szCs w:val="21"/>
          <w:lang w:val="en-US" w:eastAsia="zh-CN"/>
        </w:rPr>
        <w:t>七、拟投入设备/备件、工具情况</w:t>
      </w:r>
      <w:bookmarkEnd w:id="171"/>
      <w:bookmarkEnd w:id="172"/>
      <w:bookmarkEnd w:id="173"/>
      <w:bookmarkEnd w:id="174"/>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5" w:name="_Toc450827818"/>
      <w:bookmarkStart w:id="176" w:name="_Toc27053"/>
      <w:bookmarkStart w:id="177" w:name="_Toc479184132"/>
      <w:bookmarkStart w:id="178" w:name="_Toc10449"/>
      <w:bookmarkStart w:id="179" w:name="_Toc3195"/>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5"/>
      <w:bookmarkEnd w:id="176"/>
      <w:bookmarkEnd w:id="177"/>
      <w:bookmarkEnd w:id="178"/>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79"/>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1"/>
    <w:bookmarkEnd w:id="16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0" w:name="_Toc28200"/>
      <w:bookmarkStart w:id="181" w:name="_Toc4542"/>
      <w:bookmarkStart w:id="182" w:name="_Toc432149012"/>
      <w:bookmarkStart w:id="183" w:name="_Toc479184133"/>
      <w:bookmarkStart w:id="184" w:name="_Toc422466736"/>
      <w:bookmarkStart w:id="185" w:name="_Toc1591"/>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80"/>
      <w:bookmarkEnd w:id="181"/>
      <w:bookmarkEnd w:id="182"/>
      <w:bookmarkEnd w:id="183"/>
      <w:bookmarkEnd w:id="184"/>
      <w:bookmarkEnd w:id="185"/>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rPr>
              <w:t>响应审核（</w:t>
            </w: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6" w:name="_Toc479184134"/>
      <w:bookmarkStart w:id="187" w:name="_Toc362935521"/>
      <w:bookmarkStart w:id="188" w:name="_Toc32060"/>
      <w:bookmarkStart w:id="189" w:name="_Toc432149013"/>
      <w:bookmarkStart w:id="190" w:name="_Toc28283"/>
      <w:bookmarkStart w:id="191" w:name="_Toc31755"/>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6"/>
      <w:bookmarkEnd w:id="187"/>
      <w:bookmarkEnd w:id="188"/>
      <w:bookmarkEnd w:id="189"/>
      <w:bookmarkEnd w:id="190"/>
      <w:r>
        <w:rPr>
          <w:rFonts w:hint="eastAsia" w:asciiTheme="minorEastAsia" w:hAnsiTheme="minorEastAsia" w:eastAsiaTheme="minorEastAsia" w:cstheme="minorEastAsia"/>
          <w:b/>
          <w:bCs/>
          <w:szCs w:val="21"/>
        </w:rPr>
        <w:br w:type="textWrapping"/>
      </w:r>
      <w:bookmarkEnd w:id="191"/>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2" w:name="_Toc460258118"/>
      <w:bookmarkStart w:id="193"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4" w:name="_Toc6612"/>
      <w:bookmarkStart w:id="195" w:name="_Toc4834"/>
      <w:bookmarkStart w:id="196" w:name="_Toc30455"/>
      <w:bookmarkStart w:id="197" w:name="_Toc47918413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2"/>
      <w:bookmarkEnd w:id="193"/>
      <w:bookmarkEnd w:id="194"/>
      <w:bookmarkEnd w:id="195"/>
      <w:bookmarkEnd w:id="196"/>
      <w:bookmarkEnd w:id="197"/>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8" w:name="_Toc10429"/>
      <w:bookmarkStart w:id="199" w:name="_Toc26838"/>
      <w:bookmarkStart w:id="200" w:name="_Toc2463"/>
      <w:bookmarkStart w:id="201" w:name="_Toc479184136"/>
      <w:bookmarkStart w:id="202" w:name="_Toc432149014"/>
      <w:bookmarkStart w:id="203" w:name="_Toc42246673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8"/>
      <w:bookmarkEnd w:id="199"/>
      <w:bookmarkEnd w:id="200"/>
      <w:bookmarkEnd w:id="201"/>
      <w:bookmarkEnd w:id="202"/>
      <w:bookmarkEnd w:id="203"/>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4" w:name="_Toc259028731"/>
      <w:bookmarkStart w:id="205" w:name="_Toc450827823"/>
      <w:bookmarkStart w:id="206" w:name="_Toc17527"/>
      <w:bookmarkStart w:id="207" w:name="_Toc316"/>
      <w:bookmarkStart w:id="208" w:name="_Toc17331"/>
      <w:bookmarkStart w:id="209" w:name="_Toc47918413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4"/>
      <w:bookmarkEnd w:id="205"/>
      <w:bookmarkEnd w:id="206"/>
      <w:bookmarkEnd w:id="207"/>
      <w:bookmarkEnd w:id="208"/>
      <w:bookmarkEnd w:id="209"/>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0" w:name="_Toc32187"/>
      <w:bookmarkStart w:id="211" w:name="_Toc18555"/>
      <w:bookmarkStart w:id="212" w:name="_Toc290207179"/>
      <w:bookmarkStart w:id="213" w:name="_Toc358447587"/>
      <w:bookmarkStart w:id="214" w:name="_Toc427239751"/>
      <w:bookmarkStart w:id="215" w:name="_Toc364868916"/>
      <w:bookmarkStart w:id="216" w:name="_Toc5793"/>
      <w:r>
        <w:rPr>
          <w:rFonts w:hint="eastAsia" w:asciiTheme="minorEastAsia" w:hAnsiTheme="minorEastAsia" w:eastAsiaTheme="minorEastAsia" w:cstheme="minorEastAsia"/>
          <w:b/>
          <w:bCs/>
          <w:kern w:val="0"/>
          <w:szCs w:val="21"/>
          <w:lang w:val="en-US" w:eastAsia="zh-CN"/>
        </w:rPr>
        <w:t>十四、</w:t>
      </w:r>
      <w:bookmarkEnd w:id="210"/>
      <w:bookmarkEnd w:id="211"/>
      <w:bookmarkEnd w:id="212"/>
      <w:bookmarkEnd w:id="213"/>
      <w:bookmarkEnd w:id="214"/>
      <w:bookmarkEnd w:id="215"/>
      <w:bookmarkEnd w:id="216"/>
      <w:bookmarkStart w:id="217" w:name="_Toc460258123"/>
      <w:bookmarkStart w:id="218" w:name="_Toc27229"/>
      <w:bookmarkStart w:id="219" w:name="_Toc479184138"/>
      <w:bookmarkStart w:id="220" w:name="_Toc29785"/>
      <w:r>
        <w:rPr>
          <w:rFonts w:hint="eastAsia" w:asciiTheme="minorEastAsia" w:hAnsiTheme="minorEastAsia" w:eastAsiaTheme="minorEastAsia" w:cstheme="minorEastAsia"/>
          <w:b/>
        </w:rPr>
        <w:t>报价技术文件</w:t>
      </w:r>
      <w:bookmarkEnd w:id="217"/>
      <w:bookmarkEnd w:id="218"/>
      <w:bookmarkEnd w:id="219"/>
      <w:bookmarkEnd w:id="220"/>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1" w:name="_Toc432149016"/>
      <w:bookmarkStart w:id="222" w:name="_Toc8098"/>
      <w:bookmarkStart w:id="223" w:name="_Toc479184140"/>
      <w:bookmarkStart w:id="224" w:name="_Toc2101"/>
      <w:bookmarkStart w:id="225" w:name="_Toc12119"/>
      <w:bookmarkStart w:id="226" w:name="_Toc22465"/>
      <w:bookmarkStart w:id="227" w:name="_Toc355802499"/>
      <w:bookmarkStart w:id="228" w:name="_Toc422466739"/>
      <w:bookmarkStart w:id="229" w:name="_Toc356836516"/>
      <w:bookmarkStart w:id="230" w:name="_Toc7704"/>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0"/>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1" w:name="OLE_LINK5"/>
      <w:r>
        <w:rPr>
          <w:rFonts w:hint="eastAsia" w:asciiTheme="minorEastAsia" w:hAnsiTheme="minorEastAsia" w:eastAsiaTheme="minorEastAsia" w:cstheme="minorEastAsia"/>
          <w:spacing w:val="6"/>
          <w:szCs w:val="21"/>
        </w:rPr>
        <w:t>______（请填写：中型、小型、微型）企业</w:t>
      </w:r>
      <w:bookmarkEnd w:id="231"/>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5"/>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5"/>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3"/>
    <w:bookmarkEnd w:id="134"/>
    <w:bookmarkEnd w:id="135"/>
    <w:bookmarkEnd w:id="136"/>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2" w:name="_Toc29270"/>
      <w:bookmarkStart w:id="233" w:name="_Toc479184141"/>
      <w:bookmarkStart w:id="234" w:name="_Toc7229"/>
      <w:bookmarkStart w:id="235" w:name="_Toc30406"/>
      <w:bookmarkStart w:id="236" w:name="_Toc4320"/>
      <w:bookmarkStart w:id="237" w:name="_Toc476839034"/>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2"/>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8" w:name="_Toc4952"/>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8"/>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39" w:name="_Toc15506"/>
      <w:r>
        <w:rPr>
          <w:rFonts w:hint="eastAsia" w:asciiTheme="minorEastAsia" w:hAnsiTheme="minorEastAsia" w:eastAsiaTheme="minorEastAsia" w:cstheme="minorEastAsia"/>
          <w:b/>
          <w:lang w:val="en-US" w:eastAsia="zh-CN"/>
        </w:rPr>
        <w:t>十八、节能环保产品证明材料（若符合）</w:t>
      </w:r>
      <w:bookmarkEnd w:id="239"/>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0" w:name="_Toc11218"/>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3"/>
      <w:bookmarkEnd w:id="234"/>
      <w:bookmarkEnd w:id="235"/>
      <w:bookmarkEnd w:id="236"/>
      <w:bookmarkEnd w:id="237"/>
      <w:bookmarkEnd w:id="240"/>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spacing w:line="360" w:lineRule="auto"/>
        <w:jc w:val="center"/>
        <w:outlineLvl w:val="1"/>
        <w:rPr>
          <w:rFonts w:hint="eastAsia"/>
        </w:rPr>
      </w:pPr>
      <w:r>
        <w:rPr>
          <w:rFonts w:hint="eastAsia" w:asciiTheme="minorEastAsia" w:hAnsiTheme="minorEastAsia" w:eastAsiaTheme="minorEastAsia" w:cstheme="minorEastAsia"/>
          <w:spacing w:val="6"/>
          <w:szCs w:val="21"/>
        </w:rPr>
        <w:br w:type="page"/>
      </w:r>
      <w:bookmarkStart w:id="241" w:name="_Toc11829"/>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1"/>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spacing w:line="360" w:lineRule="auto"/>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2" w:name="_Toc17368"/>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2"/>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HP Simplified Hans">
    <w:altName w:val="宋体"/>
    <w:panose1 w:val="00000000000000000000"/>
    <w:charset w:val="86"/>
    <w:family w:val="swiss"/>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center"/>
                          </w:pPr>
                          <w:r>
                            <w:fldChar w:fldCharType="begin"/>
                          </w:r>
                          <w:r>
                            <w:instrText xml:space="preserve"> PAGE   \* MERGEFORMAT </w:instrText>
                          </w:r>
                          <w:r>
                            <w:fldChar w:fldCharType="separate"/>
                          </w:r>
                          <w:r>
                            <w:rPr>
                              <w:lang w:val="zh-CN"/>
                            </w:rPr>
                            <w:t>5</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Wz7ABAABOAwAADgAAAGRycy9lMm9Eb2MueG1srVPBahsxEL0H8g9C&#10;91hrQ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FmdHieMWR7T/8bL/+Xv/6zuZVddFod7HGhMfPaam4RMMORuVy/6Iztz4oILN&#10;X2yJYBy13p30lUMiIj+az+bzCkMCY+MFcdj5uQ8xfZZgSTYaGnCARVe+/RLTIXVMydUc3GljyhCN&#10;+8uBmNnDzhyzlYbVcCS+gnaH/fQ4+4Y6XE5KzL1DafOajEYYjdVobHzQ6w6pTQuv6D9uEpIo3HKF&#10;A+yxMA6tdHdcsLwVf95L1vk3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ls+wAQAA&#10;TgMAAA4AAAAAAAAAAQAgAAAAHgEAAGRycy9lMm9Eb2MueG1sUEsFBgAAAAAGAAYAWQEAAEAFAAAA&#10;AA==&#10;">
              <v:fill on="f" focussize="0,0"/>
              <v:stroke on="f"/>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5E126FA"/>
    <w:multiLevelType w:val="multilevel"/>
    <w:tmpl w:val="05E126FA"/>
    <w:lvl w:ilvl="0" w:tentative="0">
      <w:start w:val="1"/>
      <w:numFmt w:val="decimal"/>
      <w:lvlText w:val="%1）"/>
      <w:lvlJc w:val="left"/>
      <w:pPr>
        <w:ind w:left="360" w:hanging="360"/>
      </w:pPr>
      <w:rPr>
        <w:rFonts w:cs="Segoe UI Symbol"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1AA38A0"/>
    <w:multiLevelType w:val="multilevel"/>
    <w:tmpl w:val="51AA38A0"/>
    <w:lvl w:ilvl="0" w:tentative="0">
      <w:start w:val="1"/>
      <w:numFmt w:val="japaneseCounting"/>
      <w:lvlText w:val="%1．"/>
      <w:lvlJc w:val="left"/>
      <w:pPr>
        <w:tabs>
          <w:tab w:val="left" w:pos="1021"/>
        </w:tabs>
        <w:ind w:left="1021" w:hanging="480"/>
      </w:pPr>
      <w:rPr>
        <w:rFonts w:hint="default"/>
      </w:rPr>
    </w:lvl>
    <w:lvl w:ilvl="1" w:tentative="0">
      <w:start w:val="1"/>
      <w:numFmt w:val="lowerLetter"/>
      <w:lvlText w:val="%2)"/>
      <w:lvlJc w:val="left"/>
      <w:pPr>
        <w:tabs>
          <w:tab w:val="left" w:pos="1381"/>
        </w:tabs>
        <w:ind w:left="1381" w:hanging="420"/>
      </w:pPr>
    </w:lvl>
    <w:lvl w:ilvl="2" w:tentative="0">
      <w:start w:val="1"/>
      <w:numFmt w:val="lowerRoman"/>
      <w:lvlText w:val="%3."/>
      <w:lvlJc w:val="right"/>
      <w:pPr>
        <w:tabs>
          <w:tab w:val="left" w:pos="1801"/>
        </w:tabs>
        <w:ind w:left="1801" w:hanging="420"/>
      </w:pPr>
    </w:lvl>
    <w:lvl w:ilvl="3" w:tentative="0">
      <w:start w:val="1"/>
      <w:numFmt w:val="decimal"/>
      <w:lvlText w:val="%4."/>
      <w:lvlJc w:val="left"/>
      <w:pPr>
        <w:tabs>
          <w:tab w:val="left" w:pos="2221"/>
        </w:tabs>
        <w:ind w:left="2221" w:hanging="420"/>
      </w:pPr>
    </w:lvl>
    <w:lvl w:ilvl="4" w:tentative="0">
      <w:start w:val="1"/>
      <w:numFmt w:val="lowerLetter"/>
      <w:lvlText w:val="%5)"/>
      <w:lvlJc w:val="left"/>
      <w:pPr>
        <w:tabs>
          <w:tab w:val="left" w:pos="2641"/>
        </w:tabs>
        <w:ind w:left="2641" w:hanging="420"/>
      </w:pPr>
    </w:lvl>
    <w:lvl w:ilvl="5" w:tentative="0">
      <w:start w:val="1"/>
      <w:numFmt w:val="lowerRoman"/>
      <w:lvlText w:val="%6."/>
      <w:lvlJc w:val="right"/>
      <w:pPr>
        <w:tabs>
          <w:tab w:val="left" w:pos="3061"/>
        </w:tabs>
        <w:ind w:left="3061" w:hanging="420"/>
      </w:pPr>
    </w:lvl>
    <w:lvl w:ilvl="6" w:tentative="0">
      <w:start w:val="1"/>
      <w:numFmt w:val="decimal"/>
      <w:lvlText w:val="%7."/>
      <w:lvlJc w:val="left"/>
      <w:pPr>
        <w:tabs>
          <w:tab w:val="left" w:pos="3481"/>
        </w:tabs>
        <w:ind w:left="3481" w:hanging="420"/>
      </w:pPr>
    </w:lvl>
    <w:lvl w:ilvl="7" w:tentative="0">
      <w:start w:val="1"/>
      <w:numFmt w:val="lowerLetter"/>
      <w:lvlText w:val="%8)"/>
      <w:lvlJc w:val="left"/>
      <w:pPr>
        <w:tabs>
          <w:tab w:val="left" w:pos="3901"/>
        </w:tabs>
        <w:ind w:left="3901" w:hanging="420"/>
      </w:pPr>
    </w:lvl>
    <w:lvl w:ilvl="8" w:tentative="0">
      <w:start w:val="1"/>
      <w:numFmt w:val="lowerRoman"/>
      <w:lvlText w:val="%9."/>
      <w:lvlJc w:val="right"/>
      <w:pPr>
        <w:tabs>
          <w:tab w:val="left" w:pos="4321"/>
        </w:tabs>
        <w:ind w:left="4321" w:hanging="420"/>
      </w:p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1"/>
  </w:num>
  <w:num w:numId="3">
    <w:abstractNumId w:val="18"/>
  </w:num>
  <w:num w:numId="4">
    <w:abstractNumId w:val="27"/>
  </w:num>
  <w:num w:numId="5">
    <w:abstractNumId w:val="13"/>
  </w:num>
  <w:num w:numId="6">
    <w:abstractNumId w:val="1"/>
  </w:num>
  <w:num w:numId="7">
    <w:abstractNumId w:val="32"/>
  </w:num>
  <w:num w:numId="8">
    <w:abstractNumId w:val="15"/>
  </w:num>
  <w:num w:numId="9">
    <w:abstractNumId w:val="9"/>
  </w:num>
  <w:num w:numId="10">
    <w:abstractNumId w:val="14"/>
  </w:num>
  <w:num w:numId="11">
    <w:abstractNumId w:val="34"/>
  </w:num>
  <w:num w:numId="12">
    <w:abstractNumId w:val="44"/>
  </w:num>
  <w:num w:numId="13">
    <w:abstractNumId w:val="45"/>
  </w:num>
  <w:num w:numId="14">
    <w:abstractNumId w:val="26"/>
  </w:num>
  <w:num w:numId="15">
    <w:abstractNumId w:val="30"/>
  </w:num>
  <w:num w:numId="16">
    <w:abstractNumId w:val="33"/>
  </w:num>
  <w:num w:numId="17">
    <w:abstractNumId w:val="35"/>
  </w:num>
  <w:num w:numId="18">
    <w:abstractNumId w:val="3"/>
  </w:num>
  <w:num w:numId="19">
    <w:abstractNumId w:val="37"/>
  </w:num>
  <w:num w:numId="20">
    <w:abstractNumId w:val="6"/>
  </w:num>
  <w:num w:numId="21">
    <w:abstractNumId w:val="24"/>
  </w:num>
  <w:num w:numId="22">
    <w:abstractNumId w:val="20"/>
  </w:num>
  <w:num w:numId="23">
    <w:abstractNumId w:val="40"/>
  </w:num>
  <w:num w:numId="24">
    <w:abstractNumId w:val="12"/>
  </w:num>
  <w:num w:numId="25">
    <w:abstractNumId w:val="25"/>
  </w:num>
  <w:num w:numId="26">
    <w:abstractNumId w:val="8"/>
  </w:num>
  <w:num w:numId="27">
    <w:abstractNumId w:val="39"/>
  </w:num>
  <w:num w:numId="28">
    <w:abstractNumId w:val="43"/>
  </w:num>
  <w:num w:numId="29">
    <w:abstractNumId w:val="28"/>
  </w:num>
  <w:num w:numId="30">
    <w:abstractNumId w:val="22"/>
  </w:num>
  <w:num w:numId="31">
    <w:abstractNumId w:val="10"/>
  </w:num>
  <w:num w:numId="32">
    <w:abstractNumId w:val="19"/>
  </w:num>
  <w:num w:numId="33">
    <w:abstractNumId w:val="42"/>
  </w:num>
  <w:num w:numId="34">
    <w:abstractNumId w:val="23"/>
  </w:num>
  <w:num w:numId="35">
    <w:abstractNumId w:val="5"/>
  </w:num>
  <w:num w:numId="36">
    <w:abstractNumId w:val="41"/>
  </w:num>
  <w:num w:numId="37">
    <w:abstractNumId w:val="36"/>
  </w:num>
  <w:num w:numId="38">
    <w:abstractNumId w:val="29"/>
  </w:num>
  <w:num w:numId="39">
    <w:abstractNumId w:val="16"/>
  </w:num>
  <w:num w:numId="40">
    <w:abstractNumId w:val="31"/>
  </w:num>
  <w:num w:numId="41">
    <w:abstractNumId w:val="2"/>
  </w:num>
  <w:num w:numId="42">
    <w:abstractNumId w:val="17"/>
  </w:num>
  <w:num w:numId="43">
    <w:abstractNumId w:val="21"/>
  </w:num>
  <w:num w:numId="44">
    <w:abstractNumId w:val="7"/>
  </w:num>
  <w:num w:numId="45">
    <w:abstractNumId w:val="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93891"/>
    <w:rsid w:val="1BFA20B9"/>
    <w:rsid w:val="2CCF46DE"/>
    <w:rsid w:val="4F271DB1"/>
    <w:rsid w:val="58424C84"/>
    <w:rsid w:val="5C2D51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spacing w:before="156"/>
      <w:outlineLvl w:val="4"/>
    </w:pPr>
    <w:rPr>
      <w:rFonts w:ascii="MS Shell Dlg" w:hAnsi="MS Shell Dlg"/>
    </w:rPr>
  </w:style>
  <w:style w:type="paragraph" w:customStyle="1"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Pa0"/>
    <w:basedOn w:val="1"/>
    <w:next w:val="1"/>
    <w:qFormat/>
    <w:uiPriority w:val="99"/>
    <w:pPr>
      <w:autoSpaceDE w:val="0"/>
      <w:autoSpaceDN w:val="0"/>
      <w:adjustRightInd w:val="0"/>
      <w:spacing w:line="185" w:lineRule="atLeast"/>
    </w:pPr>
    <w:rPr>
      <w:rFonts w:ascii="HP Simplified Hans" w:eastAsia="HP Simplified Hans" w:hAnsiTheme="minorHAnsi" w:cstheme="minorBidi"/>
    </w:rPr>
  </w:style>
  <w:style w:type="paragraph" w:customStyle="1" w:styleId="99">
    <w:name w:val="No Spacing"/>
    <w:basedOn w:val="1"/>
    <w:qFormat/>
    <w:uiPriority w:val="99"/>
    <w:pPr>
      <w:spacing w:before="100" w:beforeAutospacing="1" w:after="100" w:afterAutospacing="1"/>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60</TotalTime>
  <ScaleCrop>false</ScaleCrop>
  <LinksUpToDate>false</LinksUpToDate>
  <CharactersWithSpaces>29889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2018-07-03T07:53:00Z</dcterms:created>
  <dc:creator>风之客</dc:creator>
  <cp:lastModifiedBy>Administrator</cp:lastModifiedBy>
  <cp:lastPrinted>2019-09-01T15:55:00Z</cp:lastPrinted>
  <dcterms:modified xsi:type="dcterms:W3CDTF">2020-07-06T09:15:41Z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