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1"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1"/>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jc w:val="center"/>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2" w:after="1"/>
        <w:rPr>
          <w:rFonts w:hint="eastAsia" w:asciiTheme="minorEastAsia" w:hAnsiTheme="minorEastAsia" w:eastAsiaTheme="minorEastAsia" w:cstheme="minorEastAsia"/>
          <w:color w:val="auto"/>
          <w:sz w:val="11"/>
        </w:rPr>
      </w:pPr>
    </w:p>
    <w:tbl>
      <w:tblPr>
        <w:tblStyle w:val="27"/>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6"/>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ZJZB-ZC-202005-155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华中农业大学工业机器人实验室设备购置项目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4"/>
        <w:rPr>
          <w:rFonts w:hint="eastAsia" w:asciiTheme="minorEastAsia" w:hAnsiTheme="minorEastAsia" w:eastAsiaTheme="minorEastAsia" w:cstheme="minorEastAsia"/>
          <w:color w:val="auto"/>
          <w:sz w:val="20"/>
        </w:rPr>
      </w:pPr>
    </w:p>
    <w:tbl>
      <w:tblPr>
        <w:tblStyle w:val="27"/>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77"/>
        <w:gridCol w:w="6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77" w:type="dxa"/>
            <w:tcBorders>
              <w:top w:val="nil"/>
              <w:left w:val="nil"/>
              <w:bottom w:val="nil"/>
              <w:right w:val="nil"/>
              <w:tl2br w:val="nil"/>
              <w:tr2bl w:val="nil"/>
            </w:tcBorders>
            <w:vAlign w:val="center"/>
          </w:tcPr>
          <w:p>
            <w:pPr>
              <w:pStyle w:val="96"/>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6046" w:type="dxa"/>
            <w:tcBorders>
              <w:top w:val="nil"/>
              <w:left w:val="nil"/>
              <w:bottom w:val="nil"/>
              <w:right w:val="nil"/>
              <w:tl2br w:val="nil"/>
              <w:tr2bl w:val="nil"/>
            </w:tcBorders>
            <w:vAlign w:val="center"/>
          </w:tcPr>
          <w:p>
            <w:pPr>
              <w:pStyle w:val="96"/>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77" w:type="dxa"/>
            <w:tcBorders>
              <w:top w:val="nil"/>
              <w:left w:val="nil"/>
              <w:bottom w:val="nil"/>
              <w:right w:val="nil"/>
              <w:tl2br w:val="nil"/>
              <w:tr2bl w:val="nil"/>
            </w:tcBorders>
            <w:vAlign w:val="center"/>
          </w:tcPr>
          <w:p>
            <w:pPr>
              <w:pStyle w:val="96"/>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6046" w:type="dxa"/>
            <w:tcBorders>
              <w:top w:val="nil"/>
              <w:left w:val="nil"/>
              <w:bottom w:val="nil"/>
              <w:right w:val="nil"/>
              <w:tl2br w:val="nil"/>
              <w:tr2bl w:val="nil"/>
            </w:tcBorders>
            <w:vAlign w:val="center"/>
          </w:tcPr>
          <w:p>
            <w:pPr>
              <w:pStyle w:val="96"/>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77" w:type="dxa"/>
            <w:tcBorders>
              <w:top w:val="nil"/>
              <w:left w:val="nil"/>
              <w:bottom w:val="nil"/>
              <w:right w:val="nil"/>
              <w:tl2br w:val="nil"/>
              <w:tr2bl w:val="nil"/>
            </w:tcBorders>
            <w:vAlign w:val="center"/>
          </w:tcPr>
          <w:p>
            <w:pPr>
              <w:pStyle w:val="96"/>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pacing w:val="-18"/>
                <w:sz w:val="28"/>
                <w:lang w:val="en-US" w:eastAsia="zh-CN"/>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6046" w:type="dxa"/>
            <w:tcBorders>
              <w:top w:val="nil"/>
              <w:left w:val="nil"/>
              <w:bottom w:val="nil"/>
              <w:right w:val="nil"/>
              <w:tl2br w:val="nil"/>
              <w:tr2bl w:val="nil"/>
            </w:tcBorders>
            <w:vAlign w:val="center"/>
          </w:tcPr>
          <w:p>
            <w:pPr>
              <w:pStyle w:val="96"/>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目  录</w:t>
      </w:r>
    </w:p>
    <w:p>
      <w:pPr>
        <w:jc w:val="center"/>
        <w:rPr>
          <w:rFonts w:hint="eastAsia" w:asciiTheme="minorEastAsia" w:hAnsiTheme="minorEastAsia" w:eastAsiaTheme="minorEastAsia" w:cstheme="minorEastAsia"/>
          <w:b/>
          <w:bCs/>
          <w:color w:val="auto"/>
          <w:szCs w:val="21"/>
          <w:lang w:val="zh-CN"/>
        </w:rPr>
      </w:pPr>
    </w:p>
    <w:p>
      <w:pPr>
        <w:pStyle w:val="21"/>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_Toc24185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第一章 </w:t>
      </w:r>
      <w:r>
        <w:rPr>
          <w:rFonts w:hint="eastAsia" w:asciiTheme="minorEastAsia" w:hAnsiTheme="minorEastAsia" w:eastAsiaTheme="minorEastAsia" w:cstheme="minorEastAsia"/>
          <w:color w:val="auto"/>
          <w:szCs w:val="36"/>
        </w:rPr>
        <w:t>竞争性磋商采购公告</w:t>
      </w:r>
      <w:r>
        <w:rPr>
          <w:color w:val="auto"/>
        </w:rPr>
        <w:tab/>
      </w:r>
      <w:r>
        <w:rPr>
          <w:color w:val="auto"/>
        </w:rPr>
        <w:fldChar w:fldCharType="begin"/>
      </w:r>
      <w:r>
        <w:rPr>
          <w:color w:val="auto"/>
        </w:rPr>
        <w:instrText xml:space="preserve"> PAGEREF _Toc24185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_Toc5947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一、 项目概况</w:t>
      </w:r>
      <w:r>
        <w:rPr>
          <w:color w:val="auto"/>
        </w:rPr>
        <w:tab/>
      </w:r>
      <w:r>
        <w:rPr>
          <w:color w:val="auto"/>
        </w:rPr>
        <w:fldChar w:fldCharType="begin"/>
      </w:r>
      <w:r>
        <w:rPr>
          <w:color w:val="auto"/>
        </w:rPr>
        <w:instrText xml:space="preserve"> PAGEREF _Toc5947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_Toc14744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二、 资格要求</w:t>
      </w:r>
      <w:r>
        <w:rPr>
          <w:color w:val="auto"/>
        </w:rPr>
        <w:tab/>
      </w:r>
      <w:r>
        <w:rPr>
          <w:color w:val="auto"/>
        </w:rPr>
        <w:fldChar w:fldCharType="begin"/>
      </w:r>
      <w:r>
        <w:rPr>
          <w:color w:val="auto"/>
        </w:rPr>
        <w:instrText xml:space="preserve"> PAGEREF _Toc14744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_Toc13830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三、 采购文件的获取</w:t>
      </w:r>
      <w:r>
        <w:rPr>
          <w:color w:val="auto"/>
        </w:rPr>
        <w:tab/>
      </w:r>
      <w:r>
        <w:rPr>
          <w:color w:val="auto"/>
        </w:rPr>
        <w:fldChar w:fldCharType="begin"/>
      </w:r>
      <w:r>
        <w:rPr>
          <w:color w:val="auto"/>
        </w:rPr>
        <w:instrText xml:space="preserve"> PAGEREF _Toc13830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_Toc31195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四、 磋商响应文件送达地点及截止时间</w:t>
      </w:r>
      <w:r>
        <w:rPr>
          <w:color w:val="auto"/>
        </w:rPr>
        <w:tab/>
      </w:r>
      <w:r>
        <w:rPr>
          <w:color w:val="auto"/>
        </w:rPr>
        <w:fldChar w:fldCharType="begin"/>
      </w:r>
      <w:r>
        <w:rPr>
          <w:color w:val="auto"/>
        </w:rPr>
        <w:instrText xml:space="preserve"> PAGEREF _Toc31195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_Toc6123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五、 采购人联系方式</w:t>
      </w:r>
      <w:r>
        <w:rPr>
          <w:color w:val="auto"/>
        </w:rPr>
        <w:tab/>
      </w:r>
      <w:r>
        <w:rPr>
          <w:color w:val="auto"/>
        </w:rPr>
        <w:fldChar w:fldCharType="begin"/>
      </w:r>
      <w:r>
        <w:rPr>
          <w:color w:val="auto"/>
        </w:rPr>
        <w:instrText xml:space="preserve"> PAGEREF _Toc6123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_Toc577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六、 政府采购代理机构联系方式</w:t>
      </w:r>
      <w:r>
        <w:rPr>
          <w:color w:val="auto"/>
        </w:rPr>
        <w:tab/>
      </w:r>
      <w:r>
        <w:rPr>
          <w:color w:val="auto"/>
        </w:rPr>
        <w:fldChar w:fldCharType="begin"/>
      </w:r>
      <w:r>
        <w:rPr>
          <w:color w:val="auto"/>
        </w:rPr>
        <w:instrText xml:space="preserve"> PAGEREF _Toc577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_Toc12832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七、 信息发布媒体</w:t>
      </w:r>
      <w:r>
        <w:rPr>
          <w:rFonts w:hint="eastAsia" w:asciiTheme="minorEastAsia" w:hAnsiTheme="minorEastAsia" w:eastAsiaTheme="minorEastAsia" w:cstheme="minorEastAsia"/>
          <w:color w:val="auto"/>
          <w:szCs w:val="21"/>
          <w:lang w:val="en-US" w:eastAsia="zh-CN"/>
        </w:rPr>
        <w:t>及时间</w:t>
      </w:r>
      <w:r>
        <w:rPr>
          <w:color w:val="auto"/>
        </w:rPr>
        <w:tab/>
      </w:r>
      <w:r>
        <w:rPr>
          <w:color w:val="auto"/>
        </w:rPr>
        <w:fldChar w:fldCharType="begin"/>
      </w:r>
      <w:r>
        <w:rPr>
          <w:color w:val="auto"/>
        </w:rPr>
        <w:instrText xml:space="preserve"> PAGEREF _Toc12832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_Toc24714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八、 注意事项</w:t>
      </w:r>
      <w:r>
        <w:rPr>
          <w:color w:val="auto"/>
        </w:rPr>
        <w:tab/>
      </w:r>
      <w:r>
        <w:rPr>
          <w:color w:val="auto"/>
        </w:rPr>
        <w:fldChar w:fldCharType="begin"/>
      </w:r>
      <w:r>
        <w:rPr>
          <w:color w:val="auto"/>
        </w:rPr>
        <w:instrText xml:space="preserve"> PAGEREF _Toc24714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_Toc15142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_Toc15142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_Toc23028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_Toc23028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_Toc4374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_Toc4374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_Toc4795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_Toc4795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_Toc13216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_Toc13216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_Toc20138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_Toc20138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_Toc30413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_Toc30413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_Toc31566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_Toc31566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_Toc31999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_Toc31999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_Toc30845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_Toc30845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_Toc14791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_Toc14791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_Toc31307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_Toc31307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_Toc3204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_Toc3204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_Toc30649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_Toc30649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_Toc14572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_Toc14572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_Toc29580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_Toc29580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_Toc29934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_Toc29934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_Toc6453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_Toc6453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_Toc16011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_Toc16011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_Toc13751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_Toc13751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_Toc411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_Toc411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_Toc5348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_Toc5348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_Toc5276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_Toc5276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_Toc19824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_Toc19824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_Toc3313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_Toc3313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_Toc6823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_Toc6823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_Toc11848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_Toc11848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_Toc6348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_Toc6348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_Toc5628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_Toc5628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_Toc8549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_Toc8549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_Toc2731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_Toc2731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_Toc12040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_Toc12040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_Toc22872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_Toc22872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_Toc11358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_Toc11358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_Toc13528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_Toc13528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_Toc28795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_Toc28795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_Toc29010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_Toc29010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_Toc31420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_Toc31420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_Toc1309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_Toc1309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_Toc21193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_Toc21193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_Toc16714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_Toc16714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_Toc21867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_Toc21867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_Toc1929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_Toc1929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_Toc15706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_Toc15706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_Toc12380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_Toc12380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_Toc28459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_Toc28459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_Toc11180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color w:val="auto"/>
          <w:szCs w:val="36"/>
        </w:rPr>
        <w:t>采购需求</w:t>
      </w:r>
      <w:r>
        <w:rPr>
          <w:color w:val="auto"/>
        </w:rPr>
        <w:tab/>
      </w:r>
      <w:r>
        <w:rPr>
          <w:color w:val="auto"/>
        </w:rPr>
        <w:fldChar w:fldCharType="begin"/>
      </w:r>
      <w:r>
        <w:rPr>
          <w:color w:val="auto"/>
        </w:rPr>
        <w:instrText xml:space="preserve"> PAGEREF _Toc11180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_Toc2570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_Toc30527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_Toc30527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_Toc2788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_Toc8606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_Toc8606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_Toc32290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_Toc32290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_Toc1388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_Toc1388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_Toc23609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 xml:space="preserve"> 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_Toc23609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_Toc2115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_Toc2115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_Toc20360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_Toc20360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_Toc16771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_Toc16771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_Toc22111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评分标准索引表</w:t>
      </w:r>
      <w:r>
        <w:rPr>
          <w:color w:val="auto"/>
        </w:rPr>
        <w:tab/>
      </w:r>
      <w:r>
        <w:rPr>
          <w:color w:val="auto"/>
        </w:rPr>
        <w:fldChar w:fldCharType="begin"/>
      </w:r>
      <w:r>
        <w:rPr>
          <w:color w:val="auto"/>
        </w:rPr>
        <w:instrText xml:space="preserve"> PAGEREF _Toc22111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_Toc20684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_Toc20684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 xml:space="preserve">   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_Toc2610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_Toc10475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 xml:space="preserve">  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_Toc10475 </w:instrText>
      </w:r>
      <w:r>
        <w:rPr>
          <w:color w:val="auto"/>
        </w:rPr>
        <w:fldChar w:fldCharType="separate"/>
      </w:r>
      <w:r>
        <w:rPr>
          <w:color w:val="auto"/>
        </w:rPr>
        <w:t>60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_Toc23856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四</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_Toc23856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_Toc31617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_Toc31617 </w:instrText>
      </w:r>
      <w:r>
        <w:rPr>
          <w:color w:val="auto"/>
        </w:rPr>
        <w:fldChar w:fldCharType="separate"/>
      </w:r>
      <w:r>
        <w:rPr>
          <w:color w:val="auto"/>
        </w:rPr>
        <w:t>62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_Toc27104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、耗材清单</w:t>
      </w:r>
      <w:r>
        <w:rPr>
          <w:color w:val="auto"/>
        </w:rPr>
        <w:tab/>
      </w:r>
      <w:r>
        <w:rPr>
          <w:color w:val="auto"/>
        </w:rPr>
        <w:fldChar w:fldCharType="begin"/>
      </w:r>
      <w:r>
        <w:rPr>
          <w:color w:val="auto"/>
        </w:rPr>
        <w:instrText xml:space="preserve"> PAGEREF _Toc27104 </w:instrText>
      </w:r>
      <w:r>
        <w:rPr>
          <w:color w:val="auto"/>
        </w:rPr>
        <w:fldChar w:fldCharType="separate"/>
      </w:r>
      <w:r>
        <w:rPr>
          <w:color w:val="auto"/>
        </w:rPr>
        <w:t>63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_Toc4793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七、拟投入设备/备件、工具情况</w:t>
      </w:r>
      <w:r>
        <w:rPr>
          <w:color w:val="auto"/>
        </w:rPr>
        <w:tab/>
      </w:r>
      <w:r>
        <w:rPr>
          <w:color w:val="auto"/>
        </w:rPr>
        <w:fldChar w:fldCharType="begin"/>
      </w:r>
      <w:r>
        <w:rPr>
          <w:color w:val="auto"/>
        </w:rPr>
        <w:instrText xml:space="preserve"> PAGEREF _Toc4793 </w:instrText>
      </w:r>
      <w:r>
        <w:rPr>
          <w:color w:val="auto"/>
        </w:rPr>
        <w:fldChar w:fldCharType="separate"/>
      </w:r>
      <w:r>
        <w:rPr>
          <w:color w:val="auto"/>
        </w:rPr>
        <w:t>64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_Toc3195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_Toc3195 </w:instrText>
      </w:r>
      <w:r>
        <w:rPr>
          <w:color w:val="auto"/>
        </w:rPr>
        <w:fldChar w:fldCharType="separate"/>
      </w:r>
      <w:r>
        <w:rPr>
          <w:color w:val="auto"/>
        </w:rPr>
        <w:t>65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_Toc4542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_Toc4542 </w:instrText>
      </w:r>
      <w:r>
        <w:rPr>
          <w:color w:val="auto"/>
        </w:rPr>
        <w:fldChar w:fldCharType="separate"/>
      </w:r>
      <w:r>
        <w:rPr>
          <w:color w:val="auto"/>
        </w:rPr>
        <w:t>66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_Toc31755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_Toc31755 </w:instrText>
      </w:r>
      <w:r>
        <w:rPr>
          <w:color w:val="auto"/>
        </w:rPr>
        <w:fldChar w:fldCharType="separate"/>
      </w:r>
      <w:r>
        <w:rPr>
          <w:color w:val="auto"/>
        </w:rPr>
        <w:t>67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_Toc6612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一</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_Toc6612 </w:instrText>
      </w:r>
      <w:r>
        <w:rPr>
          <w:color w:val="auto"/>
        </w:rPr>
        <w:fldChar w:fldCharType="separate"/>
      </w:r>
      <w:r>
        <w:rPr>
          <w:color w:val="auto"/>
        </w:rPr>
        <w:t>68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_Toc2463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二</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_Toc2463 </w:instrText>
      </w:r>
      <w:r>
        <w:rPr>
          <w:color w:val="auto"/>
        </w:rPr>
        <w:fldChar w:fldCharType="separate"/>
      </w:r>
      <w:r>
        <w:rPr>
          <w:color w:val="auto"/>
        </w:rPr>
        <w:t>69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_Toc316 </w:instrText>
      </w:r>
      <w:r>
        <w:rPr>
          <w:color w:val="auto"/>
        </w:rPr>
        <w:fldChar w:fldCharType="separate"/>
      </w:r>
      <w:r>
        <w:rPr>
          <w:color w:val="auto"/>
        </w:rPr>
        <w:t>70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_Toc7704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五</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_Toc7704 </w:instrText>
      </w:r>
      <w:r>
        <w:rPr>
          <w:color w:val="auto"/>
        </w:rPr>
        <w:fldChar w:fldCharType="separate"/>
      </w:r>
      <w:r>
        <w:rPr>
          <w:color w:val="auto"/>
        </w:rPr>
        <w:t>72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_Toc29270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十六、</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_Toc29270 </w:instrText>
      </w:r>
      <w:r>
        <w:rPr>
          <w:color w:val="auto"/>
        </w:rPr>
        <w:fldChar w:fldCharType="separate"/>
      </w:r>
      <w:r>
        <w:rPr>
          <w:color w:val="auto"/>
        </w:rPr>
        <w:t>73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_Toc4952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szCs w:val="21"/>
        </w:rPr>
        <w:t xml:space="preserve"> </w:t>
      </w:r>
      <w:r>
        <w:rPr>
          <w:rFonts w:hint="eastAsia" w:asciiTheme="minorEastAsia" w:hAnsiTheme="minorEastAsia" w:eastAsiaTheme="minorEastAsia" w:cstheme="minorEastAsia"/>
          <w:color w:val="auto"/>
          <w:lang w:val="en-US" w:eastAsia="zh-CN"/>
        </w:rPr>
        <w:t>十七</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_Toc4952 </w:instrText>
      </w:r>
      <w:r>
        <w:rPr>
          <w:color w:val="auto"/>
        </w:rPr>
        <w:fldChar w:fldCharType="separate"/>
      </w:r>
      <w:r>
        <w:rPr>
          <w:color w:val="auto"/>
        </w:rPr>
        <w:t>74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_Toc15506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十八、节能环保产品证明材料（若符合）</w:t>
      </w:r>
      <w:r>
        <w:rPr>
          <w:color w:val="auto"/>
        </w:rPr>
        <w:tab/>
      </w:r>
      <w:r>
        <w:rPr>
          <w:color w:val="auto"/>
        </w:rPr>
        <w:fldChar w:fldCharType="begin"/>
      </w:r>
      <w:r>
        <w:rPr>
          <w:color w:val="auto"/>
        </w:rPr>
        <w:instrText xml:space="preserve"> PAGEREF _Toc15506 </w:instrText>
      </w:r>
      <w:r>
        <w:rPr>
          <w:color w:val="auto"/>
        </w:rPr>
        <w:fldChar w:fldCharType="separate"/>
      </w:r>
      <w:r>
        <w:rPr>
          <w:color w:val="auto"/>
        </w:rPr>
        <w:t>75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_Toc11218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十九</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_Toc11218 </w:instrText>
      </w:r>
      <w:r>
        <w:rPr>
          <w:color w:val="auto"/>
        </w:rPr>
        <w:fldChar w:fldCharType="separate"/>
      </w:r>
      <w:r>
        <w:rPr>
          <w:color w:val="auto"/>
        </w:rPr>
        <w:t>76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_Toc11829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二十、参加本次政府采购活动前3年内发生诉讼及仲裁情况表</w:t>
      </w:r>
      <w:r>
        <w:rPr>
          <w:color w:val="auto"/>
        </w:rPr>
        <w:tab/>
      </w:r>
      <w:r>
        <w:rPr>
          <w:color w:val="auto"/>
        </w:rPr>
        <w:fldChar w:fldCharType="begin"/>
      </w:r>
      <w:r>
        <w:rPr>
          <w:color w:val="auto"/>
        </w:rPr>
        <w:instrText xml:space="preserve"> PAGEREF _Toc11829 </w:instrText>
      </w:r>
      <w:r>
        <w:rPr>
          <w:color w:val="auto"/>
        </w:rPr>
        <w:fldChar w:fldCharType="separate"/>
      </w:r>
      <w:r>
        <w:rPr>
          <w:color w:val="auto"/>
        </w:rPr>
        <w:t>77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_Toc17368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shd w:val="clear" w:color="auto" w:fill="FFFFFF"/>
        </w:rPr>
        <w:t xml:space="preserve"> </w:t>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、磋商供应商认为应该提交的其它文件（格式自拟）</w:t>
      </w:r>
      <w:r>
        <w:rPr>
          <w:color w:val="auto"/>
        </w:rPr>
        <w:tab/>
      </w:r>
      <w:r>
        <w:rPr>
          <w:color w:val="auto"/>
        </w:rPr>
        <w:fldChar w:fldCharType="begin"/>
      </w:r>
      <w:r>
        <w:rPr>
          <w:color w:val="auto"/>
        </w:rPr>
        <w:instrText xml:space="preserve"> PAGEREF _Toc17368 </w:instrText>
      </w:r>
      <w:r>
        <w:rPr>
          <w:color w:val="auto"/>
        </w:rPr>
        <w:fldChar w:fldCharType="separate"/>
      </w:r>
      <w:r>
        <w:rPr>
          <w:color w:val="auto"/>
        </w:rPr>
        <w:t>77</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6"/>
          <w:szCs w:val="36"/>
        </w:rPr>
      </w:pPr>
      <w:bookmarkStart w:id="0" w:name="_Toc24185"/>
      <w:r>
        <w:rPr>
          <w:rFonts w:hint="eastAsia" w:asciiTheme="minorEastAsia" w:hAnsiTheme="minorEastAsia" w:eastAsiaTheme="minorEastAsia" w:cstheme="minorEastAsia"/>
          <w:color w:val="auto"/>
          <w:sz w:val="36"/>
          <w:szCs w:val="36"/>
        </w:rPr>
        <w:t>竞争性磋商采购公告</w:t>
      </w:r>
      <w:bookmarkEnd w:id="0"/>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中经国际招标集团有限公司（以下简称“采购代理机构”）</w:t>
      </w:r>
      <w:r>
        <w:rPr>
          <w:rFonts w:hint="eastAsia" w:asciiTheme="minorEastAsia" w:hAnsiTheme="minorEastAsia" w:eastAsiaTheme="minorEastAsia" w:cstheme="minorEastAsia"/>
          <w:color w:val="auto"/>
          <w:szCs w:val="21"/>
        </w:rPr>
        <w:t>受</w:t>
      </w:r>
      <w:r>
        <w:rPr>
          <w:rFonts w:hint="eastAsia" w:asciiTheme="minorEastAsia" w:hAnsiTheme="minorEastAsia" w:eastAsiaTheme="minorEastAsia" w:cstheme="minorEastAsia"/>
          <w:color w:val="auto"/>
          <w:szCs w:val="21"/>
          <w:u w:val="single"/>
        </w:rPr>
        <w:t>华中农业大学</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的委托，对</w:t>
      </w:r>
      <w:r>
        <w:rPr>
          <w:rFonts w:hint="eastAsia" w:asciiTheme="minorEastAsia" w:hAnsiTheme="minorEastAsia" w:eastAsiaTheme="minorEastAsia" w:cstheme="minorEastAsia"/>
          <w:color w:val="auto"/>
          <w:szCs w:val="21"/>
          <w:u w:val="single"/>
        </w:rPr>
        <w:t>华中农业大学工业机器人实验室设备购置</w:t>
      </w:r>
      <w:r>
        <w:rPr>
          <w:rFonts w:hint="eastAsia" w:asciiTheme="minorEastAsia" w:hAnsiTheme="minorEastAsia" w:eastAsiaTheme="minorEastAsia" w:cstheme="minorEastAsia"/>
          <w:color w:val="auto"/>
          <w:szCs w:val="21"/>
          <w:u w:val="single"/>
          <w:lang w:val="en-US" w:eastAsia="zh-CN"/>
        </w:rPr>
        <w:t>项目</w:t>
      </w:r>
      <w:r>
        <w:rPr>
          <w:rFonts w:hint="eastAsia" w:asciiTheme="minorEastAsia" w:hAnsiTheme="minorEastAsia" w:eastAsiaTheme="minorEastAsia" w:cstheme="minorEastAsia"/>
          <w:color w:val="auto"/>
          <w:szCs w:val="21"/>
        </w:rPr>
        <w:t>进行竞争性磋商采购。欢迎符合资质条件并对此感兴趣的响应供应商参与磋商。</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1" w:name="_Toc10673365"/>
      <w:bookmarkStart w:id="2" w:name="_Toc23202"/>
      <w:bookmarkStart w:id="3" w:name="_Toc5947"/>
      <w:r>
        <w:rPr>
          <w:rFonts w:hint="eastAsia" w:asciiTheme="minorEastAsia" w:hAnsiTheme="minorEastAsia" w:eastAsiaTheme="minorEastAsia" w:cstheme="minorEastAsia"/>
          <w:color w:val="auto"/>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、项目名称：华中农业大学工业机器人实验室设备购置项目</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 xml:space="preserve">2、项目编号：ZJZB-ZC-202005-155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color w:val="auto"/>
          <w:szCs w:val="21"/>
          <w:lang w:val="en-US" w:eastAsia="zh-CN"/>
        </w:rPr>
        <w:t>3、采购预算：人民币</w:t>
      </w:r>
      <w:r>
        <w:rPr>
          <w:rFonts w:hint="eastAsia" w:asciiTheme="minorEastAsia" w:hAnsiTheme="minorEastAsia" w:eastAsiaTheme="minorEastAsia" w:cstheme="minorEastAsia"/>
          <w:color w:val="auto"/>
          <w:szCs w:val="21"/>
          <w:u w:val="single"/>
          <w:lang w:val="en-US" w:eastAsia="zh-CN"/>
        </w:rPr>
        <w:t>175</w:t>
      </w:r>
      <w:r>
        <w:rPr>
          <w:rFonts w:hint="eastAsia" w:asciiTheme="minorEastAsia" w:hAnsiTheme="minorEastAsia" w:eastAsiaTheme="minorEastAsia" w:cstheme="minorEastAsia"/>
          <w:color w:val="auto"/>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175</w:t>
      </w:r>
      <w:r>
        <w:rPr>
          <w:rFonts w:hint="eastAsia" w:asciiTheme="minorEastAsia" w:hAnsiTheme="minorEastAsia" w:eastAsiaTheme="minorEastAsia" w:cstheme="minorEastAsia"/>
          <w:b w:val="0"/>
          <w:bCs w:val="0"/>
          <w:color w:val="auto"/>
          <w:kern w:val="2"/>
          <w:sz w:val="21"/>
          <w:szCs w:val="21"/>
          <w:lang w:val="en-US" w:eastAsia="zh-CN" w:bidi="ar-SA"/>
        </w:rPr>
        <w:t>万元；</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4、资金性质：财政性资金</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eastAsia="zh-CN"/>
        </w:rPr>
        <w:t>1</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项目包名称：</w:t>
      </w:r>
      <w:r>
        <w:rPr>
          <w:rFonts w:hint="eastAsia" w:asciiTheme="minorEastAsia" w:hAnsiTheme="minorEastAsia" w:eastAsiaTheme="minorEastAsia" w:cstheme="minorEastAsia"/>
          <w:color w:val="auto"/>
          <w:szCs w:val="21"/>
        </w:rPr>
        <w:t>工业机器人实验室设备购置</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类别：货物</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简要技术要求/项目性质：(详见采购文件第三章“项目采购需求”）</w:t>
      </w:r>
    </w:p>
    <w:tbl>
      <w:tblPr>
        <w:tblStyle w:val="2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6372"/>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68" w:type="pct"/>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序号</w:t>
            </w:r>
          </w:p>
        </w:tc>
        <w:tc>
          <w:tcPr>
            <w:tcW w:w="3200" w:type="pct"/>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名称</w:t>
            </w:r>
          </w:p>
        </w:tc>
        <w:tc>
          <w:tcPr>
            <w:tcW w:w="615" w:type="pct"/>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数量</w:t>
            </w:r>
          </w:p>
        </w:tc>
        <w:tc>
          <w:tcPr>
            <w:tcW w:w="615" w:type="pct"/>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多功能实训工作站+力控单元</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多功能实训工作站</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4</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桁架机械手</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1</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SCARA机器人</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视觉分拣机器人</w:t>
            </w:r>
          </w:p>
        </w:tc>
        <w:tc>
          <w:tcPr>
            <w:tcW w:w="615"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1</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DELTA并联机器人</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1</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AGV运载机器人输送单元模块</w:t>
            </w:r>
          </w:p>
        </w:tc>
        <w:tc>
          <w:tcPr>
            <w:tcW w:w="615" w:type="pct"/>
            <w:vAlign w:val="center"/>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kern w:val="2"/>
                <w:sz w:val="21"/>
                <w:szCs w:val="21"/>
                <w:vertAlign w:val="baseline"/>
                <w:lang w:val="en-US" w:eastAsia="zh-CN" w:bidi="ar-SA"/>
              </w:rPr>
            </w:pPr>
            <w:r>
              <w:rPr>
                <w:rFonts w:hint="eastAsia" w:asciiTheme="minorEastAsia" w:hAnsiTheme="minorEastAsia" w:eastAsiaTheme="minorEastAsia" w:cstheme="minorEastAsia"/>
                <w:b w:val="0"/>
                <w:bCs w:val="0"/>
                <w:color w:val="auto"/>
                <w:sz w:val="21"/>
                <w:szCs w:val="21"/>
                <w:lang w:val="en-US" w:eastAsia="zh-CN"/>
              </w:rPr>
              <w:t>1</w:t>
            </w:r>
          </w:p>
        </w:tc>
        <w:tc>
          <w:tcPr>
            <w:tcW w:w="615" w:type="pct"/>
            <w:vAlign w:val="top"/>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kern w:val="2"/>
                <w:sz w:val="21"/>
                <w:szCs w:val="21"/>
                <w:vertAlign w:val="baseline"/>
                <w:lang w:val="en-US" w:eastAsia="zh-CN" w:bidi="ar-SA"/>
              </w:rPr>
            </w:pPr>
            <w:r>
              <w:rPr>
                <w:rFonts w:hint="eastAsia" w:asciiTheme="minorEastAsia" w:hAnsiTheme="minorEastAsia" w:eastAsiaTheme="minorEastAsia" w:cstheme="minorEastAsia"/>
                <w:b w:val="0"/>
                <w:bCs w:val="0"/>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tcPr>
          <w:p>
            <w:pPr>
              <w:numPr>
                <w:ilvl w:val="0"/>
                <w:numId w:val="7"/>
              </w:numPr>
              <w:autoSpaceDE w:val="0"/>
              <w:autoSpaceDN w:val="0"/>
              <w:adjustRightInd w:val="0"/>
              <w:spacing w:line="360" w:lineRule="auto"/>
              <w:ind w:left="425" w:leftChars="0" w:hanging="425" w:firstLineChars="0"/>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p>
        </w:tc>
        <w:tc>
          <w:tcPr>
            <w:tcW w:w="3200"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产线总控电柜</w:t>
            </w:r>
          </w:p>
        </w:tc>
        <w:tc>
          <w:tcPr>
            <w:tcW w:w="615" w:type="pct"/>
            <w:vAlign w:val="center"/>
          </w:tcPr>
          <w:p>
            <w:pPr>
              <w:autoSpaceDE w:val="0"/>
              <w:autoSpaceDN w:val="0"/>
              <w:adjustRightInd w:val="0"/>
              <w:spacing w:line="360" w:lineRule="auto"/>
              <w:jc w:val="center"/>
              <w:outlineLvl w:val="9"/>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1</w:t>
            </w:r>
          </w:p>
        </w:tc>
        <w:tc>
          <w:tcPr>
            <w:tcW w:w="615" w:type="pct"/>
          </w:tcPr>
          <w:p>
            <w:p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lang w:val="en-US" w:eastAsia="zh-CN"/>
              </w:rPr>
              <w:t>套</w:t>
            </w:r>
          </w:p>
        </w:tc>
      </w:tr>
    </w:tbl>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交货期：合同签订后</w:t>
      </w:r>
      <w:r>
        <w:rPr>
          <w:rFonts w:hint="eastAsia" w:asciiTheme="minorEastAsia" w:hAnsiTheme="minorEastAsia" w:eastAsiaTheme="minorEastAsia" w:cstheme="minorEastAsia"/>
          <w:color w:val="auto"/>
          <w:szCs w:val="21"/>
          <w:u w:val="single"/>
          <w:lang w:val="en-US" w:eastAsia="zh-CN"/>
        </w:rPr>
        <w:t>30</w:t>
      </w:r>
      <w:r>
        <w:rPr>
          <w:rFonts w:hint="eastAsia" w:asciiTheme="minorEastAsia" w:hAnsiTheme="minorEastAsia" w:eastAsiaTheme="minorEastAsia" w:cstheme="minorEastAsia"/>
          <w:b w:val="0"/>
          <w:bCs w:val="0"/>
          <w:color w:val="auto"/>
          <w:kern w:val="2"/>
          <w:sz w:val="21"/>
          <w:szCs w:val="21"/>
          <w:lang w:val="en-US" w:eastAsia="zh-CN" w:bidi="ar-SA"/>
        </w:rPr>
        <w:t>日历天内供货，</w:t>
      </w:r>
      <w:r>
        <w:rPr>
          <w:rFonts w:hint="eastAsia" w:asciiTheme="minorEastAsia" w:hAnsiTheme="minorEastAsia" w:eastAsiaTheme="minorEastAsia" w:cstheme="minorEastAsia"/>
          <w:color w:val="auto"/>
          <w:szCs w:val="21"/>
          <w:u w:val="single"/>
          <w:lang w:val="en-US" w:eastAsia="zh-CN"/>
        </w:rPr>
        <w:t>15</w:t>
      </w:r>
      <w:r>
        <w:rPr>
          <w:rFonts w:hint="eastAsia" w:asciiTheme="minorEastAsia" w:hAnsiTheme="minorEastAsia" w:eastAsiaTheme="minorEastAsia" w:cstheme="minorEastAsia"/>
          <w:b w:val="0"/>
          <w:bCs w:val="0"/>
          <w:color w:val="auto"/>
          <w:kern w:val="2"/>
          <w:sz w:val="21"/>
          <w:szCs w:val="21"/>
          <w:lang w:val="en-US" w:eastAsia="zh-CN" w:bidi="ar-SA"/>
        </w:rPr>
        <w:t>天内完成安装调试</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质保期/保修期：</w:t>
      </w:r>
      <w:r>
        <w:rPr>
          <w:rFonts w:hint="eastAsia" w:asciiTheme="minorEastAsia" w:hAnsiTheme="minorEastAsia" w:eastAsiaTheme="minorEastAsia" w:cstheme="minorEastAsia"/>
          <w:color w:val="auto"/>
          <w:szCs w:val="21"/>
        </w:rPr>
        <w:t>自验收合格后质保两年，质保期内，除人为因素损坏外，全部免费维修。</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质量标准：达到国家或行业颁布的其他现行各项技术标准和验收规范规定</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6、供应商参加磋商的报价超过该包采购预算金额的，该包磋商报价无效；</w:t>
      </w:r>
    </w:p>
    <w:p>
      <w:pPr>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7、采购项目需要落实的政府采购政策:本项目需落实政府采购强制、优先采购节能产品政策；政府采购优先采购环保产品政策；政府采购促进中小企业发展（监狱企业、残疾人福利性单位视同小微企业）等政策详见磋商文件；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 xml:space="preserve">   8、供应商如需查询技术要求可直接到我处查阅磋商文件。</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4" w:name="_Toc13652"/>
      <w:bookmarkStart w:id="5" w:name="_Toc334539183"/>
      <w:bookmarkStart w:id="6" w:name="_Toc10673366"/>
      <w:bookmarkStart w:id="7" w:name="_Toc14744"/>
      <w:r>
        <w:rPr>
          <w:rFonts w:hint="eastAsia" w:asciiTheme="minorEastAsia" w:hAnsiTheme="minorEastAsia" w:eastAsiaTheme="minorEastAsia" w:cstheme="minorEastAsia"/>
          <w:color w:val="auto"/>
          <w:sz w:val="21"/>
          <w:szCs w:val="21"/>
        </w:rPr>
        <w:t>资格要求</w:t>
      </w:r>
      <w:bookmarkEnd w:id="4"/>
      <w:bookmarkEnd w:id="5"/>
      <w:bookmarkEnd w:id="6"/>
      <w:bookmarkEnd w:id="7"/>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供应商资格要求为</w:t>
      </w:r>
      <w:r>
        <w:rPr>
          <w:rFonts w:hint="eastAsia" w:asciiTheme="minorEastAsia" w:hAnsiTheme="minorEastAsia" w:eastAsiaTheme="minorEastAsia" w:cstheme="minorEastAsia"/>
          <w:color w:val="auto"/>
          <w:szCs w:val="21"/>
          <w:lang w:val="en-US" w:eastAsia="zh-CN"/>
        </w:rPr>
        <w:t>参与</w:t>
      </w:r>
      <w:r>
        <w:rPr>
          <w:rFonts w:hint="eastAsia" w:asciiTheme="minorEastAsia" w:hAnsiTheme="minorEastAsia" w:eastAsiaTheme="minorEastAsia" w:cstheme="minorEastAsia"/>
          <w:color w:val="auto"/>
          <w:szCs w:val="21"/>
        </w:rPr>
        <w:t>本项目供应商应具备的基本条件，参加磋商的供应商必须满足资格要求中的对应的所有条款，并按照相关规定</w:t>
      </w:r>
      <w:r>
        <w:rPr>
          <w:rFonts w:hint="eastAsia" w:asciiTheme="minorEastAsia" w:hAnsiTheme="minorEastAsia" w:eastAsiaTheme="minorEastAsia" w:cstheme="minorEastAsia"/>
          <w:color w:val="auto"/>
          <w:szCs w:val="21"/>
          <w:lang w:val="en-US" w:eastAsia="zh-CN"/>
        </w:rPr>
        <w:t>在响应文件中</w:t>
      </w:r>
      <w:r>
        <w:rPr>
          <w:rFonts w:hint="eastAsia" w:asciiTheme="minorEastAsia" w:hAnsiTheme="minorEastAsia" w:eastAsiaTheme="minorEastAsia" w:cstheme="minorEastAsia"/>
          <w:color w:val="auto"/>
          <w:szCs w:val="21"/>
        </w:rPr>
        <w:t>递交资格证明文件。</w:t>
      </w:r>
    </w:p>
    <w:p>
      <w:pPr>
        <w:numPr>
          <w:ilvl w:val="0"/>
          <w:numId w:val="8"/>
        </w:num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.1具有独立承担民事责任的能力</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经营范围需满足采购需求</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.5参加政府采购活动前三年内（不足3年按公司成立时间起算），在经营活动中没有重大违法记录</w:t>
      </w:r>
      <w:r>
        <w:rPr>
          <w:rFonts w:hint="eastAsia" w:asciiTheme="minorEastAsia" w:hAnsiTheme="minorEastAsia" w:eastAsiaTheme="minorEastAsia" w:cstheme="minorEastAsia"/>
          <w:color w:val="auto"/>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.6法律、行政法规规定的其他条件</w:t>
      </w:r>
      <w:r>
        <w:rPr>
          <w:rFonts w:hint="eastAsia" w:asciiTheme="minorEastAsia" w:hAnsiTheme="minorEastAsia" w:eastAsiaTheme="minorEastAsia" w:cstheme="minorEastAsia"/>
          <w:color w:val="auto"/>
          <w:szCs w:val="21"/>
          <w:lang w:eastAsia="zh-CN"/>
        </w:rPr>
        <w:t>；</w:t>
      </w:r>
    </w:p>
    <w:p>
      <w:pPr>
        <w:numPr>
          <w:ilvl w:val="0"/>
          <w:numId w:val="8"/>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rPr>
        <w:t>供应商参加</w:t>
      </w:r>
      <w:r>
        <w:rPr>
          <w:rFonts w:hint="eastAsia" w:asciiTheme="minorEastAsia" w:hAnsiTheme="minorEastAsia" w:eastAsiaTheme="minorEastAsia" w:cstheme="minorEastAsia"/>
          <w:color w:val="auto"/>
          <w:szCs w:val="21"/>
          <w:lang w:val="en-US" w:eastAsia="zh-CN"/>
        </w:rPr>
        <w:t>本次</w:t>
      </w:r>
      <w:r>
        <w:rPr>
          <w:rFonts w:hint="eastAsia" w:asciiTheme="minorEastAsia" w:hAnsiTheme="minorEastAsia" w:eastAsiaTheme="minorEastAsia" w:cstheme="minorEastAsia"/>
          <w:color w:val="auto"/>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auto"/>
          <w:szCs w:val="21"/>
          <w:lang w:val="en-US" w:eastAsia="zh-CN"/>
        </w:rPr>
        <w:t>评审时以采购代理机构磋商现场查询结果为准）；</w:t>
      </w:r>
      <w:r>
        <w:rPr>
          <w:rFonts w:hint="eastAsia" w:asciiTheme="minorEastAsia" w:hAnsiTheme="minorEastAsia" w:eastAsiaTheme="minorEastAsia" w:cstheme="minorEastAsia"/>
          <w:color w:val="auto"/>
          <w:u w:val="single"/>
          <w:lang w:val="en-US" w:eastAsia="zh-CN"/>
        </w:rPr>
        <w:t xml:space="preserve">  </w:t>
      </w:r>
    </w:p>
    <w:p>
      <w:pPr>
        <w:numPr>
          <w:ilvl w:val="0"/>
          <w:numId w:val="8"/>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如国家法律法规对市场准入有要求的还应符合相关规定；</w:t>
      </w:r>
    </w:p>
    <w:p>
      <w:pPr>
        <w:numPr>
          <w:ilvl w:val="0"/>
          <w:numId w:val="8"/>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本项目</w:t>
      </w:r>
      <w:r>
        <w:rPr>
          <w:rFonts w:hint="eastAsia" w:asciiTheme="minorEastAsia" w:hAnsiTheme="minorEastAsia" w:eastAsiaTheme="minorEastAsia" w:cstheme="minorEastAsia"/>
          <w:color w:val="auto"/>
          <w:u w:val="single"/>
          <w:lang w:val="en-US" w:eastAsia="zh-CN"/>
        </w:rPr>
        <w:t>不接受</w:t>
      </w:r>
      <w:r>
        <w:rPr>
          <w:rFonts w:hint="eastAsia" w:asciiTheme="minorEastAsia" w:hAnsiTheme="minorEastAsia" w:eastAsiaTheme="minorEastAsia" w:cstheme="minorEastAsia"/>
          <w:color w:val="auto"/>
          <w:lang w:val="en-US" w:eastAsia="zh-CN"/>
        </w:rPr>
        <w:t>联合体参与磋商。</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8" w:name="_Toc334539184"/>
      <w:bookmarkStart w:id="9" w:name="_Toc10673367"/>
      <w:bookmarkStart w:id="10" w:name="_Toc25251"/>
      <w:bookmarkStart w:id="11" w:name="_Toc13830"/>
      <w:bookmarkStart w:id="12" w:name="_Toc334539185"/>
      <w:r>
        <w:rPr>
          <w:rFonts w:hint="eastAsia" w:asciiTheme="minorEastAsia" w:hAnsiTheme="minorEastAsia" w:eastAsiaTheme="minorEastAsia" w:cstheme="minorEastAsia"/>
          <w:color w:val="auto"/>
          <w:sz w:val="21"/>
          <w:szCs w:val="21"/>
        </w:rPr>
        <w:t>采购文件的</w:t>
      </w:r>
      <w:bookmarkEnd w:id="8"/>
      <w:r>
        <w:rPr>
          <w:rFonts w:hint="eastAsia" w:asciiTheme="minorEastAsia" w:hAnsiTheme="minorEastAsia" w:eastAsiaTheme="minorEastAsia" w:cstheme="minorEastAsia"/>
          <w:color w:val="auto"/>
          <w:sz w:val="21"/>
          <w:szCs w:val="21"/>
        </w:rPr>
        <w:t>获取</w:t>
      </w:r>
      <w:bookmarkEnd w:id="9"/>
      <w:bookmarkEnd w:id="10"/>
      <w:bookmarkEnd w:id="11"/>
    </w:p>
    <w:p>
      <w:pPr>
        <w:spacing w:line="360" w:lineRule="auto"/>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获取</w:t>
      </w: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日起至</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15</w:t>
      </w:r>
      <w:r>
        <w:rPr>
          <w:rFonts w:hint="eastAsia" w:asciiTheme="minorEastAsia" w:hAnsiTheme="minorEastAsia" w:eastAsiaTheme="minorEastAsia" w:cstheme="minorEastAsia"/>
          <w:color w:val="auto"/>
          <w:szCs w:val="21"/>
        </w:rPr>
        <w:t>日每天上午09:00～12:00、下午14:30～17:00</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法定节假日以及休息日（周六周日）除外</w:t>
      </w:r>
      <w:r>
        <w:rPr>
          <w:rFonts w:hint="eastAsia" w:asciiTheme="minorEastAsia" w:hAnsiTheme="minorEastAsia" w:eastAsiaTheme="minorEastAsia" w:cstheme="minorEastAsia"/>
          <w:color w:val="auto"/>
          <w:szCs w:val="21"/>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获取地点：网上获取；</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获取方式：</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因疫情原因，本项目采取网上获取文件的方式，请各</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将以下资料加盖公章扫描后传至2102252595@qq.com（邮件主题名称必须备注项目名称及公司</w:t>
      </w:r>
      <w:r>
        <w:rPr>
          <w:rFonts w:hint="eastAsia" w:asciiTheme="minorEastAsia" w:hAnsiTheme="minorEastAsia" w:eastAsiaTheme="minorEastAsia" w:cstheme="minorEastAsia"/>
          <w:color w:val="auto"/>
          <w:sz w:val="21"/>
          <w:szCs w:val="21"/>
          <w:lang w:val="en-US" w:eastAsia="zh-CN"/>
        </w:rPr>
        <w:t>全称</w:t>
      </w:r>
      <w:r>
        <w:rPr>
          <w:rFonts w:hint="eastAsia" w:asciiTheme="minorEastAsia" w:hAnsiTheme="minorEastAsia" w:eastAsiaTheme="minorEastAsia" w:cstheme="minorEastAsia"/>
          <w:color w:val="auto"/>
          <w:sz w:val="21"/>
          <w:szCs w:val="21"/>
        </w:rPr>
        <w:t>，否则不予受理），以邮箱显示收到的时间为准，递交资料后请</w:t>
      </w:r>
      <w:r>
        <w:rPr>
          <w:rFonts w:hint="eastAsia" w:asciiTheme="minorEastAsia" w:hAnsiTheme="minorEastAsia" w:eastAsiaTheme="minorEastAsia" w:cstheme="minorEastAsia"/>
          <w:color w:val="auto"/>
          <w:sz w:val="21"/>
          <w:szCs w:val="21"/>
          <w:lang w:val="en-US" w:eastAsia="zh-CN"/>
        </w:rPr>
        <w:t>及时使用邮箱留言方式</w:t>
      </w:r>
      <w:r>
        <w:rPr>
          <w:rFonts w:hint="eastAsia" w:asciiTheme="minorEastAsia" w:hAnsiTheme="minorEastAsia" w:eastAsiaTheme="minorEastAsia" w:cstheme="minorEastAsia"/>
          <w:color w:val="auto"/>
          <w:sz w:val="21"/>
          <w:szCs w:val="21"/>
        </w:rPr>
        <w:t>联系代理机构工作人员支付文件费用并</w:t>
      </w:r>
      <w:r>
        <w:rPr>
          <w:rFonts w:hint="eastAsia" w:asciiTheme="minorEastAsia" w:hAnsiTheme="minorEastAsia" w:eastAsiaTheme="minorEastAsia" w:cstheme="minorEastAsia"/>
          <w:color w:val="auto"/>
          <w:sz w:val="21"/>
          <w:szCs w:val="21"/>
          <w:lang w:val="en-US" w:eastAsia="zh-CN"/>
        </w:rPr>
        <w:t>收取</w:t>
      </w:r>
      <w:r>
        <w:rPr>
          <w:rFonts w:hint="eastAsia" w:asciiTheme="minorEastAsia" w:hAnsiTheme="minorEastAsia" w:eastAsiaTheme="minorEastAsia" w:cstheme="minorEastAsia"/>
          <w:color w:val="auto"/>
          <w:sz w:val="21"/>
          <w:szCs w:val="21"/>
        </w:rPr>
        <w:t>文件。</w:t>
      </w:r>
      <w:r>
        <w:rPr>
          <w:rFonts w:hint="eastAsia" w:asciiTheme="minorEastAsia" w:hAnsiTheme="minorEastAsia" w:eastAsiaTheme="minorEastAsia" w:cstheme="minorEastAsia"/>
          <w:color w:val="auto"/>
          <w:sz w:val="21"/>
          <w:szCs w:val="21"/>
        </w:rPr>
        <w:fldChar w:fldCharType="end"/>
      </w:r>
    </w:p>
    <w:p>
      <w:pPr>
        <w:spacing w:line="360" w:lineRule="auto"/>
        <w:ind w:left="473" w:leftChars="225"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①法定代表人身份证明书（格式附后）及法定代表人身份证真彩扫描件或法定代表人授权书（格式附后）及受托人身份证真彩扫描件；</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②营业执照真彩扫描件；</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③项目报名表（格式附后）</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磋商文件人民币400元/本，售后不退，不办理邮寄；</w:t>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asciiTheme="minorEastAsia" w:hAnsiTheme="minorEastAsia" w:eastAsiaTheme="minorEastAsia" w:cstheme="minorEastAsia"/>
          <w:color w:val="auto"/>
          <w:lang w:val="en-US" w:eastAsia="zh-CN"/>
        </w:rPr>
        <w:t>为本项目提供过整体设计、规范编制或者项目管理、监理、检测等服务的供应商</w:t>
      </w:r>
      <w:r>
        <w:rPr>
          <w:rFonts w:hint="eastAsia" w:asciiTheme="minorEastAsia" w:hAnsiTheme="minorEastAsia" w:eastAsiaTheme="minorEastAsia" w:cstheme="minorEastAsia"/>
          <w:color w:val="auto"/>
          <w:szCs w:val="21"/>
          <w:lang w:val="en-US" w:eastAsia="zh-CN"/>
        </w:rPr>
        <w:t>不得参加本次采购活动</w:t>
      </w:r>
      <w:r>
        <w:rPr>
          <w:rFonts w:hint="eastAsia" w:asciiTheme="minorEastAsia" w:hAnsiTheme="minorEastAsia" w:eastAsiaTheme="minorEastAsia" w:cstheme="minorEastAsia"/>
          <w:color w:val="auto"/>
          <w:lang w:val="en-US" w:eastAsia="zh-CN"/>
        </w:rPr>
        <w:t>。</w:t>
      </w:r>
    </w:p>
    <w:bookmarkEnd w:id="12"/>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13" w:name="_Toc31195"/>
      <w:r>
        <w:rPr>
          <w:rFonts w:hint="eastAsia" w:asciiTheme="minorEastAsia" w:hAnsiTheme="minorEastAsia" w:eastAsiaTheme="minorEastAsia" w:cstheme="minorEastAsia"/>
          <w:color w:val="auto"/>
          <w:sz w:val="21"/>
          <w:szCs w:val="21"/>
        </w:rPr>
        <w:t>磋商响应文件送达地点及截止时间</w:t>
      </w:r>
      <w:bookmarkEnd w:id="13"/>
    </w:p>
    <w:p>
      <w:pPr>
        <w:spacing w:line="360" w:lineRule="auto"/>
        <w:rPr>
          <w:rFonts w:hint="eastAsia" w:asciiTheme="minorEastAsia" w:hAnsiTheme="minorEastAsia" w:eastAsiaTheme="minorEastAsia" w:cstheme="minorEastAsia"/>
          <w:color w:val="auto"/>
          <w:szCs w:val="21"/>
          <w:lang w:val="zh-CN"/>
        </w:rPr>
      </w:pPr>
      <w:bookmarkStart w:id="14" w:name="_Toc334539186"/>
      <w:bookmarkStart w:id="15" w:name="_Toc259028276"/>
      <w:r>
        <w:rPr>
          <w:rFonts w:hint="eastAsia" w:asciiTheme="minorEastAsia" w:hAnsiTheme="minorEastAsia" w:eastAsiaTheme="minorEastAsia" w:cstheme="minorEastAsia"/>
          <w:color w:val="auto"/>
          <w:szCs w:val="21"/>
          <w:lang w:val="zh-CN"/>
        </w:rPr>
        <w:t>送达地点：武汉市洪山区狮子山街1号华中农业大学大学生创业楼（大学生创业孵化器）120室（华中农业大学西一门进门约100米处）。</w:t>
      </w:r>
    </w:p>
    <w:p>
      <w:pPr>
        <w:spacing w:line="360" w:lineRule="auto"/>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截止时间：2020年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lang w:val="zh-CN"/>
        </w:rPr>
        <w:t>月</w:t>
      </w:r>
      <w:r>
        <w:rPr>
          <w:rFonts w:hint="eastAsia" w:asciiTheme="minorEastAsia" w:hAnsiTheme="minorEastAsia" w:eastAsiaTheme="minorEastAsia" w:cstheme="minorEastAsia"/>
          <w:color w:val="auto"/>
          <w:szCs w:val="21"/>
          <w:lang w:val="en-US" w:eastAsia="zh-CN"/>
        </w:rPr>
        <w:t>24</w:t>
      </w:r>
      <w:r>
        <w:rPr>
          <w:rFonts w:hint="eastAsia" w:asciiTheme="minorEastAsia" w:hAnsiTheme="minorEastAsia" w:eastAsiaTheme="minorEastAsia" w:cstheme="minorEastAsia"/>
          <w:color w:val="auto"/>
          <w:szCs w:val="21"/>
          <w:lang w:val="zh-CN"/>
        </w:rPr>
        <w:t>日</w:t>
      </w:r>
      <w:r>
        <w:rPr>
          <w:rFonts w:hint="eastAsia" w:asciiTheme="minorEastAsia" w:hAnsiTheme="minorEastAsia" w:eastAsiaTheme="minorEastAsia" w:cstheme="minorEastAsia"/>
          <w:color w:val="auto"/>
          <w:szCs w:val="21"/>
          <w:lang w:val="en-US" w:eastAsia="zh-CN"/>
        </w:rPr>
        <w:t>14:30</w:t>
      </w:r>
      <w:r>
        <w:rPr>
          <w:rFonts w:hint="eastAsia" w:asciiTheme="minorEastAsia" w:hAnsiTheme="minorEastAsia" w:eastAsiaTheme="minorEastAsia" w:cstheme="minorEastAsia"/>
          <w:color w:val="auto"/>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lang w:val="zh-CN"/>
        </w:rPr>
        <w:t>参加要求：</w:t>
      </w:r>
      <w:r>
        <w:rPr>
          <w:rFonts w:hint="eastAsia" w:asciiTheme="minorEastAsia" w:hAnsiTheme="minorEastAsia" w:eastAsiaTheme="minorEastAsia" w:cstheme="minorEastAsia"/>
          <w:color w:val="auto"/>
          <w:szCs w:val="21"/>
          <w:lang w:val="en-US" w:eastAsia="zh-CN"/>
        </w:rPr>
        <w:t>响应</w:t>
      </w:r>
      <w:r>
        <w:rPr>
          <w:rFonts w:hint="eastAsia" w:asciiTheme="minorEastAsia" w:hAnsiTheme="minorEastAsia" w:eastAsiaTheme="minorEastAsia" w:cstheme="minorEastAsia"/>
          <w:color w:val="auto"/>
          <w:szCs w:val="21"/>
        </w:rPr>
        <w:t>文件须密封后由</w:t>
      </w:r>
      <w:r>
        <w:rPr>
          <w:rFonts w:hint="eastAsia" w:asciiTheme="minorEastAsia" w:hAnsiTheme="minorEastAsia" w:eastAsiaTheme="minorEastAsia" w:cstheme="minorEastAsia"/>
          <w:color w:val="auto"/>
          <w:szCs w:val="21"/>
          <w:lang w:val="en-US" w:eastAsia="zh-CN"/>
        </w:rPr>
        <w:t>响应</w:t>
      </w:r>
      <w:r>
        <w:rPr>
          <w:rFonts w:hint="eastAsia" w:asciiTheme="minorEastAsia" w:hAnsiTheme="minorEastAsia" w:eastAsiaTheme="minorEastAsia" w:cstheme="minorEastAsia"/>
          <w:color w:val="auto"/>
          <w:szCs w:val="21"/>
        </w:rPr>
        <w:t>文件合法签署人（指法定代表人或授权委托人）于截止时间前递至上述</w:t>
      </w:r>
      <w:r>
        <w:rPr>
          <w:rFonts w:hint="eastAsia" w:asciiTheme="minorEastAsia" w:hAnsiTheme="minorEastAsia" w:eastAsiaTheme="minorEastAsia" w:cstheme="minorEastAsia"/>
          <w:color w:val="auto"/>
          <w:szCs w:val="21"/>
          <w:lang w:val="zh-CN"/>
        </w:rPr>
        <w:t>送达</w:t>
      </w:r>
      <w:r>
        <w:rPr>
          <w:rFonts w:hint="eastAsia" w:asciiTheme="minorEastAsia" w:hAnsiTheme="minorEastAsia" w:eastAsiaTheme="minorEastAsia" w:cstheme="minorEastAsia"/>
          <w:color w:val="auto"/>
          <w:szCs w:val="21"/>
        </w:rPr>
        <w:t>地点。需携带法定代表人身份证明书（或法定代表人授权书）和本人身份证原件出席</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会。逾期送达或未密封的响应文件恕不接受。</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16" w:name="_Toc334539187"/>
      <w:bookmarkStart w:id="17" w:name="_Toc6123"/>
      <w:bookmarkStart w:id="18" w:name="_Toc10673370"/>
      <w:bookmarkStart w:id="19" w:name="_Toc21911"/>
      <w:bookmarkStart w:id="20" w:name="_Toc259028277"/>
      <w:r>
        <w:rPr>
          <w:rFonts w:hint="eastAsia" w:asciiTheme="minorEastAsia" w:hAnsiTheme="minorEastAsia" w:eastAsiaTheme="minorEastAsia" w:cstheme="minorEastAsia"/>
          <w:color w:val="auto"/>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color w:val="auto"/>
          <w:szCs w:val="21"/>
        </w:rPr>
      </w:pPr>
      <w:bookmarkStart w:id="21" w:name="_Toc334539188"/>
      <w:bookmarkStart w:id="22" w:name="_Toc320898024"/>
      <w:bookmarkStart w:id="23" w:name="_Toc317262251"/>
      <w:bookmarkStart w:id="24" w:name="_Toc276368888"/>
      <w:bookmarkStart w:id="25" w:name="_Toc6021"/>
      <w:bookmarkStart w:id="26" w:name="_Toc259607751"/>
      <w:r>
        <w:rPr>
          <w:rFonts w:hint="eastAsia" w:asciiTheme="minorEastAsia" w:hAnsiTheme="minorEastAsia" w:eastAsiaTheme="minorEastAsia" w:cstheme="minorEastAsia"/>
          <w:color w:val="auto"/>
          <w:szCs w:val="21"/>
        </w:rPr>
        <w:t>采 购 人：</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华中农业大学</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 湖北省武汉市洪山区狮子山街1号</w:t>
      </w:r>
      <w:bookmarkStart w:id="243" w:name="_GoBack"/>
      <w:bookmarkEnd w:id="243"/>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采购部门联系人：许老师</w:t>
      </w:r>
    </w:p>
    <w:p>
      <w:p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联系电话：027-87282631</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27" w:name="_Toc10673371"/>
      <w:bookmarkStart w:id="28" w:name="_Toc577"/>
      <w:r>
        <w:rPr>
          <w:rFonts w:hint="eastAsia" w:asciiTheme="minorEastAsia" w:hAnsiTheme="minorEastAsia" w:eastAsiaTheme="minorEastAsia" w:cstheme="minorEastAsia"/>
          <w:color w:val="auto"/>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color w:val="auto"/>
          <w:szCs w:val="21"/>
        </w:rPr>
      </w:pPr>
      <w:bookmarkStart w:id="29" w:name="_Toc317262253"/>
      <w:bookmarkStart w:id="30" w:name="_Toc318643462"/>
      <w:bookmarkStart w:id="31" w:name="_Toc334539189"/>
      <w:bookmarkStart w:id="32" w:name="_Toc259028279"/>
      <w:r>
        <w:rPr>
          <w:rFonts w:hint="eastAsia" w:asciiTheme="minorEastAsia" w:hAnsiTheme="minorEastAsia" w:eastAsiaTheme="minorEastAsia" w:cstheme="minorEastAsia"/>
          <w:color w:val="auto"/>
          <w:szCs w:val="21"/>
        </w:rPr>
        <w:t xml:space="preserve">代理机构：中经国际招标集团有限公司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址：武昌区中北路岳家嘴</w:t>
      </w:r>
      <w:r>
        <w:rPr>
          <w:rFonts w:hint="eastAsia" w:asciiTheme="minorEastAsia" w:hAnsiTheme="minorEastAsia" w:eastAsiaTheme="minorEastAsia" w:cstheme="minorEastAsia"/>
          <w:color w:val="auto"/>
          <w:szCs w:val="21"/>
          <w:lang w:val="en-US" w:eastAsia="zh-CN"/>
        </w:rPr>
        <w:t>立交</w:t>
      </w:r>
      <w:r>
        <w:rPr>
          <w:rFonts w:hint="eastAsia" w:asciiTheme="minorEastAsia" w:hAnsiTheme="minorEastAsia" w:eastAsiaTheme="minorEastAsia" w:cstheme="minorEastAsia"/>
          <w:color w:val="auto"/>
          <w:szCs w:val="21"/>
        </w:rPr>
        <w:t>山河企业大厦4805</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4806</w:t>
      </w:r>
      <w:r>
        <w:rPr>
          <w:rFonts w:hint="eastAsia" w:asciiTheme="minorEastAsia" w:hAnsiTheme="minorEastAsia" w:eastAsiaTheme="minorEastAsia" w:cstheme="minorEastAsia"/>
          <w:color w:val="auto"/>
          <w:szCs w:val="21"/>
        </w:rPr>
        <w:t>室</w:t>
      </w:r>
    </w:p>
    <w:bookmarkEnd w:id="29"/>
    <w:bookmarkEnd w:id="30"/>
    <w:bookmarkEnd w:id="31"/>
    <w:p>
      <w:p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 系 人：张梦</w:t>
      </w:r>
      <w:r>
        <w:rPr>
          <w:rFonts w:hint="eastAsia" w:asciiTheme="minorEastAsia" w:hAnsiTheme="minorEastAsia" w:eastAsiaTheme="minorEastAsia" w:cstheme="minorEastAsia"/>
          <w:color w:val="auto"/>
          <w:szCs w:val="21"/>
          <w:lang w:eastAsia="zh-CN"/>
        </w:rPr>
        <w:t>、叶汪笛、彭盼明</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手    机：027-87820788</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邮    箱：2102252595@qq.com</w:t>
      </w:r>
    </w:p>
    <w:bookmarkEnd w:id="32"/>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33" w:name="_Toc14150"/>
      <w:bookmarkStart w:id="34" w:name="_Toc334539190"/>
      <w:bookmarkStart w:id="35" w:name="_Toc10673372"/>
      <w:bookmarkStart w:id="36" w:name="_Toc12832"/>
      <w:r>
        <w:rPr>
          <w:rFonts w:hint="eastAsia" w:asciiTheme="minorEastAsia" w:hAnsiTheme="minorEastAsia" w:eastAsiaTheme="minorEastAsia" w:cstheme="minorEastAsia"/>
          <w:color w:val="auto"/>
          <w:sz w:val="21"/>
          <w:szCs w:val="21"/>
        </w:rPr>
        <w:t>信息发布媒体</w:t>
      </w:r>
      <w:bookmarkEnd w:id="33"/>
      <w:bookmarkEnd w:id="34"/>
      <w:bookmarkEnd w:id="35"/>
      <w:r>
        <w:rPr>
          <w:rFonts w:hint="eastAsia" w:asciiTheme="minorEastAsia" w:hAnsiTheme="minorEastAsia" w:eastAsiaTheme="minorEastAsia" w:cstheme="minorEastAsia"/>
          <w:color w:val="auto"/>
          <w:sz w:val="21"/>
          <w:szCs w:val="21"/>
          <w:lang w:val="en-US" w:eastAsia="zh-CN"/>
        </w:rPr>
        <w:t>及时间</w:t>
      </w:r>
      <w:bookmarkEnd w:id="36"/>
    </w:p>
    <w:p>
      <w:pPr>
        <w:spacing w:line="360" w:lineRule="auto"/>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一</w:t>
      </w:r>
      <w:r>
        <w:rPr>
          <w:rFonts w:hint="eastAsia" w:asciiTheme="minorEastAsia" w:hAnsiTheme="minorEastAsia" w:eastAsiaTheme="minorEastAsia" w:cstheme="minorEastAsia"/>
          <w:color w:val="auto"/>
          <w:szCs w:val="21"/>
        </w:rPr>
        <w:t>）《中经国际招标集团有限公司官网</w:t>
      </w:r>
      <w:r>
        <w:rPr>
          <w:rFonts w:hint="eastAsia" w:asciiTheme="minorEastAsia" w:hAnsiTheme="minorEastAsia" w:eastAsiaTheme="minorEastAsia" w:cstheme="minorEastAsia"/>
          <w:color w:val="auto"/>
          <w:szCs w:val="21"/>
          <w:lang w:val="en-US" w:eastAsia="zh-CN"/>
        </w:rPr>
        <w:t>》（网址：</w:t>
      </w:r>
      <w:r>
        <w:rPr>
          <w:rFonts w:hint="eastAsia" w:asciiTheme="minorEastAsia" w:hAnsiTheme="minorEastAsia" w:eastAsiaTheme="minorEastAsia" w:cstheme="minorEastAsia"/>
          <w:color w:val="auto"/>
          <w:szCs w:val="21"/>
          <w:lang w:val="en-US" w:eastAsia="zh-CN"/>
        </w:rPr>
        <w:fldChar w:fldCharType="begin"/>
      </w:r>
      <w:r>
        <w:rPr>
          <w:rFonts w:hint="eastAsia" w:asciiTheme="minorEastAsia" w:hAnsiTheme="minorEastAsia" w:eastAsiaTheme="minorEastAsia" w:cstheme="minorEastAsia"/>
          <w:color w:val="auto"/>
          <w:szCs w:val="21"/>
          <w:lang w:val="en-US" w:eastAsia="zh-CN"/>
        </w:rPr>
        <w:instrText xml:space="preserve"> HYPERLINK "http://www.ccgp-hubei.gov.cn/）" </w:instrText>
      </w:r>
      <w:r>
        <w:rPr>
          <w:rFonts w:hint="eastAsia" w:asciiTheme="minorEastAsia" w:hAnsiTheme="minorEastAsia" w:eastAsiaTheme="minorEastAsia" w:cstheme="minorEastAsia"/>
          <w:color w:val="auto"/>
          <w:szCs w:val="21"/>
          <w:lang w:val="en-US" w:eastAsia="zh-CN"/>
        </w:rPr>
        <w:fldChar w:fldCharType="separate"/>
      </w:r>
      <w:r>
        <w:rPr>
          <w:rFonts w:hint="eastAsia" w:asciiTheme="minorEastAsia" w:hAnsiTheme="minorEastAsia" w:eastAsiaTheme="minorEastAsia" w:cstheme="minorEastAsia"/>
          <w:color w:val="auto"/>
          <w:szCs w:val="21"/>
          <w:lang w:val="en-US" w:eastAsia="zh-CN"/>
        </w:rPr>
        <w:t>http://www.ceitcl.com/）</w:t>
      </w:r>
      <w:r>
        <w:rPr>
          <w:rFonts w:hint="eastAsia" w:asciiTheme="minorEastAsia" w:hAnsiTheme="minorEastAsia" w:eastAsiaTheme="minorEastAsia" w:cstheme="minorEastAsia"/>
          <w:color w:val="auto"/>
          <w:szCs w:val="21"/>
          <w:lang w:val="en-US" w:eastAsia="zh-CN"/>
        </w:rPr>
        <w:fldChar w:fldCharType="end"/>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（二）《中国政府采购网》（网址：http://www.ccgp.gov.cn/）</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采购公告期限：自以上网站发布公告次日起</w:t>
      </w:r>
      <w:r>
        <w:rPr>
          <w:rFonts w:hint="eastAsia" w:asciiTheme="minorEastAsia" w:hAnsiTheme="minorEastAsia" w:eastAsiaTheme="minorEastAsia" w:cstheme="minorEastAsia"/>
          <w:color w:val="auto"/>
          <w:szCs w:val="21"/>
          <w:u w:val="single"/>
          <w:lang w:val="en-US" w:eastAsia="zh-CN"/>
        </w:rPr>
        <w:t>5</w:t>
      </w:r>
      <w:r>
        <w:rPr>
          <w:rFonts w:hint="eastAsia" w:asciiTheme="minorEastAsia" w:hAnsiTheme="minorEastAsia" w:eastAsiaTheme="minorEastAsia" w:cstheme="minorEastAsia"/>
          <w:color w:val="auto"/>
          <w:szCs w:val="21"/>
          <w:lang w:val="en-US" w:eastAsia="zh-CN"/>
        </w:rPr>
        <w:t>个工作日，本项目将在以上网站发布所有信</w:t>
      </w:r>
      <w:r>
        <w:rPr>
          <w:rFonts w:hint="eastAsia" w:asciiTheme="minorEastAsia" w:hAnsiTheme="minorEastAsia" w:eastAsiaTheme="minorEastAsia" w:cstheme="minorEastAsia"/>
          <w:color w:val="auto"/>
          <w:szCs w:val="21"/>
        </w:rPr>
        <w:t>息，请参加本项目</w:t>
      </w:r>
      <w:r>
        <w:rPr>
          <w:rFonts w:hint="eastAsia" w:asciiTheme="minorEastAsia" w:hAnsiTheme="minorEastAsia" w:eastAsiaTheme="minorEastAsia" w:cstheme="minorEastAsia"/>
          <w:color w:val="auto"/>
          <w:szCs w:val="21"/>
          <w:lang w:val="en-US" w:eastAsia="zh-CN"/>
        </w:rPr>
        <w:t>竞</w:t>
      </w:r>
      <w:r>
        <w:rPr>
          <w:rFonts w:hint="eastAsia" w:asciiTheme="minorEastAsia" w:hAnsiTheme="minorEastAsia" w:eastAsiaTheme="minorEastAsia" w:cstheme="minorEastAsia"/>
          <w:color w:val="auto"/>
          <w:szCs w:val="21"/>
        </w:rPr>
        <w:t>标的供应商密切关注。</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37" w:name="_Toc24714"/>
      <w:r>
        <w:rPr>
          <w:rFonts w:hint="eastAsia" w:asciiTheme="minorEastAsia" w:hAnsiTheme="minorEastAsia" w:eastAsiaTheme="minorEastAsia" w:cstheme="minorEastAsia"/>
          <w:color w:val="auto"/>
          <w:sz w:val="21"/>
          <w:szCs w:val="21"/>
        </w:rPr>
        <w:t>注意事项</w:t>
      </w:r>
      <w:bookmarkEnd w:id="37"/>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left"/>
        <w:rPr>
          <w:rFonts w:hint="eastAsia" w:asciiTheme="minorEastAsia" w:hAnsiTheme="minorEastAsia" w:eastAsiaTheme="minorEastAsia" w:cstheme="minorEastAsia"/>
          <w:color w:val="auto"/>
          <w:szCs w:val="21"/>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日</w:t>
      </w:r>
    </w:p>
    <w:p>
      <w:pPr>
        <w:pStyle w:val="3"/>
        <w:numPr>
          <w:ilvl w:val="0"/>
          <w:numId w:val="4"/>
        </w:numPr>
        <w:jc w:val="center"/>
        <w:rPr>
          <w:rFonts w:hint="eastAsia" w:asciiTheme="minorEastAsia" w:hAnsiTheme="minorEastAsia" w:eastAsiaTheme="minorEastAsia" w:cstheme="minorEastAsia"/>
          <w:color w:val="auto"/>
          <w:sz w:val="32"/>
          <w:szCs w:val="32"/>
        </w:rPr>
      </w:pPr>
      <w:bookmarkStart w:id="38" w:name="_Toc15142"/>
      <w:r>
        <w:rPr>
          <w:rFonts w:hint="eastAsia" w:asciiTheme="minorEastAsia" w:hAnsiTheme="minorEastAsia" w:eastAsiaTheme="minorEastAsia" w:cstheme="minorEastAsia"/>
          <w:color w:val="auto"/>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39" w:name="_Toc23028"/>
      <w:r>
        <w:rPr>
          <w:rFonts w:hint="eastAsia" w:asciiTheme="minorEastAsia" w:hAnsiTheme="minorEastAsia" w:eastAsiaTheme="minorEastAsia" w:cstheme="minorEastAsia"/>
          <w:b/>
          <w:color w:val="auto"/>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7"/>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7"/>
        <w:gridCol w:w="2241"/>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tblHeader/>
          <w:jc w:val="center"/>
        </w:trPr>
        <w:tc>
          <w:tcPr>
            <w:tcW w:w="85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241"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461"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241"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461"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241"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461"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241"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461" w:type="dxa"/>
          </w:tcPr>
          <w:p>
            <w:pPr>
              <w:pStyle w:val="25"/>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241"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461"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4"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招标代理服务费</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color w:val="auto"/>
                <w:sz w:val="21"/>
                <w:szCs w:val="21"/>
                <w:lang w:val="en-US" w:eastAsia="zh-CN"/>
              </w:rPr>
              <w:t>货物</w:t>
            </w:r>
            <w:r>
              <w:rPr>
                <w:rFonts w:hint="eastAsia" w:asciiTheme="minorEastAsia" w:hAnsiTheme="minorEastAsia" w:eastAsiaTheme="minorEastAsia" w:cstheme="minorEastAsia"/>
                <w:color w:val="auto"/>
                <w:sz w:val="21"/>
                <w:szCs w:val="21"/>
                <w:lang w:val="zh-CN"/>
              </w:rPr>
              <w:t>类取费标准</w:t>
            </w:r>
            <w:r>
              <w:rPr>
                <w:rFonts w:hint="eastAsia" w:asciiTheme="minorEastAsia" w:hAnsiTheme="minorEastAsia" w:eastAsiaTheme="minorEastAsia" w:cstheme="minorEastAsia"/>
                <w:color w:val="auto"/>
                <w:sz w:val="21"/>
                <w:szCs w:val="21"/>
                <w:lang w:val="en-US" w:eastAsia="zh-CN"/>
              </w:rPr>
              <w:t>70%</w:t>
            </w:r>
            <w:r>
              <w:rPr>
                <w:rFonts w:hint="eastAsia" w:asciiTheme="minorEastAsia" w:hAnsiTheme="minorEastAsia" w:eastAsiaTheme="minorEastAsia" w:cstheme="minorEastAsia"/>
                <w:color w:val="auto"/>
                <w:sz w:val="21"/>
                <w:szCs w:val="21"/>
                <w:lang w:val="zh-CN"/>
              </w:rPr>
              <w:t>向采购代理机构支付招标代理服务费</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招标</w:t>
            </w:r>
            <w:r>
              <w:rPr>
                <w:rFonts w:hint="eastAsia" w:asciiTheme="minorEastAsia" w:hAnsiTheme="minorEastAsia" w:eastAsiaTheme="minorEastAsia" w:cstheme="minorEastAsia"/>
                <w:color w:val="auto"/>
                <w:sz w:val="21"/>
                <w:szCs w:val="21"/>
              </w:rPr>
              <w:t>代理服务费由成交供应商在领取</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通知书的同时，向</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7"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461"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5"/>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6</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16</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1"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241"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文件澄清或修改的时间</w:t>
            </w:r>
          </w:p>
        </w:tc>
        <w:tc>
          <w:tcPr>
            <w:tcW w:w="6461"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8" w:hRule="atLeast"/>
          <w:jc w:val="center"/>
        </w:trPr>
        <w:tc>
          <w:tcPr>
            <w:tcW w:w="85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241"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461" w:type="dxa"/>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241"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01" w:hRule="atLeast"/>
          <w:jc w:val="center"/>
        </w:trPr>
        <w:tc>
          <w:tcPr>
            <w:tcW w:w="85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241"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应提交的资格证明文件（实质性要求）</w:t>
            </w:r>
          </w:p>
        </w:tc>
        <w:tc>
          <w:tcPr>
            <w:tcW w:w="6461"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详见第一章《竞争性磋商采购公告》第二款“资格要求”，须提供的证明文件包括但不限于： </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1、具有独立承担民事责任的能力；</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2、具有良好的商业信誉和健全的财务会计制度；</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良好的商业信誉证明材料（自拟），财务状况报告（供应商是法人的，应提供近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 </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竞标截止时间前一段时间（至少提供一个月）缴纳税收的凭据（完税证明、缴款书、银行代扣（代缴）转账凭证等均可）；（2）供应商依法缴纳社会保障资金的证明材料：竞标截止时间前一段时间（至少提供一个月）缴纳社会保险的凭据（专用发票或社会保险缴纳清单或转账凭证等均可）；（3）供应商为其他组织或自然人的，也需要按此项规定提供缴纳税收的凭据和缴纳社会保险的凭据；（4）递交响应文件截止时间的当月成立但因税务机关原因导致其尚未依法缴纳税收的供应商，提供依法缴纳税收承诺书原件（格式自拟），该承诺书视同税收缴纳凭据。（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 </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5、参加政府采购活动前三年内（不足3年按公司成立时间起算），在经营活动中没有重大违法记录（提供书面声明，格式见磋商文件第六章）；</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符合本文件第一章第二</w:t>
            </w:r>
            <w:r>
              <w:rPr>
                <w:rFonts w:hint="eastAsia" w:asciiTheme="minorEastAsia" w:hAnsiTheme="minorEastAsia" w:eastAsiaTheme="minorEastAsia" w:cstheme="minorEastAsia"/>
                <w:b/>
                <w:bCs/>
                <w:color w:val="auto"/>
                <w:sz w:val="21"/>
                <w:szCs w:val="21"/>
                <w:lang w:val="en-US" w:eastAsia="zh-CN"/>
              </w:rPr>
              <w:t>款</w:t>
            </w:r>
            <w:r>
              <w:rPr>
                <w:rFonts w:hint="eastAsia" w:asciiTheme="minorEastAsia" w:hAnsiTheme="minorEastAsia" w:eastAsiaTheme="minorEastAsia" w:cstheme="minorEastAsia"/>
                <w:b/>
                <w:bCs/>
                <w:color w:val="auto"/>
                <w:sz w:val="21"/>
                <w:szCs w:val="21"/>
              </w:rPr>
              <w:t>资格要求的</w:t>
            </w:r>
            <w:r>
              <w:rPr>
                <w:rFonts w:hint="eastAsia" w:asciiTheme="minorEastAsia" w:hAnsiTheme="minorEastAsia" w:eastAsiaTheme="minorEastAsia" w:cstheme="minorEastAsia"/>
                <w:b/>
                <w:bCs/>
                <w:color w:val="auto"/>
                <w:sz w:val="21"/>
                <w:szCs w:val="21"/>
                <w:lang w:val="en-US" w:eastAsia="zh-CN"/>
              </w:rPr>
              <w:t>所有</w:t>
            </w:r>
            <w:r>
              <w:rPr>
                <w:rFonts w:hint="eastAsia" w:asciiTheme="minorEastAsia" w:hAnsiTheme="minorEastAsia" w:eastAsiaTheme="minorEastAsia" w:cstheme="minorEastAsia"/>
                <w:b/>
                <w:bCs/>
                <w:color w:val="auto"/>
                <w:sz w:val="21"/>
                <w:szCs w:val="21"/>
              </w:rPr>
              <w:t xml:space="preserve">证明资料。 </w:t>
            </w:r>
          </w:p>
          <w:p>
            <w:pPr>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en-US" w:eastAsia="zh-CN"/>
              </w:rPr>
              <w:t>注：</w:t>
            </w:r>
            <w:r>
              <w:rPr>
                <w:rFonts w:hint="eastAsia" w:asciiTheme="minorEastAsia" w:hAnsiTheme="minorEastAsia" w:eastAsiaTheme="minorEastAsia" w:cstheme="minorEastAsia"/>
                <w:b/>
                <w:bCs/>
                <w:color w:val="auto"/>
                <w:sz w:val="21"/>
                <w:szCs w:val="21"/>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color w:val="auto"/>
                <w:sz w:val="21"/>
                <w:szCs w:val="21"/>
                <w:lang w:val="en-US" w:eastAsia="zh-CN"/>
              </w:rPr>
              <w:t>竞标</w:t>
            </w:r>
            <w:r>
              <w:rPr>
                <w:rFonts w:hint="eastAsia" w:asciiTheme="minorEastAsia" w:hAnsiTheme="minorEastAsia" w:eastAsiaTheme="minorEastAsia" w:cstheme="minorEastAsia"/>
                <w:b/>
                <w:bCs/>
                <w:color w:val="auto"/>
                <w:sz w:val="21"/>
                <w:szCs w:val="21"/>
              </w:rPr>
              <w:t>单位本身，参股或控股单位及独立法人子公司的材料不能作为证明材料，但</w:t>
            </w:r>
            <w:r>
              <w:rPr>
                <w:rFonts w:hint="eastAsia" w:asciiTheme="minorEastAsia" w:hAnsiTheme="minorEastAsia" w:eastAsiaTheme="minorEastAsia" w:cstheme="minorEastAsia"/>
                <w:b/>
                <w:bCs/>
                <w:color w:val="auto"/>
                <w:sz w:val="21"/>
                <w:szCs w:val="21"/>
                <w:lang w:val="en-US" w:eastAsia="zh-CN"/>
              </w:rPr>
              <w:t>竞标</w:t>
            </w:r>
            <w:r>
              <w:rPr>
                <w:rFonts w:hint="eastAsia" w:asciiTheme="minorEastAsia" w:hAnsiTheme="minorEastAsia" w:eastAsiaTheme="minorEastAsia" w:cstheme="minorEastAsia"/>
                <w:b/>
                <w:bCs/>
                <w:color w:val="auto"/>
                <w:sz w:val="21"/>
                <w:szCs w:val="21"/>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25" w:hRule="atLeast"/>
          <w:jc w:val="center"/>
        </w:trPr>
        <w:tc>
          <w:tcPr>
            <w:tcW w:w="85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241"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461" w:type="dxa"/>
            <w:vAlign w:val="center"/>
          </w:tcPr>
          <w:p>
            <w:pPr>
              <w:numPr>
                <w:ilvl w:val="0"/>
                <w:numId w:val="9"/>
              </w:num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2"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241"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461" w:type="dxa"/>
            <w:vAlign w:val="center"/>
          </w:tcPr>
          <w:p>
            <w:pPr>
              <w:numPr>
                <w:ilvl w:val="0"/>
                <w:numId w:val="0"/>
              </w:num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91"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461"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eastAsia="zh-CN"/>
              </w:rPr>
              <w:t>叁万</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30000</w:t>
            </w:r>
            <w:r>
              <w:rPr>
                <w:rFonts w:hint="eastAsia" w:asciiTheme="minorEastAsia" w:hAnsiTheme="minorEastAsia" w:eastAsiaTheme="minorEastAsia" w:cstheme="minorEastAsia"/>
                <w:color w:val="auto"/>
                <w:sz w:val="21"/>
                <w:szCs w:val="21"/>
              </w:rPr>
              <w:t xml:space="preserve">.00元) </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49"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461"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w:t>
            </w:r>
            <w:r>
              <w:rPr>
                <w:rFonts w:hint="eastAsia" w:asciiTheme="minorEastAsia" w:hAnsiTheme="minorEastAsia" w:eastAsiaTheme="minorEastAsia" w:cstheme="minorEastAsia"/>
                <w:b/>
                <w:bCs/>
                <w:color w:val="auto"/>
                <w:sz w:val="21"/>
                <w:szCs w:val="21"/>
              </w:rPr>
              <w:t>（需为彩色打印件）</w:t>
            </w:r>
            <w:r>
              <w:rPr>
                <w:rFonts w:hint="eastAsia" w:asciiTheme="minorEastAsia" w:hAnsiTheme="minorEastAsia" w:eastAsiaTheme="minorEastAsia" w:cstheme="minorEastAsia"/>
                <w:color w:val="auto"/>
                <w:sz w:val="21"/>
                <w:szCs w:val="21"/>
              </w:rPr>
              <w:t>，副本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1" w:hRule="atLeast"/>
          <w:jc w:val="center"/>
        </w:trPr>
        <w:tc>
          <w:tcPr>
            <w:tcW w:w="85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color w:val="auto"/>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4"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241"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461"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0"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461"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2"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461"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2"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461"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461"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0"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461"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2" w:hRule="atLeast"/>
          <w:jc w:val="center"/>
        </w:trPr>
        <w:tc>
          <w:tcPr>
            <w:tcW w:w="9559"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91"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461"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33"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461"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r>
              <w:rPr>
                <w:rFonts w:hint="eastAsia" w:asciiTheme="minorEastAsia" w:hAnsiTheme="minorEastAsia" w:eastAsiaTheme="minorEastAsia" w:cstheme="minorEastAsia"/>
                <w:color w:val="auto"/>
                <w:sz w:val="21"/>
                <w:szCs w:val="21"/>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 xml:space="preserve">和相关的周边环境情况，供应商在编制响应文件时参考，采购人和采购代理机构不对供应商据此作出的判断和决策负责。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1"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付款方式</w:t>
            </w:r>
          </w:p>
        </w:tc>
        <w:tc>
          <w:tcPr>
            <w:tcW w:w="6461"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经甲方验收合格并收到乙方发票后10天内，甲方向乙方支付合同总金额的100%；履约保证金自动转为质保金，货物验收合格后安全运行一年（自验收合格之日起计算），如无质量及售后服务等其他违约事项，甲方向乙方无息退还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2" w:hRule="atLeast"/>
          <w:jc w:val="center"/>
        </w:trPr>
        <w:tc>
          <w:tcPr>
            <w:tcW w:w="85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w:t>
            </w:r>
          </w:p>
        </w:tc>
        <w:tc>
          <w:tcPr>
            <w:tcW w:w="2241"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履约保证金</w:t>
            </w:r>
          </w:p>
        </w:tc>
        <w:tc>
          <w:tcPr>
            <w:tcW w:w="6461"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合同总金额的5%；签订合同前5个工作日递交，以支票、汇票、本票等非现金形式提交。</w:t>
            </w:r>
          </w:p>
        </w:tc>
      </w:tr>
    </w:tbl>
    <w:p>
      <w:pPr>
        <w:rPr>
          <w:rFonts w:hint="eastAsia" w:asciiTheme="minorEastAsia" w:hAnsiTheme="minorEastAsia" w:eastAsiaTheme="minorEastAsia" w:cstheme="minorEastAsia"/>
          <w:b/>
          <w:color w:val="auto"/>
          <w:szCs w:val="21"/>
        </w:rPr>
      </w:pPr>
      <w:bookmarkStart w:id="40" w:name="_Toc4374"/>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w:t>
      </w:r>
      <w:bookmarkEnd w:id="40"/>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1" w:name="_Toc4795"/>
      <w:r>
        <w:rPr>
          <w:rFonts w:hint="eastAsia" w:asciiTheme="minorEastAsia" w:hAnsiTheme="minorEastAsia" w:eastAsiaTheme="minorEastAsia" w:cstheme="minorEastAsia"/>
          <w:b/>
          <w:color w:val="auto"/>
          <w:szCs w:val="21"/>
        </w:rPr>
        <w:t>总则</w:t>
      </w:r>
      <w:bookmarkEnd w:id="41"/>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42" w:name="_Toc13216"/>
      <w:bookmarkStart w:id="43" w:name="_Toc27243"/>
      <w:r>
        <w:rPr>
          <w:rFonts w:hint="eastAsia" w:asciiTheme="minorEastAsia" w:hAnsiTheme="minorEastAsia" w:eastAsiaTheme="minorEastAsia" w:cstheme="minorEastAsia"/>
          <w:b/>
          <w:color w:val="auto"/>
          <w:szCs w:val="21"/>
        </w:rPr>
        <w:t>适用法律及范围</w:t>
      </w:r>
      <w:bookmarkEnd w:id="42"/>
      <w:bookmarkEnd w:id="43"/>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44" w:name="_Toc30547"/>
      <w:bookmarkStart w:id="45" w:name="_Toc20138"/>
      <w:r>
        <w:rPr>
          <w:rFonts w:hint="eastAsia" w:asciiTheme="minorEastAsia" w:hAnsiTheme="minorEastAsia" w:eastAsiaTheme="minorEastAsia" w:cstheme="minorEastAsia"/>
          <w:b/>
          <w:color w:val="auto"/>
          <w:szCs w:val="21"/>
        </w:rPr>
        <w:t>定义</w:t>
      </w:r>
      <w:bookmarkEnd w:id="44"/>
      <w:bookmarkEnd w:id="45"/>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46" w:name="_Toc30503"/>
      <w:bookmarkStart w:id="47" w:name="_Toc30413"/>
      <w:r>
        <w:rPr>
          <w:rFonts w:hint="eastAsia" w:asciiTheme="minorEastAsia" w:hAnsiTheme="minorEastAsia" w:eastAsiaTheme="minorEastAsia" w:cstheme="minorEastAsia"/>
          <w:b/>
          <w:snapToGrid w:val="0"/>
          <w:color w:val="auto"/>
          <w:kern w:val="0"/>
          <w:szCs w:val="21"/>
          <w:lang w:val="zh-CN"/>
        </w:rPr>
        <w:t>工程、货物及服务</w:t>
      </w:r>
      <w:bookmarkEnd w:id="46"/>
      <w:bookmarkEnd w:id="47"/>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48" w:name="_Toc31566"/>
      <w:bookmarkStart w:id="49" w:name="_Toc9974"/>
      <w:r>
        <w:rPr>
          <w:rFonts w:hint="eastAsia" w:asciiTheme="minorEastAsia" w:hAnsiTheme="minorEastAsia" w:eastAsiaTheme="minorEastAsia" w:cstheme="minorEastAsia"/>
          <w:b/>
          <w:color w:val="auto"/>
          <w:szCs w:val="21"/>
        </w:rPr>
        <w:t>费用</w:t>
      </w:r>
      <w:bookmarkEnd w:id="48"/>
      <w:bookmarkEnd w:id="49"/>
      <w:r>
        <w:rPr>
          <w:rFonts w:hint="eastAsia" w:asciiTheme="minorEastAsia" w:hAnsiTheme="minorEastAsia" w:eastAsiaTheme="minorEastAsia" w:cstheme="minorEastAsia"/>
          <w:b/>
          <w:color w:val="auto"/>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50" w:name="_Toc31999"/>
      <w:r>
        <w:rPr>
          <w:rFonts w:hint="eastAsia" w:asciiTheme="minorEastAsia" w:hAnsiTheme="minorEastAsia" w:eastAsiaTheme="minorEastAsia" w:cstheme="minorEastAsia"/>
          <w:b/>
          <w:color w:val="auto"/>
          <w:szCs w:val="21"/>
        </w:rPr>
        <w:t>竞争性磋商采购文件</w:t>
      </w:r>
      <w:bookmarkEnd w:id="50"/>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51" w:name="_Toc30845"/>
      <w:bookmarkStart w:id="52" w:name="_Toc4547"/>
      <w:r>
        <w:rPr>
          <w:rFonts w:hint="eastAsia" w:asciiTheme="minorEastAsia" w:hAnsiTheme="minorEastAsia" w:eastAsiaTheme="minorEastAsia" w:cstheme="minorEastAsia"/>
          <w:b/>
          <w:color w:val="auto"/>
          <w:szCs w:val="21"/>
        </w:rPr>
        <w:t>竞争性磋商采购文件的构成</w:t>
      </w:r>
      <w:bookmarkEnd w:id="51"/>
      <w:bookmarkEnd w:id="52"/>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磋商公告（代磋商邀请函）</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29700"/>
      <w:bookmarkStart w:id="54" w:name="_Toc14791"/>
      <w:r>
        <w:rPr>
          <w:rFonts w:hint="eastAsia" w:asciiTheme="minorEastAsia" w:hAnsiTheme="minorEastAsia" w:eastAsiaTheme="minorEastAsia" w:cstheme="minorEastAsia"/>
          <w:b/>
          <w:snapToGrid w:val="0"/>
          <w:color w:val="auto"/>
          <w:kern w:val="0"/>
          <w:szCs w:val="21"/>
          <w:lang w:val="zh-CN"/>
        </w:rPr>
        <w:t>竞争性磋商采购文件的澄清</w:t>
      </w:r>
      <w:bookmarkEnd w:id="53"/>
      <w:bookmarkEnd w:id="54"/>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31307"/>
      <w:bookmarkStart w:id="56" w:name="_Toc31761"/>
      <w:r>
        <w:rPr>
          <w:rFonts w:hint="eastAsia" w:asciiTheme="minorEastAsia" w:hAnsiTheme="minorEastAsia" w:eastAsiaTheme="minorEastAsia" w:cstheme="minorEastAsia"/>
          <w:b/>
          <w:snapToGrid w:val="0"/>
          <w:color w:val="auto"/>
          <w:kern w:val="0"/>
          <w:szCs w:val="21"/>
          <w:lang w:val="zh-CN"/>
        </w:rPr>
        <w:t>竞争性磋商采购文件的修改</w:t>
      </w:r>
      <w:bookmarkEnd w:id="55"/>
      <w:bookmarkEnd w:id="56"/>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57" w:name="_Toc3204"/>
      <w:r>
        <w:rPr>
          <w:rFonts w:hint="eastAsia" w:asciiTheme="minorEastAsia" w:hAnsiTheme="minorEastAsia" w:eastAsiaTheme="minorEastAsia" w:cstheme="minorEastAsia"/>
          <w:b/>
          <w:color w:val="auto"/>
          <w:szCs w:val="21"/>
        </w:rPr>
        <w:t>竞争性磋商响应文件</w:t>
      </w:r>
      <w:bookmarkEnd w:id="57"/>
    </w:p>
    <w:p>
      <w:pPr>
        <w:numPr>
          <w:ilvl w:val="0"/>
          <w:numId w:val="11"/>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58" w:name="_Toc30987"/>
      <w:bookmarkStart w:id="59" w:name="_Toc30649"/>
      <w:r>
        <w:rPr>
          <w:rFonts w:hint="eastAsia" w:asciiTheme="minorEastAsia" w:hAnsiTheme="minorEastAsia" w:eastAsiaTheme="minorEastAsia" w:cstheme="minorEastAsia"/>
          <w:b/>
          <w:snapToGrid w:val="0"/>
          <w:color w:val="auto"/>
          <w:kern w:val="0"/>
          <w:szCs w:val="21"/>
          <w:lang w:val="zh-CN"/>
        </w:rPr>
        <w:t>语言和计量单位</w:t>
      </w:r>
      <w:bookmarkEnd w:id="58"/>
      <w:bookmarkEnd w:id="59"/>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32272"/>
      <w:bookmarkStart w:id="61" w:name="_Toc14572"/>
      <w:r>
        <w:rPr>
          <w:rFonts w:hint="eastAsia" w:asciiTheme="minorEastAsia" w:hAnsiTheme="minorEastAsia" w:eastAsiaTheme="minorEastAsia" w:cstheme="minorEastAsia"/>
          <w:b/>
          <w:snapToGrid w:val="0"/>
          <w:color w:val="auto"/>
          <w:kern w:val="0"/>
          <w:szCs w:val="21"/>
          <w:lang w:val="zh-CN"/>
        </w:rPr>
        <w:t>竞争性磋商响应文件的构成</w:t>
      </w:r>
      <w:bookmarkEnd w:id="60"/>
      <w:bookmarkEnd w:id="61"/>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5217"/>
      <w:bookmarkStart w:id="63" w:name="_Toc29580"/>
      <w:r>
        <w:rPr>
          <w:rFonts w:hint="eastAsia" w:asciiTheme="minorEastAsia" w:hAnsiTheme="minorEastAsia" w:eastAsiaTheme="minorEastAsia" w:cstheme="minorEastAsia"/>
          <w:b/>
          <w:snapToGrid w:val="0"/>
          <w:color w:val="auto"/>
          <w:kern w:val="0"/>
          <w:szCs w:val="21"/>
          <w:lang w:val="zh-CN"/>
        </w:rPr>
        <w:t>竞争性磋商响应文件的编制</w:t>
      </w:r>
      <w:bookmarkEnd w:id="62"/>
      <w:bookmarkEnd w:id="63"/>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4" w:name="_Toc29934"/>
      <w:bookmarkStart w:id="65" w:name="_Toc24544"/>
      <w:r>
        <w:rPr>
          <w:rFonts w:hint="eastAsia" w:asciiTheme="minorEastAsia" w:hAnsiTheme="minorEastAsia" w:eastAsiaTheme="minorEastAsia" w:cstheme="minorEastAsia"/>
          <w:b/>
          <w:snapToGrid w:val="0"/>
          <w:color w:val="auto"/>
          <w:kern w:val="0"/>
          <w:szCs w:val="21"/>
          <w:lang w:val="zh-CN"/>
        </w:rPr>
        <w:t>磋商报价</w:t>
      </w:r>
      <w:bookmarkEnd w:id="64"/>
      <w:bookmarkEnd w:id="65"/>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6" w:name="_Toc6453"/>
      <w:bookmarkStart w:id="67" w:name="_Toc6176"/>
      <w:r>
        <w:rPr>
          <w:rFonts w:hint="eastAsia" w:asciiTheme="minorEastAsia" w:hAnsiTheme="minorEastAsia" w:eastAsiaTheme="minorEastAsia" w:cstheme="minorEastAsia"/>
          <w:b/>
          <w:snapToGrid w:val="0"/>
          <w:color w:val="auto"/>
          <w:kern w:val="0"/>
          <w:szCs w:val="21"/>
          <w:lang w:val="zh-CN"/>
        </w:rPr>
        <w:t>备选方案</w:t>
      </w:r>
      <w:bookmarkEnd w:id="66"/>
      <w:bookmarkEnd w:id="67"/>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16011"/>
      <w:bookmarkStart w:id="69" w:name="_Toc3324"/>
      <w:r>
        <w:rPr>
          <w:rFonts w:hint="eastAsia" w:asciiTheme="minorEastAsia" w:hAnsiTheme="minorEastAsia" w:eastAsiaTheme="minorEastAsia" w:cstheme="minorEastAsia"/>
          <w:b/>
          <w:snapToGrid w:val="0"/>
          <w:color w:val="auto"/>
          <w:kern w:val="0"/>
          <w:szCs w:val="21"/>
          <w:lang w:val="zh-CN"/>
        </w:rPr>
        <w:t>联合体</w:t>
      </w:r>
      <w:bookmarkEnd w:id="68"/>
      <w:bookmarkEnd w:id="69"/>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3751"/>
      <w:bookmarkStart w:id="71" w:name="_Toc2434"/>
      <w:r>
        <w:rPr>
          <w:rFonts w:hint="eastAsia" w:asciiTheme="minorEastAsia" w:hAnsiTheme="minorEastAsia" w:eastAsiaTheme="minorEastAsia" w:cstheme="minorEastAsia"/>
          <w:b/>
          <w:snapToGrid w:val="0"/>
          <w:color w:val="auto"/>
          <w:kern w:val="0"/>
          <w:szCs w:val="21"/>
          <w:lang w:val="zh-CN"/>
        </w:rPr>
        <w:t>供应商资格证明文件</w:t>
      </w:r>
      <w:bookmarkEnd w:id="70"/>
      <w:bookmarkEnd w:id="71"/>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411"/>
      <w:bookmarkStart w:id="73" w:name="_Toc9935"/>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72"/>
      <w:bookmarkEnd w:id="73"/>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5348"/>
      <w:bookmarkStart w:id="75" w:name="_Toc2706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6" w:name="_Toc5668"/>
      <w:bookmarkStart w:id="77" w:name="_Toc5276"/>
      <w:r>
        <w:rPr>
          <w:rFonts w:hint="eastAsia" w:asciiTheme="minorEastAsia" w:hAnsiTheme="minorEastAsia" w:eastAsiaTheme="minorEastAsia" w:cstheme="minorEastAsia"/>
          <w:b/>
          <w:snapToGrid w:val="0"/>
          <w:color w:val="auto"/>
          <w:kern w:val="0"/>
          <w:szCs w:val="21"/>
          <w:lang w:val="zh-CN"/>
        </w:rPr>
        <w:t>磋商有效期</w:t>
      </w:r>
      <w:bookmarkEnd w:id="76"/>
      <w:bookmarkEnd w:id="77"/>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8" w:name="_Toc8272"/>
      <w:bookmarkStart w:id="79" w:name="_Toc19824"/>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78"/>
      <w:bookmarkEnd w:id="79"/>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0" w:name="_Toc3313"/>
      <w:r>
        <w:rPr>
          <w:rFonts w:hint="eastAsia" w:asciiTheme="minorEastAsia" w:hAnsiTheme="minorEastAsia" w:eastAsiaTheme="minorEastAsia" w:cstheme="minorEastAsia"/>
          <w:b/>
          <w:color w:val="auto"/>
          <w:szCs w:val="21"/>
        </w:rPr>
        <w:t>竞争性磋商响应文件的递交</w:t>
      </w:r>
      <w:bookmarkEnd w:id="8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1" w:name="_Toc6823"/>
      <w:bookmarkStart w:id="82"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81"/>
      <w:bookmarkEnd w:id="82"/>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）（复印件）及报价优惠声明（如有）单独密封提交，除需按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3" w:name="_Toc17857"/>
      <w:bookmarkStart w:id="84" w:name="_Toc11848"/>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5" w:name="_Toc6348"/>
      <w:bookmarkStart w:id="86"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85"/>
      <w:bookmarkEnd w:id="86"/>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7" w:name="_Toc5628"/>
      <w:bookmarkStart w:id="88"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87"/>
      <w:bookmarkEnd w:id="88"/>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9" w:name="_Toc8549"/>
      <w:r>
        <w:rPr>
          <w:rFonts w:hint="eastAsia" w:asciiTheme="minorEastAsia" w:hAnsiTheme="minorEastAsia" w:eastAsiaTheme="minorEastAsia" w:cstheme="minorEastAsia"/>
          <w:b/>
          <w:color w:val="auto"/>
          <w:szCs w:val="21"/>
        </w:rPr>
        <w:t>磋商程序及步骤</w:t>
      </w:r>
      <w:bookmarkEnd w:id="8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90" w:name="_Toc2731"/>
      <w:bookmarkStart w:id="91" w:name="_Toc22624"/>
      <w:r>
        <w:rPr>
          <w:rFonts w:hint="eastAsia" w:asciiTheme="minorEastAsia" w:hAnsiTheme="minorEastAsia" w:eastAsiaTheme="minorEastAsia" w:cstheme="minorEastAsia"/>
          <w:b/>
          <w:color w:val="auto"/>
        </w:rPr>
        <w:t>竞争性磋商小组</w:t>
      </w:r>
      <w:bookmarkEnd w:id="90"/>
      <w:bookmarkEnd w:id="91"/>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92" w:name="_Toc12040"/>
      <w:bookmarkStart w:id="93" w:name="_Toc21483"/>
      <w:r>
        <w:rPr>
          <w:rFonts w:hint="eastAsia" w:asciiTheme="minorEastAsia" w:hAnsiTheme="minorEastAsia" w:eastAsiaTheme="minorEastAsia" w:cstheme="minorEastAsia"/>
          <w:b/>
          <w:color w:val="auto"/>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color w:val="auto"/>
          <w:szCs w:val="21"/>
          <w:lang w:val="en-US" w:eastAsia="zh-CN"/>
        </w:rPr>
      </w:pPr>
      <w:bookmarkStart w:id="94" w:name="_Toc9967"/>
      <w:bookmarkStart w:id="95" w:name="_Toc32662"/>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96" w:name="_Toc22872"/>
      <w:r>
        <w:rPr>
          <w:rFonts w:hint="eastAsia" w:asciiTheme="minorEastAsia" w:hAnsiTheme="minorEastAsia" w:eastAsiaTheme="minorEastAsia" w:cstheme="minorEastAsia"/>
          <w:b/>
          <w:color w:val="auto"/>
        </w:rPr>
        <w:t>资格审查和符合性审查</w:t>
      </w:r>
      <w:bookmarkEnd w:id="96"/>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97" w:name="_Toc11358"/>
      <w:r>
        <w:rPr>
          <w:rFonts w:hint="eastAsia" w:asciiTheme="minorEastAsia" w:hAnsiTheme="minorEastAsia" w:eastAsiaTheme="minorEastAsia" w:cstheme="minorEastAsia"/>
          <w:b/>
          <w:color w:val="auto"/>
        </w:rPr>
        <w:t>磋商</w:t>
      </w:r>
      <w:bookmarkEnd w:id="97"/>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26.4最后报价</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26.6</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8" w:name="_Toc13528"/>
      <w:r>
        <w:rPr>
          <w:rFonts w:hint="eastAsia" w:asciiTheme="minorEastAsia" w:hAnsiTheme="minorEastAsia" w:eastAsiaTheme="minorEastAsia" w:cstheme="minorEastAsia"/>
          <w:b/>
          <w:color w:val="auto"/>
          <w:lang w:val="zh-CN"/>
        </w:rPr>
        <w:t>保密</w:t>
      </w:r>
      <w:bookmarkEnd w:id="98"/>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5"/>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99" w:name="_Toc28795"/>
      <w:r>
        <w:rPr>
          <w:rFonts w:hint="eastAsia" w:asciiTheme="minorEastAsia" w:hAnsiTheme="minorEastAsia" w:eastAsiaTheme="minorEastAsia" w:cstheme="minorEastAsia"/>
          <w:b/>
          <w:color w:val="auto"/>
          <w:szCs w:val="21"/>
        </w:rPr>
        <w:t>成交与签订合同</w:t>
      </w:r>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0" w:name="_Toc29010"/>
      <w:r>
        <w:rPr>
          <w:rFonts w:hint="eastAsia" w:asciiTheme="minorEastAsia" w:hAnsiTheme="minorEastAsia" w:eastAsiaTheme="minorEastAsia" w:cstheme="minorEastAsia"/>
          <w:b/>
          <w:color w:val="auto"/>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2</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3</w:t>
      </w:r>
      <w:r>
        <w:rPr>
          <w:rFonts w:hint="eastAsia" w:asciiTheme="minorEastAsia" w:hAnsiTheme="minorEastAsia" w:eastAsiaTheme="minorEastAsia" w:cstheme="minorEastAsia"/>
          <w:iCs/>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4</w:t>
      </w:r>
      <w:r>
        <w:rPr>
          <w:rFonts w:hint="eastAsia" w:asciiTheme="minorEastAsia" w:hAnsiTheme="minorEastAsia" w:eastAsiaTheme="minorEastAsia" w:cstheme="minorEastAsia"/>
          <w:iCs/>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5</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1" w:name="_Toc31420"/>
      <w:r>
        <w:rPr>
          <w:rFonts w:hint="eastAsia" w:asciiTheme="minorEastAsia" w:hAnsiTheme="minorEastAsia" w:eastAsiaTheme="minorEastAsia" w:cstheme="minorEastAsia"/>
          <w:b/>
          <w:color w:val="auto"/>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14510"/>
      <w:bookmarkStart w:id="103" w:name="_Toc13988"/>
      <w:bookmarkStart w:id="104" w:name="_Toc1309"/>
      <w:bookmarkStart w:id="105" w:name="_Toc4883"/>
      <w:r>
        <w:rPr>
          <w:rFonts w:hint="eastAsia" w:asciiTheme="minorEastAsia" w:hAnsiTheme="minorEastAsia" w:eastAsiaTheme="minorEastAsia" w:cstheme="minorEastAsia"/>
          <w:b/>
          <w:color w:val="auto"/>
          <w:szCs w:val="21"/>
          <w:lang w:val="zh-CN"/>
        </w:rPr>
        <w:t>质疑和投诉</w:t>
      </w:r>
      <w:bookmarkEnd w:id="102"/>
      <w:bookmarkEnd w:id="103"/>
      <w:bookmarkEnd w:id="104"/>
      <w:bookmarkEnd w:id="10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6" w:name="_Toc21193"/>
      <w:r>
        <w:rPr>
          <w:rFonts w:hint="eastAsia" w:asciiTheme="minorEastAsia" w:hAnsiTheme="minorEastAsia" w:eastAsiaTheme="minorEastAsia" w:cstheme="minorEastAsia"/>
          <w:b/>
          <w:color w:val="auto"/>
          <w:lang w:val="zh-CN"/>
        </w:rPr>
        <w:t>质疑</w:t>
      </w:r>
      <w:bookmarkEnd w:id="106"/>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7" w:name="_Toc16714"/>
      <w:r>
        <w:rPr>
          <w:rFonts w:hint="eastAsia" w:asciiTheme="minorEastAsia" w:hAnsiTheme="minorEastAsia" w:eastAsiaTheme="minorEastAsia" w:cstheme="minorEastAsia"/>
          <w:b/>
          <w:color w:val="auto"/>
          <w:lang w:val="zh-CN"/>
        </w:rPr>
        <w:t>质疑回复</w:t>
      </w:r>
      <w:bookmarkEnd w:id="107"/>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8" w:name="_Toc21867"/>
      <w:r>
        <w:rPr>
          <w:rFonts w:hint="eastAsia" w:asciiTheme="minorEastAsia" w:hAnsiTheme="minorEastAsia" w:eastAsiaTheme="minorEastAsia" w:cstheme="minorEastAsia"/>
          <w:b/>
          <w:color w:val="auto"/>
          <w:lang w:val="zh-CN"/>
        </w:rPr>
        <w:t>投诉</w:t>
      </w:r>
      <w:bookmarkEnd w:id="108"/>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9" w:name="_Toc14767"/>
      <w:bookmarkStart w:id="110" w:name="_Toc1929"/>
      <w:bookmarkStart w:id="111" w:name="_Toc5571"/>
      <w:bookmarkStart w:id="112" w:name="_Toc28705"/>
      <w:r>
        <w:rPr>
          <w:rFonts w:hint="eastAsia" w:asciiTheme="minorEastAsia" w:hAnsiTheme="minorEastAsia" w:eastAsiaTheme="minorEastAsia" w:cstheme="minorEastAsia"/>
          <w:b/>
          <w:color w:val="auto"/>
          <w:szCs w:val="21"/>
          <w:lang w:val="zh-CN"/>
        </w:rPr>
        <w:t>政策</w:t>
      </w:r>
      <w:bookmarkEnd w:id="109"/>
      <w:bookmarkEnd w:id="110"/>
      <w:bookmarkEnd w:id="111"/>
      <w:bookmarkEnd w:id="11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13" w:name="_Toc15706"/>
      <w:r>
        <w:rPr>
          <w:rFonts w:hint="eastAsia" w:asciiTheme="minorEastAsia" w:hAnsiTheme="minorEastAsia" w:eastAsiaTheme="minorEastAsia" w:cstheme="minorEastAsia"/>
          <w:b/>
          <w:color w:val="auto"/>
          <w:lang w:val="en-US" w:eastAsia="zh-CN"/>
        </w:rPr>
        <w:t>政府采购政策</w:t>
      </w:r>
      <w:bookmarkEnd w:id="113"/>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6</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color w:val="auto"/>
          <w:kern w:val="0"/>
          <w:szCs w:val="21"/>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color w:val="auto"/>
          <w:lang w:val="zh-CN"/>
        </w:rPr>
      </w:pPr>
      <w:r>
        <w:rPr>
          <w:rFonts w:hint="eastAsia" w:ascii="宋体" w:hAnsi="宋体" w:cs="宋体"/>
          <w:b/>
          <w:bCs/>
          <w:snapToGrid w:val="0"/>
          <w:color w:val="auto"/>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14" w:name="_Toc12380"/>
      <w:r>
        <w:rPr>
          <w:rFonts w:hint="eastAsia" w:asciiTheme="minorEastAsia" w:hAnsiTheme="minorEastAsia" w:eastAsiaTheme="minorEastAsia" w:cstheme="minorEastAsia"/>
          <w:b/>
          <w:color w:val="auto"/>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15" w:name="_Toc28459"/>
      <w:r>
        <w:rPr>
          <w:rFonts w:hint="eastAsia" w:asciiTheme="minorEastAsia" w:hAnsiTheme="minorEastAsia" w:eastAsiaTheme="minorEastAsia" w:cstheme="minorEastAsia"/>
          <w:b/>
          <w:color w:val="auto"/>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16" w:name="_Toc11180"/>
      <w:r>
        <w:rPr>
          <w:rFonts w:hint="eastAsia" w:asciiTheme="minorEastAsia" w:hAnsiTheme="minorEastAsia" w:eastAsiaTheme="minorEastAsia" w:cstheme="minorEastAsia"/>
          <w:b/>
          <w:bCs/>
          <w:color w:val="auto"/>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2570"/>
      <w:r>
        <w:rPr>
          <w:rFonts w:hint="eastAsia" w:asciiTheme="minorEastAsia" w:hAnsiTheme="minorEastAsia" w:eastAsiaTheme="minorEastAsia" w:cstheme="minorEastAsia"/>
          <w:b/>
          <w:bCs/>
          <w:color w:val="auto"/>
          <w:sz w:val="24"/>
          <w:szCs w:val="24"/>
          <w:lang w:val="en-US" w:eastAsia="zh-CN"/>
        </w:rPr>
        <w:t>一、技术需求</w:t>
      </w:r>
      <w:bookmarkEnd w:id="117"/>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1、设备/货物清单：</w:t>
      </w:r>
    </w:p>
    <w:p>
      <w:pPr>
        <w:jc w:val="center"/>
        <w:rPr>
          <w:rFonts w:cs="宋体"/>
          <w:b/>
          <w:color w:val="auto"/>
          <w:kern w:val="0"/>
          <w:sz w:val="24"/>
        </w:rPr>
      </w:pPr>
      <w:r>
        <w:rPr>
          <w:rFonts w:hint="eastAsia" w:asciiTheme="minorEastAsia" w:hAnsiTheme="minorEastAsia" w:eastAsiaTheme="minorEastAsia" w:cstheme="minorEastAsia"/>
          <w:b/>
          <w:color w:val="auto"/>
          <w:kern w:val="0"/>
          <w:sz w:val="24"/>
        </w:rPr>
        <w:t>多功能实训工作站+力控单元</w:t>
      </w:r>
    </w:p>
    <w:tbl>
      <w:tblPr>
        <w:tblStyle w:val="27"/>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408"/>
        <w:gridCol w:w="1974"/>
        <w:gridCol w:w="1205"/>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shd w:val="clear" w:color="000000" w:fill="FFFFFF"/>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产品名称</w:t>
            </w:r>
          </w:p>
        </w:tc>
        <w:tc>
          <w:tcPr>
            <w:tcW w:w="1408" w:type="dxa"/>
            <w:shd w:val="clear" w:color="000000" w:fill="FFFFFF"/>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配置清单</w:t>
            </w:r>
          </w:p>
        </w:tc>
        <w:tc>
          <w:tcPr>
            <w:tcW w:w="7000" w:type="dxa"/>
            <w:gridSpan w:val="3"/>
            <w:shd w:val="clear" w:color="000000" w:fill="FFFFFF"/>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kern w:val="0"/>
                <w:sz w:val="21"/>
                <w:szCs w:val="21"/>
              </w:rPr>
              <w:t>多功能实训工作站+力控单元</w:t>
            </w:r>
          </w:p>
        </w:tc>
        <w:tc>
          <w:tcPr>
            <w:tcW w:w="1408" w:type="dxa"/>
            <w:vMerge w:val="restart"/>
            <w:shd w:val="clear" w:color="000000" w:fill="FFFFFF"/>
            <w:vAlign w:val="center"/>
          </w:tcPr>
          <w:p>
            <w:pPr>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工业机器人</w:t>
            </w:r>
          </w:p>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自由度</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有效负载</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重复定位精度</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最大臂长</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≥746mm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控制器</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采用模块化、开放式体系结构。支持总线式全数字伺服驱动单元和绝对值式伺服电机，支持总线式远程I/O单元，集成手持单元接口，采用电子盘程序存储方式，支持CF卡、USB、以太网等程序扩展和数据交换功能，预留IO输入输出点。</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为了方便机器人的调试和修护，需要配备工业机器人自动加工控制功能</w:t>
            </w:r>
            <w:r>
              <w:rPr>
                <w:rFonts w:hint="eastAsia" w:asciiTheme="minorEastAsia" w:hAnsiTheme="minorEastAsia" w:eastAsiaTheme="minorEastAsia" w:cstheme="minorEastAsia"/>
                <w:color w:val="auto"/>
                <w:kern w:val="0"/>
                <w:sz w:val="21"/>
                <w:szCs w:val="21"/>
                <w:lang w:eastAsia="zh-CN"/>
              </w:rPr>
              <w:t>；</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机器人控制系统需具备云服务功能；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机器人控制系统需具备云服务平台数据代理服务功能；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机器人控制系统具备一种多类工业以太网总线集成主站功能，提供此项功能的证明文件。</w:t>
            </w:r>
          </w:p>
          <w:p>
            <w:pPr>
              <w:pStyle w:val="2"/>
              <w:spacing w:line="36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机器人控制系具备加工中的运动规划方法、运动规划器及应用功能，提供此项功能的证明文件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伺服驱动单元</w:t>
            </w:r>
          </w:p>
        </w:tc>
        <w:tc>
          <w:tcPr>
            <w:tcW w:w="5026" w:type="dxa"/>
            <w:gridSpan w:val="2"/>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具有高速工业以太网总线接口，支持NCUC现场总线协议，实现和数控装置高速的数据交换；具有高分辨率绝对式编码器接口，位置反馈分辨率最高达到23位。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额定速度</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J1轴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J2轴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≥3.14ad/s，180°/s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J3轴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≥3.925rad/s，225°/s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J4轴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≥4.1rad/s，235°/s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J5轴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J6轴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≥6.28rad/s，360°/s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运动范围</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J1轴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J2轴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J3轴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J4轴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J5轴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J6轴</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本体重量</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电控柜</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型式</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卧式电柜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示教器</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机器人示教器</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1)图形化彩色触摸屏；</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2)支持USB存储器；</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3)防护等级IP54；</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4)紧急停机；</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5)3位启动开关（双回路）。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周围运行环境</w:t>
            </w: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温度</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湿度</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974"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205"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w:t>
            </w:r>
          </w:p>
        </w:tc>
        <w:tc>
          <w:tcPr>
            <w:tcW w:w="3821"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避免与易燃易爆或腐蚀性气体、液体接触、远离电子噪声源（等离子）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多功能实训夹具</w:t>
            </w:r>
          </w:p>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外形尺寸：≥120*120*180mm, 重量≤2KG</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结构件材料为铝合金，表面喷砂氧化处理；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集成功能：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1.具有工业机器人基本操作教学功能；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2.具有吸紧工件码垛功能；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3.具有夹持物料上下料功能；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4.具有喷涂实操功能；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5.具有写字（离线编程）功能，擦写功能；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6.具有TCP标定教学功能；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7.具有建立工件坐标系教学功能。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夹持气爪：缸体≥Ø16mm、闭合夹持力≥48N、行程≥30mm；重复精度≤±0.1mm、重量≥585g，带磁性开关，可检测工件是否夹紧；气爪手指采用尼龙件，表面滚花。</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夹持气爪配备4根顶柱，支柱螺纹部份采用双螺母作防松处理。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吸盘：形状圆形、盘面直径≥10mm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工业级喷嘴：最大吸入流量≥100L/min.最高真空度≥-84kPa）、材质：不锈钢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写字实训用笔：Ø15*143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气源处理装置：介质：空压气；滤芯精度40μm以上；使用压力范围0.15MPa~0.9MPa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中间继电器：欧姆龙，DC24V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附件：各类工装夹具辅助安装件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模块化实验台</w:t>
            </w: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（1）尺寸：≥1500mm*1020mm*720mm，台架负载能力≥400KG。</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（2）铝材采用GB4040+GB4080架设，材质AL6063,表面喷砂电脉 厚度≥3.0mm。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（3）移动脚轮为福马轮，承重&gt;200KG。 数量：4个</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（4）台架侧板：钣金，烤漆：电脑白，厚度T≥1.5mm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（5）前后门板：型材框架+钣金，型材采用1530型材，厚≧2.0mm；钣金烤漆：电脑白，厚度T≥1.5mm； 扣手暗装，带磁吸</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（6）平台型材连接件统一采用</w:t>
            </w:r>
            <w:r>
              <w:rPr>
                <w:rFonts w:hint="eastAsia" w:asciiTheme="minorEastAsia" w:hAnsiTheme="minorEastAsia" w:eastAsiaTheme="minorEastAsia" w:cstheme="minorEastAsia"/>
                <w:color w:val="auto"/>
                <w:kern w:val="0"/>
                <w:sz w:val="21"/>
                <w:szCs w:val="21"/>
                <w:lang w:eastAsia="zh-CN"/>
              </w:rPr>
              <w:t>市场通用</w:t>
            </w:r>
            <w:r>
              <w:rPr>
                <w:rFonts w:hint="eastAsia" w:asciiTheme="minorEastAsia" w:hAnsiTheme="minorEastAsia" w:eastAsiaTheme="minorEastAsia" w:cstheme="minorEastAsia"/>
                <w:color w:val="auto"/>
                <w:kern w:val="0"/>
                <w:sz w:val="21"/>
                <w:szCs w:val="21"/>
              </w:rPr>
              <w:t>标准件。</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（7）连接螺丝均采用不锈钢。</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（10）所有型材连接采用口哨内置连接件+螺丝直连形式连接；</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（11）机器人安装底板≥330*265*15，铁板镀铬.</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（12）旋转轴单元：所有结构件均采用AL6061制做，表面喷细砂作硬质氧化处理。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restart"/>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实操工装组件</w:t>
            </w: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机加上下料实训工装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模拟机加旋转单元：外形尺寸：≥210*205*140mm（表面不锈钢拉丝）, 1套。采用气缸驱动旋转、夹紧功能，带磁性开关，可检测工件是否夹紧或旋转到位；</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夹紧气动模组：缸体≥Ø16mm、闭合夹持力≥48N、行程≥30mm、重复精度≤±0.1mm、重量≥585g</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旋转气动模组：缸体≥Ø30mm、扭矩≥3.2Nm、摆动角度180°，调整角度0-190°、压力范围0.15-0.7MPa</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放料仓：</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420*250*25mm，材质：不锈钢，表面镜面抛光；1套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集料仓：</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140*140*125，材质：AL6061，表面喷砂氧化；1套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机加模拟料块：</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80*80*12，材质：尼龙，蓝色；8件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码垛工装：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码垛集料仓：</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320*320*45mm，材质：不锈钢，表面镜面抛光；1套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码垛垛料板：</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180*220*5，材质：AL6061，表面喷砂氧化；1套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码垛料块：</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110*55*35，材质：尼龙，蓝色；12件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标定工装：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标定座：</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140mm*140mm*100，材质：AL6061，表面喷砂氧化；1套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标定笔：</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Φ15*140mm，材质：AL6061，表面喷砂氧化；1套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喷涂工装：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喷涂工件：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Φ120*160mm，材质：粗陶；1个</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喷涂转盘：</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Φ360*40mm，材质：铝合金，表面本色阳极氧化；1套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喷涂变位模块：电机15W，减速比1：30；1套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写字工装：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写字平台：</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400*300*20，写字后可擦拭，重复利用。1套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轨迹工装：</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弧形面板</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350*200*27，配套3D轨迹工装板及码垛安装板，采用茶色有机板成型，1套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51" w:type="dxa"/>
            <w:vMerge w:val="continue"/>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p>
        </w:tc>
        <w:tc>
          <w:tcPr>
            <w:tcW w:w="1408" w:type="dxa"/>
            <w:shd w:val="clear" w:color="000000" w:fill="FFFFFF"/>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力控单元</w:t>
            </w:r>
          </w:p>
        </w:tc>
        <w:tc>
          <w:tcPr>
            <w:tcW w:w="7000" w:type="dxa"/>
            <w:gridSpan w:val="3"/>
            <w:shd w:val="clear" w:color="000000" w:fill="FFFFFF"/>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XYZ方向力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200N，XY旋转方向扭矩</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10Nm，Z旋转方向扭矩</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6.5Nm，</w:t>
            </w:r>
          </w:p>
        </w:tc>
      </w:tr>
    </w:tbl>
    <w:p>
      <w:pPr>
        <w:rPr>
          <w:color w:val="auto"/>
        </w:rPr>
      </w:pPr>
    </w:p>
    <w:p>
      <w:pPr>
        <w:rPr>
          <w:rFonts w:hint="eastAsia" w:cs="宋体"/>
          <w:b/>
          <w:color w:val="auto"/>
          <w:kern w:val="0"/>
          <w:sz w:val="24"/>
        </w:rPr>
      </w:pPr>
      <w:r>
        <w:rPr>
          <w:rFonts w:hint="eastAsia" w:cs="宋体"/>
          <w:b/>
          <w:color w:val="auto"/>
          <w:kern w:val="0"/>
          <w:sz w:val="24"/>
        </w:rPr>
        <w:br w:type="page"/>
      </w:r>
    </w:p>
    <w:p>
      <w:pPr>
        <w:jc w:val="center"/>
        <w:rPr>
          <w:rFonts w:hint="eastAsia"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多功能实训工作站</w:t>
      </w:r>
    </w:p>
    <w:tbl>
      <w:tblPr>
        <w:tblStyle w:val="27"/>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17"/>
        <w:gridCol w:w="1986"/>
        <w:gridCol w:w="1212"/>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产品名称</w:t>
            </w:r>
          </w:p>
        </w:tc>
        <w:tc>
          <w:tcPr>
            <w:tcW w:w="1417"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配置清单</w:t>
            </w:r>
          </w:p>
        </w:tc>
        <w:tc>
          <w:tcPr>
            <w:tcW w:w="7043" w:type="dxa"/>
            <w:gridSpan w:val="3"/>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多功能实训工作站</w:t>
            </w:r>
          </w:p>
        </w:tc>
        <w:tc>
          <w:tcPr>
            <w:tcW w:w="1417"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工业机器人</w:t>
            </w:r>
          </w:p>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自由度</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有效负载</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重复定位精度</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最大臂长</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≥746mm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控制器</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采用模块化、开放式体系结构。支持总线式全数字伺服驱动单元和绝对值式伺服电机，支持总线式远程I/O单元，集成手持单元接口，采用电子盘程序存储方式，支持CF卡、USB、以太网等程序扩展和数据交换功能，预留IO输入输出点。</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为了方便机器人的调试和修护，需要配备工业机器人自动加工控制功能；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机器人控制系统需具备云服务功能；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机器人控制系统需具备云服务平台数据代理服务功能；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机器人控制系统具备一种多类工业以太网总线集成主站功能，提供此项功能的证明文件。</w:t>
            </w:r>
          </w:p>
          <w:p>
            <w:pPr>
              <w:pStyle w:val="2"/>
              <w:spacing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机器人控制系统具备加工中的运动规划方法、运动规划器及应用功能，提供此项功能的证明文件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伺服驱动单元</w:t>
            </w:r>
          </w:p>
        </w:tc>
        <w:tc>
          <w:tcPr>
            <w:tcW w:w="5057" w:type="dxa"/>
            <w:gridSpan w:val="2"/>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具有高速工业以太网总线接口，支持NCUC现场总线协议，实现和数控装置高速的数据交换；具有高分辨率绝对式编码器接口，位置反馈分辨率最高达到23位。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额定速度</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J1轴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J2轴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≥3.14ad/s，180°/s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J3轴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≥3.925rad/s，225°/s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J4轴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≥4.1rad/s，235°/s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J5轴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J6轴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≥6.28rad/s，360°/s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运动范围</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J1轴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J2轴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J3轴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J4轴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J5轴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J6轴</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本体重量</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电控柜</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型式</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卧式电柜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示教器</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机器人示教器</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1)图形化彩色触摸屏；</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2)支持USB存储器；</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3)防护等级IP54；</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4)紧急停机；</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5)3位启动开关（双回路）。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1986"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周围运行环境</w:t>
            </w: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温度</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湿度</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986"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212"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w:t>
            </w:r>
          </w:p>
        </w:tc>
        <w:tc>
          <w:tcPr>
            <w:tcW w:w="3845" w:type="dxa"/>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避免与易燃易爆或腐蚀性气体、液体接触、远离电子噪声源（等离子）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多功能实训夹具</w:t>
            </w:r>
          </w:p>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外形尺寸：≥120*120*180mm, 重量≤2KG</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结构件材料为铝合金，表面喷砂氧化处理；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1.具有工业机器人基本操作教学功能；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2.具有吸紧工件码垛功能；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3.具有夹持物料上下料功能；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4.具有喷涂实操功能；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5.具有写字（离线编程）功能，擦写功能；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6.具有TCP标定教学功能；</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7.具有建立工件坐标系教学功能。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夹持气爪：缸体≥Ø16mm、闭合夹持力≥48N、行程≥30mm；重复精度≤±0.1mm、重量≥585g，带磁性开关，可检测工件是否夹紧；气爪手指采用尼龙件，表面滚花。</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夹持气爪配备4根顶柱，支柱螺纹部份采用双螺母作防松处理。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吸盘：形状圆形、盘面直径≥10mm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工业级喷嘴：最大吸入流量≥100L/min.最高真空度≥-84kPa）、材质：不锈钢，型号：RA-C2，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写字实训用笔：Ø15*143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气源处理装置：介质：空压气；滤芯精度40μm以上；使用压力范围0.15MPa~0.9MPa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中间继电器：欧姆龙，DC24V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jc w:val="center"/>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附件：各类工装夹具辅助安装件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shd w:val="clear" w:color="000000" w:fill="FFFFFF"/>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模块化实验台</w:t>
            </w: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（1）尺寸：≥1500mm*1020mm*720mm，台架负载能力≥400KG。</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（2）铝材采用GB4040+GB4080架设，材质AL6063,表面喷砂电脉 厚度≥3.0mm。</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（3）移动脚轮为福马轮，承重&gt;200KG。 数量：4个</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（4）台架侧板：钣金，烤漆：电脑白，厚度T≥1.5mm</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（5）前后门板：型材框架+钣金，型材采用1530型材，厚≧2.0mm；钣金烤漆：电脑白，厚度T≥1.5mm； 扣手暗装，带磁吸</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（6）平台型材连接件统一采用</w:t>
            </w:r>
            <w:r>
              <w:rPr>
                <w:rFonts w:hint="eastAsia" w:ascii="宋体" w:hAnsi="宋体" w:cs="宋体"/>
                <w:color w:val="auto"/>
                <w:kern w:val="0"/>
                <w:sz w:val="21"/>
                <w:szCs w:val="21"/>
                <w:lang w:eastAsia="zh-CN"/>
              </w:rPr>
              <w:t>市场通用</w:t>
            </w:r>
            <w:r>
              <w:rPr>
                <w:rFonts w:hint="eastAsia" w:ascii="宋体" w:hAnsi="宋体" w:eastAsia="宋体" w:cs="宋体"/>
                <w:color w:val="auto"/>
                <w:kern w:val="0"/>
                <w:sz w:val="21"/>
                <w:szCs w:val="21"/>
              </w:rPr>
              <w:t>标准件。</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（7）连接螺丝均采用不锈钢。</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（10）所有型材连接采用口哨内置连接件+螺丝直连形式连接；</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（11）机器人安装底板≥330*265*15，铁板镀铬.</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（12）旋转轴单元：所有结构件均采用AL6061制做，表面喷细砂作硬质氧化处理。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restart"/>
            <w:shd w:val="clear" w:color="000000" w:fill="FFFFFF"/>
            <w:vAlign w:val="center"/>
          </w:tcPr>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p>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实操工装组件</w:t>
            </w: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机加上下料实训工装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模拟机加旋转单元：外形尺寸：≥210*205*140mm（表面不锈钢拉丝）, 1套。采用气缸驱动旋转、夹紧功能，带磁性开关，可检测工件是否夹紧或旋转到位；</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夹紧气动模组：缸体≥Ø16mm、闭合夹持力≥48N、行程≥30mm、重复精度≤±0.1mm、重量≥585g</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旋转气动模组：缸体≥Ø30mm、扭矩≥3.2Nm、摆动角度180°，调整角度0-190°、压力范围0.15-0.7MPa</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放料仓：</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420*250*25mm，材质：不锈钢，表面镜面抛光；1套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集料仓：</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140*140*125，材质：AL6061，表面喷砂氧化；1套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机加模拟料块：</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80*80*12，材质：尼龙，蓝色；8件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9"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码垛工装：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码垛集料仓：</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320*320*45mm，材质：不锈钢，表面镜面抛光；1套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码垛垛料板：</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180*220*5，材质：AL6061，表面喷砂氧化；1套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码垛料块：</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110*55*35，材质：尼龙，蓝色；12件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标定工装：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标定座：</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140mm*140mm*100，材质：AL6061，表面喷砂氧化；1套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标定笔：</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Φ15*140mm，材质：AL6061，表面喷砂氧化；1套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喷涂工装：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喷涂工件：</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Φ120*160mm，材质：粗陶；1个</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喷涂转盘：</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Φ360*40mm，材质：铝合金，表面本色阳极氧化；1套</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喷涂变位模块：电机15W，减速比1：30；1套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写字工装：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写字平台：</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400*300*20，写字后可擦拭，重复利用。1套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59"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1417" w:type="dxa"/>
            <w:vMerge w:val="continue"/>
            <w:shd w:val="clear" w:color="000000" w:fill="FFFFFF"/>
            <w:vAlign w:val="center"/>
          </w:tcPr>
          <w:p>
            <w:pPr>
              <w:spacing w:line="360" w:lineRule="auto"/>
              <w:rPr>
                <w:rFonts w:hint="eastAsia" w:ascii="宋体" w:hAnsi="宋体" w:eastAsia="宋体" w:cs="宋体"/>
                <w:color w:val="auto"/>
                <w:kern w:val="0"/>
                <w:sz w:val="21"/>
                <w:szCs w:val="21"/>
              </w:rPr>
            </w:pPr>
          </w:p>
        </w:tc>
        <w:tc>
          <w:tcPr>
            <w:tcW w:w="7043" w:type="dxa"/>
            <w:gridSpan w:val="3"/>
            <w:shd w:val="clear" w:color="000000" w:fill="FFFFFF"/>
            <w:vAlign w:val="center"/>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轨迹工装：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弧形面板</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350*200*27，配套3D轨迹工装板及码垛安装板，采用茶色有机板成型，1套</w:t>
            </w:r>
          </w:p>
        </w:tc>
      </w:tr>
    </w:tbl>
    <w:p>
      <w:pPr>
        <w:rPr>
          <w:color w:val="auto"/>
        </w:rPr>
      </w:pPr>
    </w:p>
    <w:p>
      <w:pPr>
        <w:widowControl/>
        <w:snapToGrid w:val="0"/>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bCs/>
          <w:color w:val="auto"/>
          <w:kern w:val="0"/>
          <w:sz w:val="24"/>
        </w:rPr>
        <w:br w:type="textWrapping"/>
      </w:r>
    </w:p>
    <w:p>
      <w:pPr>
        <w:widowControl/>
        <w:snapToGrid w:val="0"/>
        <w:jc w:val="center"/>
        <w:rPr>
          <w:rFonts w:hint="eastAsia" w:asciiTheme="minorEastAsia" w:hAnsiTheme="minorEastAsia" w:eastAsiaTheme="minorEastAsia" w:cstheme="minorEastAsia"/>
          <w:b/>
          <w:bCs/>
          <w:color w:val="auto"/>
          <w:kern w:val="0"/>
          <w:sz w:val="24"/>
        </w:rPr>
      </w:pPr>
    </w:p>
    <w:p>
      <w:pPr>
        <w:widowControl/>
        <w:snapToGrid w:val="0"/>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bCs/>
          <w:color w:val="auto"/>
          <w:kern w:val="0"/>
          <w:sz w:val="24"/>
        </w:rPr>
        <w:br w:type="textWrapping"/>
      </w:r>
    </w:p>
    <w:p>
      <w:pPr>
        <w:widowControl/>
        <w:snapToGrid w:val="0"/>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桁架机械手</w:t>
      </w:r>
    </w:p>
    <w:tbl>
      <w:tblPr>
        <w:tblStyle w:val="28"/>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205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产品名称</w:t>
            </w:r>
          </w:p>
        </w:tc>
        <w:tc>
          <w:tcPr>
            <w:tcW w:w="2055"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配置清单</w:t>
            </w:r>
          </w:p>
        </w:tc>
        <w:tc>
          <w:tcPr>
            <w:tcW w:w="639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桁架机械手</w:t>
            </w: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控制轴</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机械手行程</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W轴≥1200mm; A轴左右≥600mm；A轴上下≥650mm；最大测试速度≥40m/s；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手臂型式</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外形尺寸</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长宽高≥2000×1400×1600mm；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电源</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3相AC220V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控制器</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预留IO输入输出点；配置伺服电机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驱动器</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需具有EtherCAT现场总线、能效管理、功能安全等多项技术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机器手电控</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1台固定在桁架上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示教器</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1台示教器线缆8m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配置继电器</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外部使用的I/O点位</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≥32个NPN输入点，32个NPN输出点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机器人底座</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机器人夹具</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129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205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集成功能</w:t>
            </w:r>
          </w:p>
        </w:tc>
        <w:tc>
          <w:tcPr>
            <w:tcW w:w="6390"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1.为了方便机器人的调试和修护，需要配备工业机器人自动加工控制功能；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2.机器人控制系统需具备云服务功能；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3.机器人控制系统需具备云服务平台数据代理服务功能；</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4.机器人控制系统具备一种多类工业以太网总线集成主站功能，提供此项功能的证明文件</w:t>
            </w:r>
            <w:r>
              <w:rPr>
                <w:rFonts w:hint="eastAsia" w:asciiTheme="minorEastAsia" w:hAnsiTheme="minorEastAsia" w:eastAsiaTheme="minorEastAsia" w:cstheme="minorEastAsia"/>
                <w:color w:val="auto"/>
                <w:kern w:val="0"/>
                <w:sz w:val="21"/>
                <w:szCs w:val="21"/>
                <w:lang w:eastAsia="zh-CN"/>
              </w:rPr>
              <w:t>；</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5.机器人控制系统具备加工中的运动规划方法、运动规划器及应用功能，提供此项功能的证明文件</w:t>
            </w:r>
            <w:r>
              <w:rPr>
                <w:rFonts w:hint="eastAsia" w:asciiTheme="minorEastAsia" w:hAnsiTheme="minorEastAsia" w:eastAsiaTheme="minorEastAsia" w:cstheme="minorEastAsia"/>
                <w:color w:val="auto"/>
                <w:kern w:val="0"/>
                <w:sz w:val="21"/>
                <w:szCs w:val="21"/>
                <w:lang w:eastAsia="zh-CN"/>
              </w:rPr>
              <w:t>。</w:t>
            </w:r>
          </w:p>
        </w:tc>
      </w:tr>
    </w:tbl>
    <w:p>
      <w:pPr>
        <w:rPr>
          <w:color w:val="auto"/>
        </w:rPr>
      </w:pPr>
    </w:p>
    <w:p>
      <w:pPr>
        <w:pStyle w:val="93"/>
        <w:widowControl/>
        <w:snapToGrid w:val="0"/>
        <w:ind w:firstLine="241" w:firstLineChars="100"/>
        <w:jc w:val="center"/>
        <w:rPr>
          <w:rFonts w:hint="eastAsia" w:ascii="宋体" w:hAnsi="宋体" w:cs="宋体"/>
          <w:b/>
          <w:color w:val="auto"/>
          <w:kern w:val="0"/>
          <w:sz w:val="24"/>
        </w:rPr>
      </w:pPr>
      <w:r>
        <w:rPr>
          <w:rFonts w:hint="eastAsia" w:ascii="宋体" w:hAnsi="宋体" w:cs="宋体"/>
          <w:b/>
          <w:color w:val="auto"/>
          <w:kern w:val="0"/>
          <w:sz w:val="24"/>
        </w:rPr>
        <w:br w:type="textWrapping"/>
      </w:r>
      <w:r>
        <w:rPr>
          <w:rFonts w:hint="eastAsia" w:ascii="宋体" w:hAnsi="宋体" w:cs="宋体"/>
          <w:b/>
          <w:color w:val="auto"/>
          <w:kern w:val="0"/>
          <w:sz w:val="24"/>
        </w:rPr>
        <w:br w:type="textWrapping"/>
      </w:r>
    </w:p>
    <w:p>
      <w:pPr>
        <w:pStyle w:val="93"/>
        <w:widowControl/>
        <w:snapToGrid w:val="0"/>
        <w:ind w:firstLine="241" w:firstLineChars="100"/>
        <w:jc w:val="center"/>
        <w:rPr>
          <w:rFonts w:hint="eastAsia" w:ascii="宋体" w:hAnsi="宋体" w:cs="宋体"/>
          <w:b/>
          <w:color w:val="auto"/>
          <w:kern w:val="0"/>
          <w:sz w:val="24"/>
        </w:rPr>
      </w:pPr>
      <w:r>
        <w:rPr>
          <w:rFonts w:hint="eastAsia" w:ascii="宋体" w:hAnsi="宋体" w:cs="宋体"/>
          <w:b/>
          <w:color w:val="auto"/>
          <w:kern w:val="0"/>
          <w:sz w:val="24"/>
        </w:rPr>
        <w:br w:type="textWrapping"/>
      </w:r>
      <w:r>
        <w:rPr>
          <w:rFonts w:hint="eastAsia" w:ascii="宋体" w:hAnsi="宋体" w:cs="宋体"/>
          <w:b/>
          <w:color w:val="auto"/>
          <w:kern w:val="0"/>
          <w:sz w:val="24"/>
        </w:rPr>
        <w:br w:type="textWrapping"/>
      </w:r>
      <w:r>
        <w:rPr>
          <w:rFonts w:hint="eastAsia" w:ascii="宋体" w:hAnsi="宋体" w:cs="宋体"/>
          <w:b/>
          <w:color w:val="auto"/>
          <w:kern w:val="0"/>
          <w:sz w:val="24"/>
        </w:rPr>
        <w:br w:type="textWrapping"/>
      </w:r>
    </w:p>
    <w:p>
      <w:pPr>
        <w:pStyle w:val="93"/>
        <w:widowControl/>
        <w:snapToGrid w:val="0"/>
        <w:ind w:firstLine="241" w:firstLineChars="100"/>
        <w:jc w:val="center"/>
        <w:rPr>
          <w:rFonts w:hint="eastAsia"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SCARA机器人</w:t>
      </w:r>
    </w:p>
    <w:tbl>
      <w:tblPr>
        <w:tblStyle w:val="2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2145"/>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产品名称</w:t>
            </w: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配置清单</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455" w:type="dxa"/>
            <w:vMerge w:val="restart"/>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SCARA机器人</w:t>
            </w: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控制轴</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负载</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≥max6kg/min2kg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最大工作半径</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重复定位精度</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J1 ：≥±0.02°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J3：≥±0.01mm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运动范围</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J1轴：≥±132°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J2轴：≥±150°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J3轴：≥200mm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J4轴：≥±360°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额定速度</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J1轴：≥3.925rad/s,225°/s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J2轴：≥6.28rad/s,360°/s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J3轴：≥666mm/s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J4轴：≥20.93rad/s, 1200°/s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第四关节容许惯性矩</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最大/额定：≥0.12kg·m²/0.01kg·m²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适用环境</w:t>
            </w:r>
          </w:p>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温度：5℃-40℃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Merge w:val="continue"/>
            <w:vAlign w:val="center"/>
          </w:tcPr>
          <w:p>
            <w:pPr>
              <w:spacing w:line="360" w:lineRule="auto"/>
              <w:jc w:val="center"/>
              <w:rPr>
                <w:rFonts w:hint="eastAsia" w:asciiTheme="minorEastAsia" w:hAnsiTheme="minorEastAsia" w:eastAsiaTheme="minorEastAsia" w:cstheme="minorEastAsia"/>
                <w:color w:val="auto"/>
                <w:kern w:val="0"/>
                <w:sz w:val="21"/>
                <w:szCs w:val="21"/>
              </w:rPr>
            </w:pP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湿度：10-80%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防护等级</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安装方式</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本体重量</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机器人底座</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机器人夹具</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双工位定位装置</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1套，包括一套旋转气缸及连接定位结构件，具有两个工位之间工件旋转等功能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55" w:type="dxa"/>
            <w:vMerge w:val="continue"/>
            <w:vAlign w:val="center"/>
          </w:tcPr>
          <w:p>
            <w:pPr>
              <w:spacing w:line="360" w:lineRule="auto"/>
              <w:rPr>
                <w:rFonts w:hint="eastAsia" w:asciiTheme="minorEastAsia" w:hAnsiTheme="minorEastAsia" w:eastAsiaTheme="minorEastAsia" w:cstheme="minorEastAsia"/>
                <w:color w:val="auto"/>
                <w:kern w:val="0"/>
                <w:sz w:val="21"/>
                <w:szCs w:val="21"/>
              </w:rPr>
            </w:pPr>
          </w:p>
        </w:tc>
        <w:tc>
          <w:tcPr>
            <w:tcW w:w="2145"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集成功能</w:t>
            </w:r>
          </w:p>
        </w:tc>
        <w:tc>
          <w:tcPr>
            <w:tcW w:w="6150" w:type="dxa"/>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1.为了方便机器人的调试和修护，需要配备工业机器人自动加工控制功能；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2.机器人控制系统需具备云服务功能；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3.机器人控制系统需具备云服务平台数据代理服务功能；</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4.机器人控制系统具备一种多类工业以太网总线集成主站功能，提供此项功能的证明文件</w:t>
            </w:r>
            <w:r>
              <w:rPr>
                <w:rFonts w:hint="eastAsia" w:asciiTheme="minorEastAsia" w:hAnsiTheme="minorEastAsia" w:eastAsiaTheme="minorEastAsia" w:cstheme="minorEastAsia"/>
                <w:color w:val="auto"/>
                <w:kern w:val="0"/>
                <w:sz w:val="21"/>
                <w:szCs w:val="21"/>
                <w:lang w:eastAsia="zh-CN"/>
              </w:rPr>
              <w:t>；</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5.机器人控制系统具备加工中的运动规划方法、运动规划器及应用功能，提供此项功能的证明文件</w:t>
            </w:r>
            <w:r>
              <w:rPr>
                <w:rFonts w:hint="eastAsia" w:asciiTheme="minorEastAsia" w:hAnsiTheme="minorEastAsia" w:eastAsiaTheme="minorEastAsia" w:cstheme="minorEastAsia"/>
                <w:color w:val="auto"/>
                <w:kern w:val="0"/>
                <w:sz w:val="21"/>
                <w:szCs w:val="21"/>
                <w:lang w:eastAsia="zh-CN"/>
              </w:rPr>
              <w:t>。</w:t>
            </w:r>
          </w:p>
        </w:tc>
      </w:tr>
    </w:tbl>
    <w:p>
      <w:pPr>
        <w:pStyle w:val="93"/>
        <w:widowControl/>
        <w:snapToGrid w:val="0"/>
        <w:ind w:firstLine="241" w:firstLineChars="100"/>
        <w:rPr>
          <w:rFonts w:ascii="宋体" w:hAnsi="宋体" w:cs="宋体"/>
          <w:b/>
          <w:color w:val="auto"/>
          <w:kern w:val="0"/>
          <w:sz w:val="24"/>
        </w:rPr>
      </w:pPr>
      <w:r>
        <w:rPr>
          <w:rFonts w:ascii="宋体" w:hAnsi="宋体" w:cs="宋体"/>
          <w:b/>
          <w:color w:val="auto"/>
          <w:kern w:val="0"/>
          <w:sz w:val="24"/>
        </w:rPr>
        <w:br w:type="textWrapping"/>
      </w:r>
      <w:r>
        <w:rPr>
          <w:rFonts w:ascii="宋体" w:hAnsi="宋体" w:cs="宋体"/>
          <w:b/>
          <w:color w:val="auto"/>
          <w:kern w:val="0"/>
          <w:sz w:val="24"/>
        </w:rPr>
        <w:br w:type="textWrapping"/>
      </w:r>
      <w:r>
        <w:rPr>
          <w:rFonts w:ascii="宋体" w:hAnsi="宋体" w:cs="宋体"/>
          <w:b/>
          <w:color w:val="auto"/>
          <w:kern w:val="0"/>
          <w:sz w:val="24"/>
        </w:rPr>
        <w:br w:type="textWrapping"/>
      </w: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pStyle w:val="93"/>
        <w:widowControl/>
        <w:snapToGrid w:val="0"/>
        <w:ind w:firstLine="241" w:firstLineChars="100"/>
        <w:rPr>
          <w:rFonts w:ascii="宋体" w:hAnsi="宋体" w:cs="宋体"/>
          <w:b/>
          <w:color w:val="auto"/>
          <w:kern w:val="0"/>
          <w:sz w:val="24"/>
        </w:rPr>
      </w:pPr>
    </w:p>
    <w:p>
      <w:pPr>
        <w:rPr>
          <w:color w:val="auto"/>
        </w:rPr>
      </w:pPr>
    </w:p>
    <w:p>
      <w:pPr>
        <w:spacing w:line="36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视觉分拣机器人</w:t>
      </w:r>
    </w:p>
    <w:tbl>
      <w:tblPr>
        <w:tblStyle w:val="28"/>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1711"/>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产品名称</w:t>
            </w:r>
          </w:p>
        </w:tc>
        <w:tc>
          <w:tcPr>
            <w:tcW w:w="1711"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配置清单</w:t>
            </w:r>
          </w:p>
        </w:tc>
        <w:tc>
          <w:tcPr>
            <w:tcW w:w="6007" w:type="dxa"/>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restart"/>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视觉分拣机器人</w:t>
            </w:r>
          </w:p>
          <w:p>
            <w:pPr>
              <w:spacing w:line="360" w:lineRule="auto"/>
              <w:jc w:val="center"/>
              <w:rPr>
                <w:rFonts w:hint="eastAsia" w:asciiTheme="minorEastAsia" w:hAnsiTheme="minorEastAsia" w:eastAsiaTheme="minorEastAsia" w:cstheme="minorEastAsia"/>
                <w:color w:val="auto"/>
                <w:kern w:val="0"/>
                <w:sz w:val="21"/>
                <w:szCs w:val="21"/>
              </w:rPr>
            </w:pPr>
          </w:p>
        </w:tc>
        <w:tc>
          <w:tcPr>
            <w:tcW w:w="1711" w:type="dxa"/>
            <w:vMerge w:val="restart"/>
            <w:vAlign w:val="center"/>
          </w:tcPr>
          <w:p>
            <w:pPr>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六自由度工业机器人</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多关节型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负载能力≥5Kg；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控制轴≥6轴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重复定位精度≤±0.02mm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最大动作范围：≥回旋±200°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下臂倾动≥0°～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上臂倾动≥+80°～ +240°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手臂横摆≥±180°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手腕俯仰≥±115°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手腕回旋≥±360°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最大速度回转≥ rad/s 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下臂倾动≥3.14rad/s，180°/s；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上臂倾动≥3.925rad/s，225°/s；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手臂横摆≥4.1rad/s，235°/s；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手腕俯仰≥3.87rad/s，222°/s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手腕回旋≥6.28rad/s，360°/s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最大活动半径≥746mm；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地面安装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防护等级：IP54；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本体重量：≥55kg（不含安装底座）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适用环境温度：0～45°，湿度20%～80%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操作方式：示教在线/编程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集成功能：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1.为了方便机器人的调试和修护，需要配备工业机器人自动加工控制功能；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2.机器人控制系统需具备云服务功能；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3.机器人控制系统需具备云服务平台数据代理服务功能；</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4.机器人控制系统具备一种多类工业以太网总线集成主站功能，提供此项功能的证明文件</w:t>
            </w:r>
            <w:r>
              <w:rPr>
                <w:rFonts w:hint="eastAsia" w:asciiTheme="minorEastAsia" w:hAnsiTheme="minorEastAsia" w:eastAsiaTheme="minorEastAsia" w:cstheme="minorEastAsia"/>
                <w:color w:val="auto"/>
                <w:kern w:val="0"/>
                <w:sz w:val="21"/>
                <w:szCs w:val="21"/>
                <w:lang w:eastAsia="zh-CN"/>
              </w:rPr>
              <w:t>；</w:t>
            </w:r>
          </w:p>
          <w:p>
            <w:pPr>
              <w:spacing w:line="360" w:lineRule="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5.机器人控制系统具备加工中的运动规划方法、运动规划器及应用功能，提供此项功能的证明文件</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restart"/>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机器人控制柜与示教盒</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独立控制柜，基于开放式现场总线EtherCAT协议，支持总线式全数字伺服驱动单元和绝对值式伺服电机，支持总线式远程IO单元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示教器尺寸：≥8寸触摸屏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全触屏操作，配备急停开关、钥匙开关以及三段式安全开关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配备USB接口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长宽高尺寸：≥270×230×46mm；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运行内存≥1G，存储空间为≥2G，CPU频率: ≥1.2GHz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外接电源：24V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可实现功能：手动控制机器人运动、机器人程序示教编程、机器人程序自动运行、机器人运行状态监视、机器人控制参数设置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机器人夹具</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restart"/>
            <w:vAlign w:val="center"/>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视觉检测系统1套</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相机水平/垂直分辨率：≥2592 像素× 1944 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相机水平/垂直像素尺寸：≥2.2 µm× 2.2 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帧速率：≥14 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黑白/彩色：黑白；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接口：GigE；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重量：90g；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感光芯片类型：CMOS；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感光芯片尺寸：≥5.7mm× 4.28mm；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镜头：感光芯片尺寸：≥1/2.5"；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镜头最小焦距：≥16mm；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光圈值：≥F2.0 - F22，分辨率：500万像素；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工作距离：≥200mm；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光源电压：24V；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光源功率：≥5.2W；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外观尺寸：φ100×φ60×22mm；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机器人底座</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1套，与机器人配套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070" w:type="dxa"/>
            <w:vMerge w:val="continue"/>
          </w:tcPr>
          <w:p>
            <w:pPr>
              <w:spacing w:line="360" w:lineRule="auto"/>
              <w:rPr>
                <w:rFonts w:hint="eastAsia" w:asciiTheme="minorEastAsia" w:hAnsiTheme="minorEastAsia" w:eastAsiaTheme="minorEastAsia" w:cstheme="minorEastAsia"/>
                <w:color w:val="auto"/>
                <w:kern w:val="0"/>
                <w:sz w:val="21"/>
                <w:szCs w:val="21"/>
              </w:rPr>
            </w:pPr>
          </w:p>
        </w:tc>
        <w:tc>
          <w:tcPr>
            <w:tcW w:w="1711"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视觉系统软件</w:t>
            </w:r>
          </w:p>
        </w:tc>
        <w:tc>
          <w:tcPr>
            <w:tcW w:w="6007" w:type="dxa"/>
          </w:tcPr>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1套与系统配套，具有视觉定位抓取，检测，搬运，定位放置工件等功能模块；</w:t>
            </w:r>
          </w:p>
        </w:tc>
      </w:tr>
    </w:tbl>
    <w:p>
      <w:pPr>
        <w:pStyle w:val="2"/>
        <w:rPr>
          <w:color w:val="auto"/>
        </w:rPr>
      </w:pP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spacing w:line="360" w:lineRule="auto"/>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DELTA并联机器人</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自由度：≥4；</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最大工作半径：≥200mm；</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各关节运行范围： ≥J1：5°~125°，J2：5°~125°，J3：5°~125°；J4：-360~360；</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重复定位精度：≤±0.1mm；</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额定/最大负载：≥1kg；</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整机重量≥85kg；</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整机功率≥500W；</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电压：≥220V；</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IP等级：IP54；</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配置电控柜和一体机各一套；</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机器人底座1套，与机器人配套；</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机器人夹具1套，与机器人配套；</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传输单元2套；</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传输单元包括两套气动滑台，运用气动滑台的行程及机器人的抓取来完成工件的传输；</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集成功能：</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1.为了方便机器人的调试和修护，需要配备工业机器人自动加工控制功能；</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2.机器人控制系统需具备云服务功能；</w:t>
      </w:r>
    </w:p>
    <w:p>
      <w:p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3.机器人控制系统需具备云服务平台数据代理服务功能；</w:t>
      </w:r>
    </w:p>
    <w:p>
      <w:pPr>
        <w:spacing w:line="36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4.机器人控制系统具备一种多类工业以太网总线集成主站功能，提供此项功能的证明文件</w:t>
      </w:r>
      <w:r>
        <w:rPr>
          <w:rFonts w:hint="eastAsia" w:ascii="宋体" w:hAnsi="宋体" w:cs="宋体"/>
          <w:color w:val="auto"/>
          <w:kern w:val="0"/>
          <w:sz w:val="21"/>
          <w:szCs w:val="21"/>
          <w:lang w:eastAsia="zh-CN"/>
        </w:rPr>
        <w:t>；</w:t>
      </w:r>
    </w:p>
    <w:p>
      <w:pPr>
        <w:pStyle w:val="2"/>
        <w:spacing w:line="360" w:lineRule="auto"/>
        <w:ind w:firstLine="0" w:firstLine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5.机器人控制系统具备加工中的运动规划方法、运动规划器及应用功能，提供此项功能的证明文件</w:t>
      </w:r>
      <w:r>
        <w:rPr>
          <w:rFonts w:hint="eastAsia" w:hAnsi="宋体" w:cs="宋体"/>
          <w:color w:val="auto"/>
          <w:sz w:val="21"/>
          <w:szCs w:val="21"/>
          <w:lang w:eastAsia="zh-CN"/>
        </w:rPr>
        <w:t>。</w:t>
      </w:r>
    </w:p>
    <w:p>
      <w:pPr>
        <w:rPr>
          <w:rFonts w:hint="eastAsia" w:ascii="宋体" w:hAnsi="宋体" w:eastAsia="宋体" w:cs="宋体"/>
          <w:color w:val="auto"/>
        </w:rPr>
      </w:pPr>
    </w:p>
    <w:p>
      <w:pPr>
        <w:rPr>
          <w:rFonts w:hint="eastAsia" w:ascii="宋体" w:hAnsi="宋体" w:eastAsia="宋体" w:cs="宋体"/>
          <w:b/>
          <w:bCs/>
          <w:color w:val="auto"/>
          <w:kern w:val="0"/>
          <w:szCs w:val="21"/>
        </w:rPr>
      </w:pPr>
    </w:p>
    <w:p>
      <w:pPr>
        <w:pStyle w:val="2"/>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p>
    <w:p>
      <w:pPr>
        <w:pStyle w:val="2"/>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p>
    <w:p>
      <w:pPr>
        <w:pStyle w:val="2"/>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p>
    <w:p>
      <w:pPr>
        <w:pStyle w:val="2"/>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p>
    <w:p>
      <w:pPr>
        <w:pStyle w:val="2"/>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p>
    <w:p>
      <w:pPr>
        <w:pStyle w:val="2"/>
        <w:rPr>
          <w:rFonts w:hint="eastAsia"/>
          <w:color w:val="auto"/>
        </w:rPr>
      </w:pPr>
    </w:p>
    <w:p>
      <w:pPr>
        <w:spacing w:line="360" w:lineRule="auto"/>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AGV运载机器人输送单元模块</w:t>
      </w:r>
    </w:p>
    <w:p>
      <w:pPr>
        <w:spacing w:line="360" w:lineRule="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1、AGV运载机器人1套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1.外形尺寸：≥1600×400×450mm；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2行走速度：≥0.3-0.8m/min；</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3.行走方式：前进、后退、左右转、岔路行进；</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4.最小转弯半径：≥1500mm；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5.额定载重：≥25kg；</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6.导引方式：光电/磁条导引/激光；</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7.电源：电池组DC12V 36AH两组；</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8.驱动方式：差速驱动；</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9.充电方式：手动/自动；</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10.导航精度：≤±10mm；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11.安全感应范围：≥1000mm内可调；</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12.紧急制动距离：小于30mm；</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13.续航能力：≥12小时；</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14.通讯方式：局域网无线呼叫；</w:t>
      </w:r>
    </w:p>
    <w:p>
      <w:pPr>
        <w:spacing w:line="360" w:lineRule="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2、传感器系统2套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与AGV小车配套；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对射型光电传感器；</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NPN输出；</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导线引出型；</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检测距离：≥10m；</w:t>
      </w:r>
    </w:p>
    <w:p>
      <w:pPr>
        <w:spacing w:line="360" w:lineRule="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3、磁导航与无线数传系统1套，与系统配套；</w:t>
      </w:r>
    </w:p>
    <w:p>
      <w:pPr>
        <w:spacing w:line="360" w:lineRule="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4、工装1套，与系统配套；</w:t>
      </w:r>
    </w:p>
    <w:p>
      <w:pPr>
        <w:spacing w:line="360" w:lineRule="auto"/>
        <w:rPr>
          <w:rFonts w:hint="eastAsia" w:asciiTheme="minorEastAsia" w:hAnsiTheme="minorEastAsia" w:eastAsiaTheme="minorEastAsia" w:cstheme="minorEastAsia"/>
          <w:color w:val="auto"/>
          <w:sz w:val="21"/>
          <w:szCs w:val="21"/>
        </w:rPr>
      </w:pPr>
    </w:p>
    <w:p>
      <w:pPr>
        <w:spacing w:line="360" w:lineRule="auto"/>
        <w:jc w:val="center"/>
        <w:rPr>
          <w:rFonts w:hint="eastAsia" w:asciiTheme="minorEastAsia" w:hAnsiTheme="minorEastAsia" w:eastAsiaTheme="minorEastAsia" w:cstheme="minorEastAsia"/>
          <w:b/>
          <w:bCs/>
          <w:color w:val="auto"/>
          <w:kern w:val="0"/>
          <w:sz w:val="21"/>
          <w:szCs w:val="21"/>
        </w:rPr>
      </w:pPr>
    </w:p>
    <w:p>
      <w:pPr>
        <w:pStyle w:val="2"/>
        <w:rPr>
          <w:rFonts w:hint="eastAsia" w:asciiTheme="minorEastAsia" w:hAnsiTheme="minorEastAsia" w:eastAsiaTheme="minorEastAsia" w:cstheme="minorEastAsia"/>
          <w:b/>
          <w:bCs/>
          <w:color w:val="auto"/>
          <w:kern w:val="0"/>
          <w:sz w:val="21"/>
          <w:szCs w:val="21"/>
        </w:rPr>
      </w:pPr>
    </w:p>
    <w:p>
      <w:pPr>
        <w:rPr>
          <w:rFonts w:hint="eastAsia" w:asciiTheme="minorEastAsia" w:hAnsiTheme="minorEastAsia" w:eastAsiaTheme="minorEastAsia" w:cstheme="minorEastAsia"/>
          <w:b/>
          <w:bCs/>
          <w:color w:val="auto"/>
          <w:kern w:val="0"/>
          <w:sz w:val="21"/>
          <w:szCs w:val="21"/>
        </w:rPr>
      </w:pPr>
    </w:p>
    <w:p>
      <w:pPr>
        <w:pStyle w:val="2"/>
        <w:rPr>
          <w:rFonts w:hint="eastAsia" w:asciiTheme="minorEastAsia" w:hAnsiTheme="minorEastAsia" w:eastAsiaTheme="minorEastAsia" w:cstheme="minorEastAsia"/>
          <w:b/>
          <w:bCs/>
          <w:color w:val="auto"/>
          <w:kern w:val="0"/>
          <w:sz w:val="21"/>
          <w:szCs w:val="21"/>
        </w:rPr>
      </w:pPr>
    </w:p>
    <w:p>
      <w:pPr>
        <w:rPr>
          <w:rFonts w:hint="eastAsia"/>
          <w:color w:val="auto"/>
        </w:rPr>
      </w:pPr>
    </w:p>
    <w:p>
      <w:pPr>
        <w:spacing w:line="360" w:lineRule="auto"/>
        <w:jc w:val="center"/>
        <w:rPr>
          <w:rFonts w:hint="eastAsia" w:asciiTheme="minorEastAsia" w:hAnsiTheme="minorEastAsia" w:eastAsiaTheme="minorEastAsia" w:cstheme="minorEastAsia"/>
          <w:b/>
          <w:bCs/>
          <w:color w:val="auto"/>
          <w:kern w:val="0"/>
          <w:sz w:val="21"/>
          <w:szCs w:val="21"/>
        </w:rPr>
      </w:pPr>
    </w:p>
    <w:p>
      <w:pPr>
        <w:spacing w:line="360" w:lineRule="auto"/>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产线总控电柜</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单元PLC电气控制系统1套；</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提供单元PLC源程序；</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通过总线最多可扩展16个I/O单元；</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输入输出分别最多支持4096个点；</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支持RS485总线和NCUC（火线接口、光纤接口可选）工业以太网总线；</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每个总线I/O单元可提供1个通讯子模块插槽和8个功能子模块插槽；</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开关量输入模块NPN、PNP两种接口可选；</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输出模块为NPN接口，每个开关量均带指示灯；</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采用模块化结构，总线I/O单元是由多种独立的子模块组成的，使用中可以根据实际需求灵活的加以配置和组合；</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传输速度达到100MB/S，同步定位精度100ns；</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内置以太网，便于生产现场网络化，更便于外设进行高速数据传输；</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内置RS232 通讯接口；</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2GB 用户程序断点存储区；</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支持USB 热插拔；</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1GB RAM 加工内存缓冲区；</w:t>
      </w:r>
    </w:p>
    <w:p>
      <w:p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标准PC键盘接口；</w:t>
      </w:r>
    </w:p>
    <w:p>
      <w:pPr>
        <w:spacing w:line="360" w:lineRule="auto"/>
        <w:rPr>
          <w:rFonts w:hint="eastAsia"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rPr>
        <w:t>专用的电源模块，能实现掉电保持的功能；</w:t>
      </w:r>
    </w:p>
    <w:p>
      <w:pPr>
        <w:rPr>
          <w:rFonts w:ascii="宋体" w:hAnsi="宋体" w:cs="Courier New"/>
          <w:color w:val="auto"/>
          <w:kern w:val="0"/>
          <w:szCs w:val="21"/>
        </w:rPr>
      </w:pPr>
    </w:p>
    <w:p>
      <w:pPr>
        <w:rPr>
          <w:color w:val="auto"/>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注：本章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p>
    <w:p>
      <w:pPr>
        <w:autoSpaceDE w:val="0"/>
        <w:autoSpaceDN w:val="0"/>
        <w:adjustRightInd w:val="0"/>
        <w:spacing w:line="360" w:lineRule="auto"/>
        <w:outlineLvl w:val="9"/>
        <w:rPr>
          <w:rFonts w:hint="eastAsia"/>
          <w:color w:val="auto"/>
          <w:lang w:val="en-US" w:eastAsia="zh-CN"/>
        </w:rPr>
      </w:pPr>
      <w:r>
        <w:rPr>
          <w:rFonts w:ascii="宋体" w:hAnsi="宋体" w:eastAsia="宋体" w:cs="宋体"/>
          <w:color w:val="auto"/>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18" w:name="_Toc30527"/>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18"/>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2.1项目的产品和安装必须完全满足中华人民共和国国家质量标准及现行规范要求，供应商应根据企业实际能力在响应文件中对项目质量予以承诺，成交后在合同中加以确认。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2.2若成交，国产产品提供产品合格证和国家质检标志，同时应提交国家相关部门的质量检测报告书；所有进口部件、材料必须符合我国相关产业界产品标准，并提供相关报关证明。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2.3所有设备和配件均要求是经过实际运行验证、性能稳定的全新产品，且设备上具有原制造厂商的铭牌、标志。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2.4如有在响应文件中未说明的设备运行所必须的其他辅助设备及软件系统，请在响应文件中提供详细说明及相关报价。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color w:val="auto"/>
          <w:szCs w:val="21"/>
        </w:rPr>
        <w:t>2.5供应商在竞标及成交后，发生侵犯专利权的行为时，其侵权责任与采购人无关，应由供应商承担相应的责任，并不得影响采购人的利益</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3、产品进场安装、</w:t>
      </w:r>
      <w:r>
        <w:rPr>
          <w:rFonts w:hint="eastAsia" w:asciiTheme="minorEastAsia" w:hAnsiTheme="minorEastAsia" w:eastAsiaTheme="minorEastAsia" w:cstheme="minorEastAsia"/>
          <w:b w:val="0"/>
          <w:bCs w:val="0"/>
          <w:color w:val="auto"/>
          <w:szCs w:val="21"/>
        </w:rPr>
        <w:t>调试及验收</w:t>
      </w:r>
      <w:r>
        <w:rPr>
          <w:rFonts w:hint="eastAsia" w:asciiTheme="minorEastAsia" w:hAnsiTheme="minorEastAsia" w:eastAsiaTheme="minorEastAsia" w:cstheme="minorEastAsia"/>
          <w:b w:val="0"/>
          <w:bCs w:val="0"/>
          <w:color w:val="auto"/>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3.1成交供应商须提供全新的设备，所有设备均须由成交供应商送货到指定地点并安装调试，采购人不再支付任何费用。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成交供应商所提供设备到达目的地后，采购人按成交供应商提供的设备清单及检验产品合格证、使用说明书和其他的技术资料负责开箱检验、检查设备及随机附件是否完整无损，技术资料是否与采购人的要求相符，如有损坏、缺件等情况，成交供应商应在5日内更换新产品，相应的费用及责任由成交供应商自行负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3.3成交供应商应提供设备所带专用工具清单，并标明其种类、用途和生产厂，并在货物到货时同时提供给采购人。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3.4成交供应商须免费提供调试专用工具，直到项目质保期满。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3.5成交供应商必须提供产品安装的详细实施建议方案和产品安装实施过程的工作内容、工作日程表、工作方法，并征得采购人认可后严格按照日程表执行。日程表内容至少应包括到货日期、现场安装、系统测试、系统联调、系统试运行、验收、技术培训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3.6成交供应商应允许采购人的工作人员参与项目的安装、测试、诊断及解决问题等各项工作，并提供相关的现场培训。</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3.7安装联调过程中，成交供应商供给采购人的产品及自己使用的工具，进入采购人使用现场后的保管由成交供应商负责；成交供应商在采购人使用现场安装人员的安全、保险、食宿、交通由成交供应商负责。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3.8成交供应商在验收前必须递交书面的验收方案，并报采购人认可后以其为依据，方可开始验收工作。</w:t>
      </w:r>
    </w:p>
    <w:p>
      <w:pPr>
        <w:pStyle w:val="11"/>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color w:val="auto"/>
          <w:szCs w:val="21"/>
        </w:rPr>
        <w:t>3.9具体根据学校合同和验收制度执行。</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b w:val="0"/>
          <w:bCs w:val="0"/>
          <w:color w:val="auto"/>
          <w:kern w:val="2"/>
          <w:sz w:val="21"/>
          <w:szCs w:val="21"/>
          <w:lang w:val="en-US" w:eastAsia="zh-CN" w:bidi="ar-SA"/>
        </w:rPr>
        <w:t>4、培训要求：成交供应商应提供相应的技术培训，保证采购方使用、操作人员会正常操作设备的各种功能及保养方法，保证维修人员能了解设备的故障诊断及排除的方法与技能。</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5、交货地点：采购人指定地点。</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6、交货期：合同签订后30日历天内供货，15天内完成安装调试。</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7、质保期/保修期：自验收合格后质保两年，质保期内，除人为因素损坏外，全部免费维修。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8、履约保证金：合同总金额的5%；签订合同前5个工作日递交，以支票、汇票、本票等非现金形式提交。</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9、付款方式：经甲方验收合格并收到乙方发票后10天内，甲方向乙方支付合同总金额的100%；履约保证金自动转为质保金，货物验收合格后安全运行一年（自验收合格之日起计算），如无质量及售后服务等其他违约事项，甲方向乙方无息退还质量保证金。</w:t>
      </w:r>
      <w:r>
        <w:rPr>
          <w:rFonts w:hint="eastAsia" w:asciiTheme="minorEastAsia" w:hAnsiTheme="minorEastAsia" w:eastAsiaTheme="minorEastAsia" w:cstheme="minorEastAsia"/>
          <w:b w:val="0"/>
          <w:bCs w:val="0"/>
          <w:color w:val="auto"/>
          <w:kern w:val="2"/>
          <w:sz w:val="21"/>
          <w:szCs w:val="21"/>
          <w:lang w:val="en-US" w:eastAsia="zh-CN" w:bidi="ar-SA"/>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注：1、资格审查因素等证明材料须提供网上图片或查询方式以供磋商小组核查，响应文件内附相关证书真彩扫描件。</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color w:val="auto"/>
          <w:szCs w:val="21"/>
        </w:rPr>
      </w:pPr>
      <w:bookmarkStart w:id="119" w:name="_Toc2788"/>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19"/>
    </w:p>
    <w:p>
      <w:pPr>
        <w:spacing w:line="360" w:lineRule="auto"/>
        <w:outlineLvl w:val="1"/>
        <w:rPr>
          <w:rFonts w:hint="eastAsia" w:asciiTheme="minorEastAsia" w:hAnsiTheme="minorEastAsia" w:eastAsiaTheme="minorEastAsia" w:cstheme="minorEastAsia"/>
          <w:b/>
          <w:color w:val="auto"/>
          <w:szCs w:val="21"/>
        </w:rPr>
      </w:pPr>
      <w:bookmarkStart w:id="120" w:name="_Toc8606"/>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20"/>
    </w:p>
    <w:tbl>
      <w:tblPr>
        <w:tblStyle w:val="2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资格要求</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21" w:name="_Toc32290"/>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21"/>
    </w:p>
    <w:tbl>
      <w:tblPr>
        <w:tblStyle w:val="27"/>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p>
    <w:p>
      <w:pPr>
        <w:pStyle w:val="21"/>
        <w:rPr>
          <w:rFonts w:hint="eastAsia" w:asciiTheme="minorEastAsia" w:hAnsiTheme="minorEastAsia" w:eastAsiaTheme="minorEastAsia" w:cstheme="minorEastAsia"/>
          <w:color w:val="auto"/>
        </w:rPr>
      </w:pPr>
    </w:p>
    <w:p>
      <w:pPr>
        <w:spacing w:line="360" w:lineRule="auto"/>
        <w:outlineLvl w:val="1"/>
        <w:rPr>
          <w:rFonts w:hint="eastAsia" w:asciiTheme="minorEastAsia" w:hAnsiTheme="minorEastAsia" w:eastAsiaTheme="minorEastAsia" w:cstheme="minorEastAsia"/>
          <w:b/>
          <w:color w:val="auto"/>
          <w:szCs w:val="21"/>
        </w:rPr>
      </w:pPr>
      <w:bookmarkStart w:id="122" w:name="_Toc1388"/>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22"/>
    </w:p>
    <w:tbl>
      <w:tblPr>
        <w:tblStyle w:val="27"/>
        <w:tblW w:w="499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1471"/>
        <w:gridCol w:w="6986"/>
        <w:gridCol w:w="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3" w:hRule="atLeast"/>
          <w:tblHeader/>
          <w:jc w:val="center"/>
        </w:trPr>
        <w:tc>
          <w:tcPr>
            <w:tcW w:w="394" w:type="pct"/>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739" w:type="pct"/>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3509" w:type="pct"/>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356" w:type="pct"/>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78" w:hRule="atLeast"/>
          <w:jc w:val="center"/>
        </w:trPr>
        <w:tc>
          <w:tcPr>
            <w:tcW w:w="394" w:type="pct"/>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竞标</w:t>
            </w:r>
            <w:r>
              <w:rPr>
                <w:rFonts w:hint="eastAsia" w:asciiTheme="minorEastAsia" w:hAnsiTheme="minorEastAsia" w:eastAsiaTheme="minorEastAsia" w:cstheme="minorEastAsia"/>
                <w:color w:val="auto"/>
                <w:kern w:val="0"/>
                <w:sz w:val="21"/>
                <w:szCs w:val="21"/>
                <w:lang w:bidi="ar"/>
              </w:rPr>
              <w:t>报价</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c>
          <w:tcPr>
            <w:tcW w:w="739" w:type="pct"/>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最后</w:t>
            </w:r>
            <w:r>
              <w:rPr>
                <w:rFonts w:hint="eastAsia" w:asciiTheme="minorEastAsia" w:hAnsiTheme="minorEastAsia" w:eastAsiaTheme="minorEastAsia" w:cstheme="minorEastAsia"/>
                <w:color w:val="auto"/>
                <w:kern w:val="0"/>
                <w:sz w:val="21"/>
                <w:szCs w:val="21"/>
                <w:lang w:bidi="ar"/>
              </w:rPr>
              <w:t>报价</w:t>
            </w:r>
          </w:p>
        </w:tc>
        <w:tc>
          <w:tcPr>
            <w:tcW w:w="3509" w:type="pct"/>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1、报价采用低价优先法计算，即满足</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rPr>
              <w:t>采购文件要求且报价最低的报价为磋商基准价，其报价分为满分</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2、其他供应商的报价分按照下列公式计算：</w:t>
            </w:r>
          </w:p>
          <w:p>
            <w:pPr>
              <w:widowControl/>
              <w:spacing w:line="240" w:lineRule="auto"/>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报价分=（磋商基准价/磋商报价）×</w:t>
            </w:r>
            <w:r>
              <w:rPr>
                <w:rFonts w:hint="eastAsia" w:asciiTheme="minorEastAsia" w:hAnsiTheme="minorEastAsia" w:eastAsiaTheme="minorEastAsia" w:cstheme="minorEastAsia"/>
                <w:color w:val="auto"/>
                <w:sz w:val="21"/>
                <w:szCs w:val="21"/>
                <w:lang w:val="en-US" w:eastAsia="zh-CN"/>
              </w:rPr>
              <w:t>30</w:t>
            </w:r>
          </w:p>
          <w:p>
            <w:pPr>
              <w:widowControl/>
              <w:spacing w:line="240" w:lineRule="auto"/>
              <w:jc w:val="left"/>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符合本磋商文件第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的，在评审时予以价格扣除，用扣除后的价格参与评审。</w:t>
            </w:r>
          </w:p>
        </w:tc>
        <w:tc>
          <w:tcPr>
            <w:tcW w:w="356" w:type="pct"/>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4" w:hRule="atLeast"/>
          <w:jc w:val="center"/>
        </w:trPr>
        <w:tc>
          <w:tcPr>
            <w:tcW w:w="394" w:type="pct"/>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w:t>
            </w:r>
            <w:r>
              <w:rPr>
                <w:rFonts w:hint="eastAsia" w:asciiTheme="minorEastAsia" w:hAnsiTheme="minorEastAsia" w:eastAsiaTheme="minorEastAsia" w:cstheme="minorEastAsia"/>
                <w:color w:val="auto"/>
                <w:spacing w:val="-6"/>
                <w:sz w:val="21"/>
                <w:szCs w:val="21"/>
              </w:rPr>
              <w:t>0分</w:t>
            </w:r>
          </w:p>
        </w:tc>
        <w:tc>
          <w:tcPr>
            <w:tcW w:w="739" w:type="pct"/>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eastAsia="zh-CN"/>
              </w:rPr>
              <w:t>财务状况</w:t>
            </w:r>
          </w:p>
        </w:tc>
        <w:tc>
          <w:tcPr>
            <w:tcW w:w="3509" w:type="pct"/>
            <w:vAlign w:val="center"/>
          </w:tcPr>
          <w:p>
            <w:pPr>
              <w:autoSpaceDE w:val="0"/>
              <w:autoSpaceDN w:val="0"/>
              <w:adjustRightInd w:val="0"/>
              <w:spacing w:line="240" w:lineRule="auto"/>
              <w:ind w:right="71" w:rightChars="34"/>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根据供应商提供的近三年（2016、2017、2018或2017、2018、2019）年经审计盖章的财务报告，对其经营状况、财务状况相互比较（成立不足三年的按公司成立时的间起算）：</w:t>
            </w:r>
          </w:p>
          <w:p>
            <w:pPr>
              <w:autoSpaceDE w:val="0"/>
              <w:autoSpaceDN w:val="0"/>
              <w:adjustRightInd w:val="0"/>
              <w:spacing w:line="240" w:lineRule="auto"/>
              <w:ind w:right="71" w:rightChars="34"/>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连续盈利，偿债能力、盈利能力和抗风险能力强的，得4分；</w:t>
            </w:r>
          </w:p>
          <w:p>
            <w:pPr>
              <w:autoSpaceDE w:val="0"/>
              <w:autoSpaceDN w:val="0"/>
              <w:adjustRightInd w:val="0"/>
              <w:spacing w:line="240" w:lineRule="auto"/>
              <w:ind w:right="71" w:rightChars="34"/>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盈利情况一般，偿债能力和抗风险能力一般的，得2分；</w:t>
            </w:r>
          </w:p>
          <w:p>
            <w:pPr>
              <w:autoSpaceDE w:val="0"/>
              <w:autoSpaceDN w:val="0"/>
              <w:adjustRightInd w:val="0"/>
              <w:spacing w:line="240" w:lineRule="auto"/>
              <w:ind w:right="71" w:rightChars="34"/>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2"/>
                <w:sz w:val="21"/>
                <w:szCs w:val="21"/>
                <w:lang w:val="en-US" w:eastAsia="zh-CN" w:bidi="ar-SA"/>
              </w:rPr>
              <w:t>无盈利，偿债能力和抗风险能力差的，得1分；</w:t>
            </w:r>
          </w:p>
        </w:tc>
        <w:tc>
          <w:tcPr>
            <w:tcW w:w="356" w:type="pct"/>
            <w:vAlign w:val="center"/>
          </w:tcPr>
          <w:p>
            <w:pPr>
              <w:autoSpaceDE w:val="0"/>
              <w:autoSpaceDN w:val="0"/>
              <w:adjustRightInd w:val="0"/>
              <w:spacing w:line="240" w:lineRule="auto"/>
              <w:ind w:right="71" w:rightChars="34"/>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lang w:eastAsia="zh-CN"/>
              </w:rPr>
              <w:t>类似业绩</w:t>
            </w:r>
          </w:p>
        </w:tc>
        <w:tc>
          <w:tcPr>
            <w:tcW w:w="3509" w:type="pct"/>
            <w:vAlign w:val="center"/>
          </w:tcPr>
          <w:p>
            <w:pPr>
              <w:spacing w:line="240" w:lineRule="auto"/>
              <w:jc w:val="left"/>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z w:val="21"/>
                <w:szCs w:val="21"/>
              </w:rPr>
              <w:t>近三年（</w:t>
            </w:r>
            <w:r>
              <w:rPr>
                <w:rFonts w:hint="eastAsia" w:asciiTheme="minorEastAsia" w:hAnsiTheme="minorEastAsia" w:eastAsiaTheme="minorEastAsia" w:cstheme="minorEastAsia"/>
                <w:color w:val="auto"/>
                <w:spacing w:val="-6"/>
                <w:sz w:val="21"/>
                <w:szCs w:val="21"/>
                <w:lang w:eastAsia="zh-CN"/>
              </w:rPr>
              <w:t>磋商</w:t>
            </w:r>
            <w:r>
              <w:rPr>
                <w:rFonts w:hint="eastAsia" w:asciiTheme="minorEastAsia" w:hAnsiTheme="minorEastAsia" w:eastAsiaTheme="minorEastAsia" w:cstheme="minorEastAsia"/>
                <w:color w:val="auto"/>
                <w:sz w:val="21"/>
                <w:szCs w:val="21"/>
              </w:rPr>
              <w:t>截止时间前36个月）承担过的类似项目业绩一个得2分，最高得8分。（须提供中标通知书及合同复印件加盖公章的真彩扫描件）</w:t>
            </w:r>
          </w:p>
        </w:tc>
        <w:tc>
          <w:tcPr>
            <w:tcW w:w="356" w:type="pct"/>
            <w:vAlign w:val="center"/>
          </w:tcPr>
          <w:p>
            <w:pPr>
              <w:autoSpaceDE w:val="0"/>
              <w:autoSpaceDN w:val="0"/>
              <w:adjustRightInd w:val="0"/>
              <w:spacing w:line="240" w:lineRule="auto"/>
              <w:ind w:right="71" w:rightChars="34"/>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8</w:t>
            </w:r>
            <w:r>
              <w:rPr>
                <w:rFonts w:hint="eastAsia" w:asciiTheme="minorEastAsia" w:hAnsiTheme="minorEastAsia" w:eastAsiaTheme="minorEastAsia" w:cstheme="minorEastAsia"/>
                <w:color w:val="auto"/>
                <w:spacing w:val="-6"/>
                <w:kern w:val="0"/>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0"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0"/>
                <w:sz w:val="21"/>
                <w:szCs w:val="21"/>
                <w:lang w:eastAsia="zh-CN"/>
              </w:rPr>
              <w:t>用户评价</w:t>
            </w:r>
          </w:p>
        </w:tc>
        <w:tc>
          <w:tcPr>
            <w:tcW w:w="3509" w:type="pct"/>
            <w:vAlign w:val="center"/>
          </w:tcPr>
          <w:p>
            <w:pPr>
              <w:spacing w:line="240" w:lineRule="auto"/>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近三年（</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截止时间前36个月）用户出具的满意评价证明，用户评价内容应包含用户联系人、联系方式等，每提供一个得1分，最高得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分。（需提供不同单位出具加盖公章的满意评价证明）</w:t>
            </w:r>
          </w:p>
        </w:tc>
        <w:tc>
          <w:tcPr>
            <w:tcW w:w="356" w:type="pct"/>
            <w:vAlign w:val="center"/>
          </w:tcPr>
          <w:p>
            <w:pPr>
              <w:autoSpaceDE w:val="0"/>
              <w:autoSpaceDN w:val="0"/>
              <w:adjustRightInd w:val="0"/>
              <w:spacing w:line="240" w:lineRule="auto"/>
              <w:ind w:right="71" w:rightChars="34"/>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tcBorders>
              <w:bottom w:val="single" w:color="auto" w:sz="4" w:space="0"/>
            </w:tcBorders>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eastAsia="zh-CN"/>
              </w:rPr>
              <w:t>体系认证</w:t>
            </w:r>
          </w:p>
        </w:tc>
        <w:tc>
          <w:tcPr>
            <w:tcW w:w="3509" w:type="pct"/>
            <w:tcBorders>
              <w:bottom w:val="single" w:color="auto" w:sz="4" w:space="0"/>
            </w:tcBorders>
            <w:vAlign w:val="center"/>
          </w:tcPr>
          <w:p>
            <w:pPr>
              <w:spacing w:line="240" w:lineRule="auto"/>
              <w:jc w:val="left"/>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供应商</w:t>
            </w:r>
            <w:r>
              <w:rPr>
                <w:rFonts w:hint="eastAsia" w:asciiTheme="minorEastAsia" w:hAnsiTheme="minorEastAsia" w:eastAsiaTheme="minorEastAsia" w:cstheme="minorEastAsia"/>
                <w:color w:val="auto"/>
                <w:sz w:val="21"/>
                <w:szCs w:val="21"/>
              </w:rPr>
              <w:t>提供OHSAS1800职业健康体系认证证书、ISO9001质量管理体系认证证书、ISO14001环境管理体系认证。</w:t>
            </w:r>
            <w:r>
              <w:rPr>
                <w:rFonts w:hint="eastAsia" w:asciiTheme="minorEastAsia" w:hAnsiTheme="minorEastAsia" w:eastAsiaTheme="minorEastAsia" w:cstheme="minorEastAsia"/>
                <w:color w:val="auto"/>
                <w:sz w:val="21"/>
                <w:szCs w:val="21"/>
                <w:lang w:val="en-US" w:eastAsia="zh-CN"/>
              </w:rPr>
              <w:t>1个得</w:t>
            </w:r>
            <w:r>
              <w:rPr>
                <w:rFonts w:hint="eastAsia" w:asciiTheme="minorEastAsia" w:hAnsiTheme="minorEastAsia" w:eastAsiaTheme="minorEastAsia" w:cstheme="minorEastAsia"/>
                <w:color w:val="auto"/>
                <w:sz w:val="21"/>
                <w:szCs w:val="21"/>
              </w:rPr>
              <w:t>得1分，</w:t>
            </w:r>
            <w:r>
              <w:rPr>
                <w:rFonts w:hint="eastAsia" w:asciiTheme="minorEastAsia" w:hAnsiTheme="minorEastAsia" w:eastAsiaTheme="minorEastAsia" w:cstheme="minorEastAsia"/>
                <w:color w:val="auto"/>
                <w:sz w:val="21"/>
                <w:szCs w:val="21"/>
                <w:lang w:eastAsia="zh-CN"/>
              </w:rPr>
              <w:t>最高得</w:t>
            </w:r>
            <w:r>
              <w:rPr>
                <w:rFonts w:hint="eastAsia" w:asciiTheme="minorEastAsia" w:hAnsiTheme="minorEastAsia" w:eastAsiaTheme="minorEastAsia" w:cstheme="minorEastAsia"/>
                <w:color w:val="auto"/>
                <w:sz w:val="21"/>
                <w:szCs w:val="21"/>
                <w:lang w:val="en-US" w:eastAsia="zh-CN"/>
              </w:rPr>
              <w:t>3分</w:t>
            </w:r>
          </w:p>
        </w:tc>
        <w:tc>
          <w:tcPr>
            <w:tcW w:w="356" w:type="pct"/>
            <w:tcBorders>
              <w:bottom w:val="single" w:color="auto" w:sz="4" w:space="0"/>
            </w:tcBorders>
            <w:vAlign w:val="center"/>
          </w:tcPr>
          <w:p>
            <w:pPr>
              <w:autoSpaceDE w:val="0"/>
              <w:autoSpaceDN w:val="0"/>
              <w:adjustRightInd w:val="0"/>
              <w:spacing w:line="240" w:lineRule="auto"/>
              <w:ind w:right="71" w:rightChars="34"/>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90" w:hRule="atLeast"/>
          <w:jc w:val="center"/>
        </w:trPr>
        <w:tc>
          <w:tcPr>
            <w:tcW w:w="394" w:type="pct"/>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50</w:t>
            </w:r>
            <w:r>
              <w:rPr>
                <w:rFonts w:hint="eastAsia" w:asciiTheme="minorEastAsia" w:hAnsiTheme="minorEastAsia" w:eastAsiaTheme="minorEastAsia" w:cstheme="minorEastAsia"/>
                <w:color w:val="auto"/>
                <w:spacing w:val="-6"/>
                <w:sz w:val="21"/>
                <w:szCs w:val="21"/>
              </w:rPr>
              <w:t>分</w:t>
            </w:r>
          </w:p>
        </w:tc>
        <w:tc>
          <w:tcPr>
            <w:tcW w:w="739" w:type="pct"/>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技术响应</w:t>
            </w:r>
          </w:p>
        </w:tc>
        <w:tc>
          <w:tcPr>
            <w:tcW w:w="3509" w:type="pct"/>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供应商所投产品技术参数响应情况占</w:t>
            </w: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rPr>
              <w:t>分，具体由磋商小组根据供应商的响应文件中产品情况、《技术响应、偏离说明表》等有关资料打分。其中：完全满足磋商文件技术参数要求的得</w:t>
            </w: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rPr>
              <w:t>分；有一项不满足的扣</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分，扣完为止。</w:t>
            </w:r>
          </w:p>
          <w:p>
            <w:pPr>
              <w:widowControl/>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356" w:type="pct"/>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9"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pacing w:val="-6"/>
                <w:sz w:val="21"/>
                <w:szCs w:val="21"/>
              </w:rPr>
            </w:pPr>
          </w:p>
        </w:tc>
        <w:tc>
          <w:tcPr>
            <w:tcW w:w="739" w:type="pct"/>
            <w:vAlign w:val="center"/>
          </w:tcPr>
          <w:p>
            <w:pPr>
              <w:spacing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相关</w:t>
            </w:r>
            <w:r>
              <w:rPr>
                <w:rFonts w:hint="eastAsia" w:asciiTheme="minorEastAsia" w:hAnsiTheme="minorEastAsia" w:eastAsiaTheme="minorEastAsia" w:cstheme="minorEastAsia"/>
                <w:color w:val="auto"/>
                <w:sz w:val="21"/>
                <w:szCs w:val="21"/>
                <w:lang w:eastAsia="zh-CN"/>
              </w:rPr>
              <w:t>证书</w:t>
            </w:r>
          </w:p>
        </w:tc>
        <w:tc>
          <w:tcPr>
            <w:tcW w:w="3509" w:type="pct"/>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提供机器人自动加工单元控制系统软件软件著作权登记证书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云服务平台软件软件著作权登记证书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云服务平台数据代理服务系统软件的软件著作权登记证书；</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sz w:val="21"/>
                <w:szCs w:val="21"/>
              </w:rPr>
              <w:t>每提供1 个证书得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最高得</w:t>
            </w:r>
            <w:r>
              <w:rPr>
                <w:rFonts w:hint="eastAsia" w:asciiTheme="minorEastAsia" w:hAnsiTheme="minorEastAsia" w:eastAsiaTheme="minorEastAsia" w:cstheme="minorEastAsia"/>
                <w:color w:val="auto"/>
                <w:sz w:val="21"/>
                <w:szCs w:val="21"/>
                <w:lang w:val="en-US" w:eastAsia="zh-CN"/>
              </w:rPr>
              <w:t>3分</w:t>
            </w:r>
          </w:p>
        </w:tc>
        <w:tc>
          <w:tcPr>
            <w:tcW w:w="356" w:type="pct"/>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2" w:hRule="atLeast"/>
          <w:jc w:val="center"/>
        </w:trPr>
        <w:tc>
          <w:tcPr>
            <w:tcW w:w="394" w:type="pct"/>
            <w:vMerge w:val="continue"/>
            <w:vAlign w:val="center"/>
          </w:tcPr>
          <w:p>
            <w:pPr>
              <w:spacing w:line="240" w:lineRule="auto"/>
              <w:ind w:left="-4" w:leftChars="-2" w:firstLine="2" w:firstLineChars="1"/>
              <w:jc w:val="center"/>
              <w:rPr>
                <w:rFonts w:hint="eastAsia" w:asciiTheme="minorEastAsia" w:hAnsiTheme="minorEastAsia" w:eastAsiaTheme="minorEastAsia" w:cstheme="minorEastAsia"/>
                <w:color w:val="auto"/>
                <w:sz w:val="21"/>
                <w:szCs w:val="21"/>
              </w:rPr>
            </w:pPr>
          </w:p>
        </w:tc>
        <w:tc>
          <w:tcPr>
            <w:tcW w:w="739"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实施</w:t>
            </w:r>
            <w:r>
              <w:rPr>
                <w:rFonts w:hint="eastAsia" w:asciiTheme="minorEastAsia" w:hAnsiTheme="minorEastAsia" w:eastAsiaTheme="minorEastAsia" w:cstheme="minorEastAsia"/>
                <w:color w:val="auto"/>
                <w:sz w:val="21"/>
                <w:szCs w:val="21"/>
              </w:rPr>
              <w:t>方案</w:t>
            </w:r>
          </w:p>
        </w:tc>
        <w:tc>
          <w:tcPr>
            <w:tcW w:w="3509" w:type="pct"/>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根据</w:t>
            </w:r>
            <w:r>
              <w:rPr>
                <w:rFonts w:hint="eastAsia" w:asciiTheme="minorEastAsia" w:hAnsiTheme="minorEastAsia" w:eastAsiaTheme="minorEastAsia" w:cstheme="minorEastAsia"/>
                <w:color w:val="auto"/>
                <w:sz w:val="21"/>
                <w:szCs w:val="21"/>
              </w:rPr>
              <w:t>供应商提供的安装方案、验收方案、技术人员配备情况、及承诺的质量保证措施</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交货期等进行</w:t>
            </w:r>
            <w:r>
              <w:rPr>
                <w:rFonts w:hint="eastAsia" w:asciiTheme="minorEastAsia" w:hAnsiTheme="minorEastAsia" w:eastAsiaTheme="minorEastAsia" w:cstheme="minorEastAsia"/>
                <w:color w:val="auto"/>
                <w:sz w:val="21"/>
                <w:szCs w:val="21"/>
                <w:lang w:eastAsia="zh-CN"/>
              </w:rPr>
              <w:t>综合</w:t>
            </w:r>
            <w:r>
              <w:rPr>
                <w:rFonts w:hint="eastAsia" w:asciiTheme="minorEastAsia" w:hAnsiTheme="minorEastAsia" w:eastAsiaTheme="minorEastAsia" w:cstheme="minorEastAsia"/>
                <w:color w:val="auto"/>
                <w:sz w:val="21"/>
                <w:szCs w:val="21"/>
              </w:rPr>
              <w:t>评分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欠合理，基本可行，1 分；</w:t>
            </w:r>
          </w:p>
          <w:p>
            <w:pPr>
              <w:widowControl/>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356"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5"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售后服务</w:t>
            </w:r>
          </w:p>
        </w:tc>
        <w:tc>
          <w:tcPr>
            <w:tcW w:w="3509" w:type="pct"/>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供应商设置的常驻售后服务机构，根据其售后服务机构的人员、服务能力、响应时间、距离采购人的交通便捷性等情况综合评议：</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科学、合理，针对性强，3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合理，可行，2分；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欠合理，基本可行，1 分；</w:t>
            </w:r>
          </w:p>
          <w:p>
            <w:pPr>
              <w:widowControl/>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356"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3"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技术培训</w:t>
            </w:r>
          </w:p>
        </w:tc>
        <w:tc>
          <w:tcPr>
            <w:tcW w:w="3509" w:type="pct"/>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根据供应商提供的服务过程中现场技术培训方案等进行</w:t>
            </w:r>
            <w:r>
              <w:rPr>
                <w:rFonts w:hint="eastAsia" w:asciiTheme="minorEastAsia" w:hAnsiTheme="minorEastAsia" w:eastAsiaTheme="minorEastAsia" w:cstheme="minorEastAsia"/>
                <w:color w:val="auto"/>
                <w:sz w:val="21"/>
                <w:szCs w:val="21"/>
                <w:lang w:eastAsia="zh-CN"/>
              </w:rPr>
              <w:t>综合</w:t>
            </w:r>
            <w:r>
              <w:rPr>
                <w:rFonts w:hint="eastAsia" w:asciiTheme="minorEastAsia" w:hAnsiTheme="minorEastAsia" w:eastAsiaTheme="minorEastAsia" w:cstheme="minorEastAsia"/>
                <w:color w:val="auto"/>
                <w:sz w:val="21"/>
                <w:szCs w:val="21"/>
              </w:rPr>
              <w:t>评分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科学、合理，针对性强，3分；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合理，可行，2分；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欠合理，基本可行，1 分；</w:t>
            </w:r>
          </w:p>
          <w:p>
            <w:pPr>
              <w:widowControl/>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356" w:type="pct"/>
            <w:vAlign w:val="center"/>
          </w:tcPr>
          <w:p>
            <w:pPr>
              <w:widowControl/>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3" w:hRule="atLeast"/>
          <w:jc w:val="center"/>
        </w:trPr>
        <w:tc>
          <w:tcPr>
            <w:tcW w:w="394" w:type="pct"/>
            <w:vMerge w:val="continue"/>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739" w:type="pct"/>
            <w:vAlign w:val="center"/>
          </w:tcPr>
          <w:p>
            <w:pPr>
              <w:widowControl/>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应急方案</w:t>
            </w:r>
          </w:p>
        </w:tc>
        <w:tc>
          <w:tcPr>
            <w:tcW w:w="3509" w:type="pct"/>
            <w:vAlign w:val="center"/>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提供系统应急方案，根据对</w:t>
            </w:r>
            <w:r>
              <w:rPr>
                <w:rFonts w:hint="eastAsia" w:asciiTheme="minorEastAsia" w:hAnsiTheme="minorEastAsia" w:eastAsiaTheme="minorEastAsia" w:cstheme="minorEastAsia"/>
                <w:color w:val="auto"/>
                <w:sz w:val="21"/>
                <w:szCs w:val="21"/>
                <w:lang w:eastAsia="zh-CN"/>
              </w:rPr>
              <w:t>设备</w:t>
            </w:r>
            <w:r>
              <w:rPr>
                <w:rFonts w:hint="eastAsia" w:asciiTheme="minorEastAsia" w:hAnsiTheme="minorEastAsia" w:eastAsiaTheme="minorEastAsia" w:cstheme="minorEastAsia"/>
                <w:color w:val="auto"/>
                <w:sz w:val="21"/>
                <w:szCs w:val="21"/>
              </w:rPr>
              <w:t>故障时处理方案等的描述及可</w:t>
            </w:r>
            <w:r>
              <w:rPr>
                <w:rFonts w:hint="eastAsia" w:asciiTheme="minorEastAsia" w:hAnsiTheme="minorEastAsia" w:eastAsiaTheme="minorEastAsia" w:cstheme="minorEastAsia"/>
                <w:color w:val="auto"/>
                <w:sz w:val="21"/>
                <w:szCs w:val="21"/>
                <w:lang w:eastAsia="zh-CN"/>
              </w:rPr>
              <w:t>行</w:t>
            </w:r>
            <w:r>
              <w:rPr>
                <w:rFonts w:hint="eastAsia" w:asciiTheme="minorEastAsia" w:hAnsiTheme="minorEastAsia" w:eastAsiaTheme="minorEastAsia" w:cstheme="minorEastAsia"/>
                <w:color w:val="auto"/>
                <w:sz w:val="21"/>
                <w:szCs w:val="21"/>
              </w:rPr>
              <w:t>性等进行评分，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356" w:type="pct"/>
            <w:vAlign w:val="center"/>
          </w:tcPr>
          <w:p>
            <w:pPr>
              <w:widowControl/>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394" w:type="pct"/>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4605" w:type="pct"/>
            <w:gridSpan w:val="3"/>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color w:val="auto"/>
          <w:szCs w:val="21"/>
        </w:rPr>
      </w:pPr>
      <w:bookmarkStart w:id="123" w:name="_Toc23609"/>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23"/>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24" w:name="_Toc2115"/>
      <w:r>
        <w:rPr>
          <w:rFonts w:hint="eastAsia" w:asciiTheme="minorEastAsia" w:hAnsiTheme="minorEastAsia" w:eastAsiaTheme="minorEastAsia" w:cstheme="minorEastAsia"/>
          <w:b/>
          <w:color w:val="auto"/>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b w:val="0"/>
          <w:color w:val="auto"/>
          <w:kern w:val="0"/>
          <w:szCs w:val="21"/>
        </w:rPr>
      </w:pPr>
      <w:bookmarkStart w:id="125" w:name="_Toc211783328"/>
      <w:bookmarkStart w:id="126" w:name="_Toc318643471"/>
      <w:bookmarkStart w:id="127" w:name="_Toc20360"/>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r>
        <w:rPr>
          <w:rFonts w:hint="eastAsia" w:asciiTheme="minorEastAsia" w:hAnsiTheme="minorEastAsia" w:eastAsiaTheme="minorEastAsia" w:cstheme="minorEastAsia"/>
          <w:color w:val="auto"/>
          <w:sz w:val="36"/>
          <w:szCs w:val="36"/>
        </w:rPr>
        <w:t>合同书</w:t>
      </w:r>
      <w:bookmarkEnd w:id="125"/>
      <w:bookmarkEnd w:id="126"/>
      <w:r>
        <w:rPr>
          <w:rFonts w:hint="eastAsia" w:asciiTheme="minorEastAsia" w:hAnsiTheme="minorEastAsia" w:eastAsiaTheme="minorEastAsia" w:cstheme="minorEastAsia"/>
          <w:color w:val="auto"/>
          <w:sz w:val="36"/>
          <w:szCs w:val="36"/>
          <w:lang w:val="en-US" w:eastAsia="zh-CN"/>
        </w:rPr>
        <w:t>格式</w:t>
      </w:r>
      <w:bookmarkEnd w:id="127"/>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（此合同书仅供签订正式合同时参考用，正式合同书应包括此参考格式之内容。）</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spacing w:line="360" w:lineRule="auto"/>
        <w:rPr>
          <w:rFonts w:hint="eastAsia" w:asciiTheme="minorEastAsia" w:hAnsiTheme="minorEastAsia" w:eastAsiaTheme="minorEastAsia" w:cstheme="minorEastAsia"/>
          <w:color w:val="auto"/>
          <w:sz w:val="21"/>
          <w:szCs w:val="21"/>
          <w:lang w:val="en-US" w:eastAsia="zh-CN"/>
        </w:rPr>
      </w:pPr>
      <w:bookmarkStart w:id="128" w:name="_Toc16771"/>
      <w:r>
        <w:rPr>
          <w:rFonts w:hint="eastAsia" w:asciiTheme="minorEastAsia" w:hAnsiTheme="minorEastAsia" w:eastAsiaTheme="minorEastAsia" w:cstheme="minorEastAsia"/>
          <w:color w:val="auto"/>
          <w:sz w:val="21"/>
          <w:szCs w:val="21"/>
        </w:rPr>
        <w:t>合同签订地点：</w:t>
      </w:r>
      <w:r>
        <w:rPr>
          <w:rFonts w:hint="eastAsia" w:asciiTheme="minorEastAsia" w:hAnsiTheme="minorEastAsia" w:eastAsiaTheme="minorEastAsia" w:cstheme="minorEastAsia"/>
          <w:color w:val="auto"/>
          <w:sz w:val="21"/>
          <w:szCs w:val="21"/>
          <w:u w:val="single"/>
          <w:lang w:val="en-US" w:eastAsia="zh-CN"/>
        </w:rPr>
        <w:t xml:space="preserve">  </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需求方：华中农业大学                   （以下简称甲方）</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供应方：                               （以下简称乙方）</w:t>
      </w:r>
    </w:p>
    <w:p>
      <w:pPr>
        <w:spacing w:line="360" w:lineRule="auto"/>
        <w:rPr>
          <w:rFonts w:hint="eastAsia" w:asciiTheme="minorEastAsia" w:hAnsiTheme="minorEastAsia" w:eastAsiaTheme="minorEastAsia" w:cstheme="minorEastAsia"/>
          <w:color w:val="auto"/>
          <w:sz w:val="21"/>
          <w:szCs w:val="21"/>
        </w:rPr>
      </w:pPr>
    </w:p>
    <w:p>
      <w:pPr>
        <w:pStyle w:val="12"/>
        <w:spacing w:line="360" w:lineRule="auto"/>
        <w:ind w:right="-153" w:rightChars="-7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依据学校集中采购（采购编号： ）结果</w:t>
      </w:r>
      <w:r>
        <w:rPr>
          <w:rFonts w:hint="eastAsia" w:asciiTheme="minorEastAsia" w:hAnsiTheme="minorEastAsia" w:eastAsiaTheme="minorEastAsia" w:cstheme="minorEastAsia"/>
          <w:i/>
          <w:color w:val="auto"/>
          <w:sz w:val="21"/>
          <w:szCs w:val="21"/>
        </w:rPr>
        <w:t>（非学校集中采购则删除）</w:t>
      </w:r>
      <w:r>
        <w:rPr>
          <w:rFonts w:hint="eastAsia" w:asciiTheme="minorEastAsia" w:hAnsiTheme="minorEastAsia" w:eastAsiaTheme="minorEastAsia" w:cstheme="minorEastAsia"/>
          <w:color w:val="auto"/>
          <w:sz w:val="21"/>
          <w:szCs w:val="21"/>
        </w:rPr>
        <w:t>，根据《中华人民共和国合同法》。为明确甲、乙双方责任，双方本着平等互利的原则，就甲方向乙方购买等的有关事项订立本合同。</w:t>
      </w:r>
    </w:p>
    <w:p>
      <w:pPr>
        <w:numPr>
          <w:ilvl w:val="0"/>
          <w:numId w:val="38"/>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产品名称、规格型号、厂家、数量、单价、金额见下表。</w:t>
      </w:r>
    </w:p>
    <w:tbl>
      <w:tblPr>
        <w:tblStyle w:val="27"/>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912"/>
        <w:gridCol w:w="2420"/>
        <w:gridCol w:w="1247"/>
        <w:gridCol w:w="813"/>
        <w:gridCol w:w="72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912" w:type="dxa"/>
            <w:vAlign w:val="center"/>
          </w:tcPr>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产品名称</w:t>
            </w:r>
          </w:p>
        </w:tc>
        <w:tc>
          <w:tcPr>
            <w:tcW w:w="2420"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规格型号及技术指标</w:t>
            </w:r>
          </w:p>
        </w:tc>
        <w:tc>
          <w:tcPr>
            <w:tcW w:w="1247"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生产厂家</w:t>
            </w:r>
          </w:p>
        </w:tc>
        <w:tc>
          <w:tcPr>
            <w:tcW w:w="813"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723"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单价</w:t>
            </w:r>
          </w:p>
        </w:tc>
        <w:tc>
          <w:tcPr>
            <w:tcW w:w="1182" w:type="dxa"/>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12" w:type="dxa"/>
            <w:vAlign w:val="center"/>
          </w:tcPr>
          <w:p>
            <w:pPr>
              <w:spacing w:line="360" w:lineRule="auto"/>
              <w:rPr>
                <w:rFonts w:hint="eastAsia" w:asciiTheme="minorEastAsia" w:hAnsiTheme="minorEastAsia" w:eastAsiaTheme="minorEastAsia" w:cstheme="minorEastAsia"/>
                <w:color w:val="auto"/>
                <w:sz w:val="21"/>
                <w:szCs w:val="21"/>
              </w:rPr>
            </w:pPr>
          </w:p>
        </w:tc>
        <w:tc>
          <w:tcPr>
            <w:tcW w:w="2420" w:type="dxa"/>
            <w:vAlign w:val="center"/>
          </w:tcPr>
          <w:p>
            <w:pPr>
              <w:spacing w:line="360" w:lineRule="auto"/>
              <w:rPr>
                <w:rFonts w:hint="eastAsia" w:asciiTheme="minorEastAsia" w:hAnsiTheme="minorEastAsia" w:eastAsiaTheme="minorEastAsia" w:cstheme="minorEastAsia"/>
                <w:color w:val="auto"/>
                <w:sz w:val="21"/>
                <w:szCs w:val="21"/>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813"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723" w:type="dxa"/>
            <w:vAlign w:val="center"/>
          </w:tcPr>
          <w:p>
            <w:pPr>
              <w:spacing w:line="360" w:lineRule="auto"/>
              <w:jc w:val="right"/>
              <w:rPr>
                <w:rFonts w:hint="eastAsia" w:asciiTheme="minorEastAsia" w:hAnsiTheme="minorEastAsia" w:eastAsiaTheme="minorEastAsia" w:cstheme="minorEastAsia"/>
                <w:color w:val="auto"/>
                <w:sz w:val="21"/>
                <w:szCs w:val="21"/>
              </w:rPr>
            </w:pPr>
          </w:p>
        </w:tc>
        <w:tc>
          <w:tcPr>
            <w:tcW w:w="1182" w:type="dxa"/>
            <w:vAlign w:val="center"/>
          </w:tcPr>
          <w:p>
            <w:pPr>
              <w:spacing w:line="360" w:lineRule="auto"/>
              <w:jc w:val="right"/>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912" w:type="dxa"/>
            <w:vAlign w:val="center"/>
          </w:tcPr>
          <w:p>
            <w:pPr>
              <w:spacing w:line="360" w:lineRule="auto"/>
              <w:rPr>
                <w:rFonts w:hint="eastAsia" w:asciiTheme="minorEastAsia" w:hAnsiTheme="minorEastAsia" w:eastAsiaTheme="minorEastAsia" w:cstheme="minorEastAsia"/>
                <w:color w:val="auto"/>
                <w:sz w:val="21"/>
                <w:szCs w:val="21"/>
              </w:rPr>
            </w:pPr>
          </w:p>
        </w:tc>
        <w:tc>
          <w:tcPr>
            <w:tcW w:w="2420" w:type="dxa"/>
            <w:vAlign w:val="center"/>
          </w:tcPr>
          <w:p>
            <w:pPr>
              <w:spacing w:line="360" w:lineRule="auto"/>
              <w:rPr>
                <w:rFonts w:hint="eastAsia" w:asciiTheme="minorEastAsia" w:hAnsiTheme="minorEastAsia" w:eastAsiaTheme="minorEastAsia" w:cstheme="minorEastAsia"/>
                <w:color w:val="auto"/>
                <w:sz w:val="21"/>
                <w:szCs w:val="21"/>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813"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723" w:type="dxa"/>
            <w:vAlign w:val="center"/>
          </w:tcPr>
          <w:p>
            <w:pPr>
              <w:spacing w:line="360" w:lineRule="auto"/>
              <w:jc w:val="right"/>
              <w:rPr>
                <w:rFonts w:hint="eastAsia" w:asciiTheme="minorEastAsia" w:hAnsiTheme="minorEastAsia" w:eastAsiaTheme="minorEastAsia" w:cstheme="minorEastAsia"/>
                <w:color w:val="auto"/>
                <w:sz w:val="21"/>
                <w:szCs w:val="21"/>
              </w:rPr>
            </w:pPr>
          </w:p>
        </w:tc>
        <w:tc>
          <w:tcPr>
            <w:tcW w:w="1182" w:type="dxa"/>
            <w:vAlign w:val="center"/>
          </w:tcPr>
          <w:p>
            <w:pPr>
              <w:spacing w:line="360" w:lineRule="auto"/>
              <w:jc w:val="right"/>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912" w:type="dxa"/>
            <w:vAlign w:val="center"/>
          </w:tcPr>
          <w:p>
            <w:pPr>
              <w:spacing w:line="360" w:lineRule="auto"/>
              <w:rPr>
                <w:rFonts w:hint="eastAsia" w:asciiTheme="minorEastAsia" w:hAnsiTheme="minorEastAsia" w:eastAsiaTheme="minorEastAsia" w:cstheme="minorEastAsia"/>
                <w:color w:val="auto"/>
                <w:sz w:val="21"/>
                <w:szCs w:val="21"/>
              </w:rPr>
            </w:pPr>
          </w:p>
        </w:tc>
        <w:tc>
          <w:tcPr>
            <w:tcW w:w="2420" w:type="dxa"/>
            <w:vAlign w:val="center"/>
          </w:tcPr>
          <w:p>
            <w:pPr>
              <w:spacing w:line="360" w:lineRule="auto"/>
              <w:rPr>
                <w:rFonts w:hint="eastAsia" w:asciiTheme="minorEastAsia" w:hAnsiTheme="minorEastAsia" w:eastAsiaTheme="minorEastAsia" w:cstheme="minorEastAsia"/>
                <w:color w:val="auto"/>
                <w:sz w:val="21"/>
                <w:szCs w:val="21"/>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813"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723" w:type="dxa"/>
            <w:vAlign w:val="center"/>
          </w:tcPr>
          <w:p>
            <w:pPr>
              <w:spacing w:line="360" w:lineRule="auto"/>
              <w:jc w:val="right"/>
              <w:rPr>
                <w:rFonts w:hint="eastAsia" w:asciiTheme="minorEastAsia" w:hAnsiTheme="minorEastAsia" w:eastAsiaTheme="minorEastAsia" w:cstheme="minorEastAsia"/>
                <w:color w:val="auto"/>
                <w:sz w:val="21"/>
                <w:szCs w:val="21"/>
              </w:rPr>
            </w:pPr>
          </w:p>
        </w:tc>
        <w:tc>
          <w:tcPr>
            <w:tcW w:w="1182" w:type="dxa"/>
            <w:vAlign w:val="center"/>
          </w:tcPr>
          <w:p>
            <w:pPr>
              <w:spacing w:line="360" w:lineRule="auto"/>
              <w:jc w:val="right"/>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912" w:type="dxa"/>
            <w:vAlign w:val="center"/>
          </w:tcPr>
          <w:p>
            <w:pPr>
              <w:spacing w:line="360" w:lineRule="auto"/>
              <w:rPr>
                <w:rFonts w:hint="eastAsia" w:asciiTheme="minorEastAsia" w:hAnsiTheme="minorEastAsia" w:eastAsiaTheme="minorEastAsia" w:cstheme="minorEastAsia"/>
                <w:color w:val="auto"/>
                <w:sz w:val="21"/>
                <w:szCs w:val="21"/>
              </w:rPr>
            </w:pPr>
          </w:p>
        </w:tc>
        <w:tc>
          <w:tcPr>
            <w:tcW w:w="2420" w:type="dxa"/>
            <w:vAlign w:val="center"/>
          </w:tcPr>
          <w:p>
            <w:pPr>
              <w:spacing w:line="360" w:lineRule="auto"/>
              <w:rPr>
                <w:rFonts w:hint="eastAsia" w:asciiTheme="minorEastAsia" w:hAnsiTheme="minorEastAsia" w:eastAsiaTheme="minorEastAsia" w:cstheme="minorEastAsia"/>
                <w:color w:val="auto"/>
                <w:sz w:val="21"/>
                <w:szCs w:val="21"/>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813" w:type="dxa"/>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723" w:type="dxa"/>
            <w:vAlign w:val="center"/>
          </w:tcPr>
          <w:p>
            <w:pPr>
              <w:spacing w:line="360" w:lineRule="auto"/>
              <w:jc w:val="right"/>
              <w:rPr>
                <w:rFonts w:hint="eastAsia" w:asciiTheme="minorEastAsia" w:hAnsiTheme="minorEastAsia" w:eastAsiaTheme="minorEastAsia" w:cstheme="minorEastAsia"/>
                <w:color w:val="auto"/>
                <w:sz w:val="21"/>
                <w:szCs w:val="21"/>
              </w:rPr>
            </w:pPr>
          </w:p>
        </w:tc>
        <w:tc>
          <w:tcPr>
            <w:tcW w:w="1182" w:type="dxa"/>
            <w:vAlign w:val="center"/>
          </w:tcPr>
          <w:p>
            <w:pPr>
              <w:spacing w:line="360" w:lineRule="auto"/>
              <w:jc w:val="right"/>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434" w:type="dxa"/>
            <w:gridSpan w:val="2"/>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   计</w:t>
            </w:r>
          </w:p>
        </w:tc>
        <w:tc>
          <w:tcPr>
            <w:tcW w:w="6385" w:type="dxa"/>
            <w:gridSpan w:val="5"/>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人民币元整(</w:t>
            </w:r>
            <w:r>
              <w:rPr>
                <w:rFonts w:hint="eastAsia" w:asciiTheme="minorEastAsia" w:hAnsiTheme="minorEastAsia" w:eastAsiaTheme="minorEastAsia" w:cstheme="minorEastAsia"/>
                <w:color w:val="auto"/>
                <w:sz w:val="21"/>
                <w:szCs w:val="21"/>
                <w:u w:val="single"/>
              </w:rPr>
              <w:t>￥   .00</w:t>
            </w:r>
            <w:r>
              <w:rPr>
                <w:rFonts w:hint="eastAsia" w:asciiTheme="minorEastAsia" w:hAnsiTheme="minorEastAsia" w:eastAsiaTheme="minorEastAsia" w:cstheme="minorEastAsia"/>
                <w:color w:val="auto"/>
                <w:sz w:val="21"/>
                <w:szCs w:val="21"/>
              </w:rPr>
              <w:t>)</w:t>
            </w:r>
          </w:p>
        </w:tc>
      </w:tr>
    </w:tbl>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注：配置、性能、功能等指标见附件</w:t>
      </w:r>
      <w:r>
        <w:rPr>
          <w:rFonts w:hint="eastAsia" w:asciiTheme="minorEastAsia" w:hAnsiTheme="minorEastAsia" w:eastAsiaTheme="minorEastAsia" w:cstheme="minorEastAsia"/>
          <w:i/>
          <w:color w:val="auto"/>
          <w:sz w:val="21"/>
          <w:szCs w:val="21"/>
        </w:rPr>
        <w:t>（如无则删除）</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二．产品的质量要求和技术标准按国家或双方认可的产品技术标准。</w:t>
      </w:r>
    </w:p>
    <w:p>
      <w:pPr>
        <w:tabs>
          <w:tab w:val="left" w:pos="-105"/>
          <w:tab w:val="left" w:pos="540"/>
        </w:tabs>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三、合同金额</w:t>
      </w:r>
    </w:p>
    <w:p>
      <w:pPr>
        <w:tabs>
          <w:tab w:val="left" w:pos="-105"/>
          <w:tab w:val="left" w:pos="540"/>
        </w:tabs>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合同总金额为：人民币元整(￥</w:t>
      </w:r>
      <w:r>
        <w:rPr>
          <w:rFonts w:hint="eastAsia" w:asciiTheme="minorEastAsia" w:hAnsiTheme="minorEastAsia" w:eastAsiaTheme="minorEastAsia" w:cstheme="minorEastAsia"/>
          <w:color w:val="auto"/>
          <w:sz w:val="21"/>
          <w:szCs w:val="21"/>
          <w:u w:val="single"/>
        </w:rPr>
        <w:t xml:space="preserve">     .00</w:t>
      </w:r>
      <w:r>
        <w:rPr>
          <w:rFonts w:hint="eastAsia" w:asciiTheme="minorEastAsia" w:hAnsiTheme="minorEastAsia" w:eastAsiaTheme="minorEastAsia" w:cstheme="minorEastAsia"/>
          <w:color w:val="auto"/>
          <w:sz w:val="21"/>
          <w:szCs w:val="21"/>
        </w:rPr>
        <w:t>)。</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四、履约保证金及付款方式：采用以下方式 。</w:t>
      </w:r>
    </w:p>
    <w:p>
      <w:pPr>
        <w:tabs>
          <w:tab w:val="left" w:pos="-105"/>
          <w:tab w:val="left" w:pos="540"/>
        </w:tabs>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 1 \* GB3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①</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无履约保证金，经甲方验收合格并收到乙方发票后</w:t>
      </w:r>
      <w:r>
        <w:rPr>
          <w:rFonts w:hint="eastAsia" w:asciiTheme="minorEastAsia" w:hAnsiTheme="minorEastAsia" w:eastAsiaTheme="minorEastAsia" w:cstheme="minorEastAsia"/>
          <w:color w:val="auto"/>
          <w:sz w:val="21"/>
          <w:szCs w:val="21"/>
          <w:u w:val="single"/>
        </w:rPr>
        <w:t xml:space="preserve">  10  </w:t>
      </w:r>
      <w:r>
        <w:rPr>
          <w:rFonts w:hint="eastAsia" w:asciiTheme="minorEastAsia" w:hAnsiTheme="minorEastAsia" w:eastAsiaTheme="minorEastAsia" w:cstheme="minorEastAsia"/>
          <w:color w:val="auto"/>
          <w:sz w:val="21"/>
          <w:szCs w:val="21"/>
        </w:rPr>
        <w:t>天内，甲方向乙方支付合同总金额的100%，计人民币元整（￥</w:t>
      </w:r>
      <w:r>
        <w:rPr>
          <w:rFonts w:hint="eastAsia" w:asciiTheme="minorEastAsia" w:hAnsiTheme="minorEastAsia" w:eastAsiaTheme="minorEastAsia" w:cstheme="minorEastAsia"/>
          <w:color w:val="auto"/>
          <w:sz w:val="21"/>
          <w:szCs w:val="21"/>
          <w:u w:val="single"/>
        </w:rPr>
        <w:t xml:space="preserve">  .00</w:t>
      </w:r>
      <w:r>
        <w:rPr>
          <w:rFonts w:hint="eastAsia" w:asciiTheme="minorEastAsia" w:hAnsiTheme="minorEastAsia" w:eastAsiaTheme="minorEastAsia" w:cstheme="minorEastAsia"/>
          <w:color w:val="auto"/>
          <w:sz w:val="21"/>
          <w:szCs w:val="21"/>
        </w:rPr>
        <w:t>）。</w:t>
      </w:r>
    </w:p>
    <w:p>
      <w:pPr>
        <w:tabs>
          <w:tab w:val="left" w:pos="-105"/>
          <w:tab w:val="left" w:pos="540"/>
        </w:tabs>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 2 \* GB3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②</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履约保证金：合同签订前，乙方向甲方支付合同总额的5%，计人民币元整（￥</w:t>
      </w:r>
      <w:r>
        <w:rPr>
          <w:rFonts w:hint="eastAsia" w:asciiTheme="minorEastAsia" w:hAnsiTheme="minorEastAsia" w:eastAsiaTheme="minorEastAsia" w:cstheme="minorEastAsia"/>
          <w:color w:val="auto"/>
          <w:sz w:val="21"/>
          <w:szCs w:val="21"/>
          <w:u w:val="single"/>
        </w:rPr>
        <w:t xml:space="preserve">  .00</w:t>
      </w:r>
      <w:r>
        <w:rPr>
          <w:rFonts w:hint="eastAsia" w:asciiTheme="minorEastAsia" w:hAnsiTheme="minorEastAsia" w:eastAsiaTheme="minorEastAsia" w:cstheme="minorEastAsia"/>
          <w:color w:val="auto"/>
          <w:sz w:val="21"/>
          <w:szCs w:val="21"/>
        </w:rPr>
        <w:t>）作为履约保证金，自验收合格之日起自动转为质量保证金。</w:t>
      </w:r>
    </w:p>
    <w:p>
      <w:pPr>
        <w:tabs>
          <w:tab w:val="left" w:pos="-105"/>
          <w:tab w:val="left" w:pos="540"/>
        </w:tabs>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付款方式：经甲方验收合格并收到乙方发票后</w:t>
      </w:r>
      <w:r>
        <w:rPr>
          <w:rFonts w:hint="eastAsia" w:asciiTheme="minorEastAsia" w:hAnsiTheme="minorEastAsia" w:eastAsiaTheme="minorEastAsia" w:cstheme="minorEastAsia"/>
          <w:color w:val="auto"/>
          <w:sz w:val="21"/>
          <w:szCs w:val="21"/>
          <w:u w:val="single"/>
        </w:rPr>
        <w:t xml:space="preserve">  10  </w:t>
      </w:r>
      <w:r>
        <w:rPr>
          <w:rFonts w:hint="eastAsia" w:asciiTheme="minorEastAsia" w:hAnsiTheme="minorEastAsia" w:eastAsiaTheme="minorEastAsia" w:cstheme="minorEastAsia"/>
          <w:color w:val="auto"/>
          <w:sz w:val="21"/>
          <w:szCs w:val="21"/>
        </w:rPr>
        <w:t>天内，甲方向乙方支付合同总金额的100%，计人民币元整（￥</w:t>
      </w:r>
      <w:r>
        <w:rPr>
          <w:rFonts w:hint="eastAsia" w:asciiTheme="minorEastAsia" w:hAnsiTheme="minorEastAsia" w:eastAsiaTheme="minorEastAsia" w:cstheme="minorEastAsia"/>
          <w:color w:val="auto"/>
          <w:sz w:val="21"/>
          <w:szCs w:val="21"/>
          <w:u w:val="single"/>
        </w:rPr>
        <w:t xml:space="preserve">  .00</w:t>
      </w:r>
      <w:r>
        <w:rPr>
          <w:rFonts w:hint="eastAsia" w:asciiTheme="minorEastAsia" w:hAnsiTheme="minorEastAsia" w:eastAsiaTheme="minorEastAsia" w:cstheme="minorEastAsia"/>
          <w:color w:val="auto"/>
          <w:sz w:val="21"/>
          <w:szCs w:val="21"/>
        </w:rPr>
        <w:t>）；货物验收合格后安全运行一年（自验收合格之日起计算），如无质量及售后服务等其他违约事项，甲方向乙方无息退还质量保证金。</w:t>
      </w:r>
    </w:p>
    <w:p>
      <w:pPr>
        <w:tabs>
          <w:tab w:val="left" w:pos="3060"/>
        </w:tabs>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五．到货及培训：</w:t>
      </w:r>
    </w:p>
    <w:p>
      <w:pPr>
        <w:tabs>
          <w:tab w:val="left" w:pos="3060"/>
        </w:tabs>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乙方于年月日前将货运到甲方指定地点（具体时间以甲方通知为准），乙方负责产品的安装调试以及技术支持，并对甲方操作（管理）人员进行必要的技术培训和操作指导，保证产品能正常运行。</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六．质保期和售后服务：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（1）从甲方验收合格之日起年。质保期内，乙方为甲方提供免费服务和免费更换（人为损坏除外）。</w:t>
      </w:r>
    </w:p>
    <w:p>
      <w:pPr>
        <w:tabs>
          <w:tab w:val="left" w:pos="3060"/>
        </w:tabs>
        <w:spacing w:line="360" w:lineRule="auto"/>
        <w:ind w:firstLine="420" w:firstLineChars="20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售后服务联系人及联系电话：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（2）若产品出现故障，乙方应在接到通知后小时内到现场提供服务。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（3）质保期后，若产品出现故障，乙方应提供维修服务，只收材料成本费。</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（4）其他服务：</w:t>
      </w:r>
      <w:r>
        <w:rPr>
          <w:rFonts w:hint="eastAsia" w:asciiTheme="minorEastAsia" w:hAnsiTheme="minorEastAsia" w:eastAsiaTheme="minorEastAsia" w:cstheme="minorEastAsia"/>
          <w:i/>
          <w:color w:val="auto"/>
          <w:sz w:val="21"/>
          <w:szCs w:val="21"/>
        </w:rPr>
        <w:t>（如没有则写无）</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七．甲方的责任和义务：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（1）产品运抵甲方指定地点后，应立即组织人员对货物进行清点、签收。</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（2）甲方收到产品时，如发现产品规格、型号、数量不符时，应及时通知乙方并要求乙方按要求更换或补充。</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（3）产品正常运行</w:t>
      </w:r>
      <w:r>
        <w:rPr>
          <w:rFonts w:hint="eastAsia" w:asciiTheme="minorEastAsia" w:hAnsiTheme="minorEastAsia" w:eastAsiaTheme="minorEastAsia" w:cstheme="minorEastAsia"/>
          <w:color w:val="auto"/>
          <w:sz w:val="21"/>
          <w:szCs w:val="21"/>
          <w:u w:val="single"/>
        </w:rPr>
        <w:t>10</w:t>
      </w:r>
      <w:r>
        <w:rPr>
          <w:rFonts w:hint="eastAsia" w:asciiTheme="minorEastAsia" w:hAnsiTheme="minorEastAsia" w:eastAsiaTheme="minorEastAsia" w:cstheme="minorEastAsia"/>
          <w:color w:val="auto"/>
          <w:sz w:val="21"/>
          <w:szCs w:val="21"/>
        </w:rPr>
        <w:t>天后由甲方组织验收。</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（4）按合同按时支付约定的费用。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八．乙方的责任和义务：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（1）按合同要求，按时提供全新完好的产品，否则应向甲方全额赔偿损失。</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（2）在产品运抵甲方指定交货地点前三天通知甲方。</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（3）负责对甲方人员进行操作培训，使其达到熟练操作的水平，并提供操作手册、专用工具等；</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（4）应长期提供技术咨询服务。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（5）其他承诺：</w:t>
      </w:r>
      <w:r>
        <w:rPr>
          <w:rFonts w:hint="eastAsia" w:asciiTheme="minorEastAsia" w:hAnsiTheme="minorEastAsia" w:eastAsiaTheme="minorEastAsia" w:cstheme="minorEastAsia"/>
          <w:i/>
          <w:color w:val="auto"/>
          <w:sz w:val="21"/>
          <w:szCs w:val="21"/>
        </w:rPr>
        <w:t>（如没有则写无）</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九．违约责任：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 甲方无正当理由拒收货物的，应向乙方支付合同总价款10% 的违约金。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 甲方逾期付款的，每逾期一日应向乙方支付未付款项的0.03%/日的违约金。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 乙方逾期交付货物给甲方的，每逾期一日应按逾期交付部分总价的 0.03%/日 计算向甲方支付违约金。如乙方逾期30天仍未交齐货物或者交付货物不合格的，甲方有权终止合同，乙方应按合同总价的10%计算向甲方支付违约金，并全额退还甲方已付给乙方的钱款及其利息。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乙方交付货物的质量、规格，性能、技术指标及配置不符合合同或合同附件约定的，甲方有权向乙方提出更换货物及索赔，乙方应在甲方提出之日起的日内免费更换合格的货物，由此造成的时间延误视作乙方逾期交付，按本合同第八条第3款处理。 如经两次更换，货物质量仍不符合规定的，甲方有权终止合同，乙方应向甲方返还已付款项，并按合同总价的10%向甲方支付违约金，造成甲方经济损失的，还需赔偿甲方的直接经济损失。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10%向甲方支付违约金并赔偿因此给甲方造成的一切损失，包括但不限于因第三人向甲方主张权利而发生的全部诉讼费、律师费、差旅费、邮件费、公告费、鉴定和调查取证等费用。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十．其他条款：</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（1）本合同未尽事宜，经双方协商，签订补充协议，其补充协议与本合同有同等法律效力。</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（2）本合同附件作为合同的有效组成部分，具有同等法律效力。</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（3）本合同如发生纠纷，甲乙双方应积极协商，协商不成时，任何一方可向甲方所在地法院起诉。</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（4）本合同一式五份，甲方执四份，乙方执一份，具有同等法律效力。</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（5）本合同经双方签字盖章之日起生效。</w:t>
      </w:r>
    </w:p>
    <w:p>
      <w:pPr>
        <w:spacing w:line="360" w:lineRule="auto"/>
        <w:rPr>
          <w:rFonts w:hint="eastAsia" w:asciiTheme="minorEastAsia" w:hAnsiTheme="minorEastAsia" w:eastAsiaTheme="minorEastAsia" w:cstheme="minorEastAsia"/>
          <w:color w:val="auto"/>
          <w:sz w:val="21"/>
          <w:szCs w:val="21"/>
        </w:rPr>
      </w:pP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甲方：华中农业大学（盖章）          乙方：（盖章）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                        法定代表人：</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r>
        <w:rPr>
          <w:rFonts w:hint="eastAsia" w:asciiTheme="minorEastAsia" w:hAnsiTheme="minorEastAsia" w:eastAsiaTheme="minorEastAsia" w:cstheme="minorEastAsia"/>
          <w:i/>
          <w:color w:val="auto"/>
          <w:sz w:val="21"/>
          <w:szCs w:val="21"/>
        </w:rPr>
        <w:t>（签字）</w:t>
      </w:r>
      <w:r>
        <w:rPr>
          <w:rFonts w:hint="eastAsia" w:asciiTheme="minorEastAsia" w:hAnsiTheme="minorEastAsia" w:eastAsiaTheme="minorEastAsia" w:cstheme="minorEastAsia"/>
          <w:color w:val="auto"/>
          <w:sz w:val="21"/>
          <w:szCs w:val="21"/>
        </w:rPr>
        <w:t xml:space="preserve">                委托代理人：</w:t>
      </w:r>
      <w:r>
        <w:rPr>
          <w:rFonts w:hint="eastAsia" w:asciiTheme="minorEastAsia" w:hAnsiTheme="minorEastAsia" w:eastAsiaTheme="minorEastAsia" w:cstheme="minorEastAsia"/>
          <w:i/>
          <w:color w:val="auto"/>
          <w:sz w:val="21"/>
          <w:szCs w:val="21"/>
        </w:rPr>
        <w:t>（签字）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                          联系方式：</w:t>
      </w:r>
    </w:p>
    <w:p>
      <w:pPr>
        <w:spacing w:line="360" w:lineRule="auto"/>
        <w:ind w:firstLine="420" w:firstLineChars="200"/>
        <w:rPr>
          <w:rFonts w:hint="eastAsia" w:asciiTheme="minorEastAsia" w:hAnsiTheme="minorEastAsia" w:eastAsiaTheme="minorEastAsia" w:cstheme="minorEastAsia"/>
          <w:color w:val="auto"/>
          <w:sz w:val="21"/>
          <w:szCs w:val="21"/>
        </w:rPr>
      </w:pPr>
    </w:p>
    <w:p>
      <w:pPr>
        <w:spacing w:line="360" w:lineRule="auto"/>
        <w:rPr>
          <w:rFonts w:hint="eastAsia" w:asciiTheme="minorEastAsia" w:hAnsiTheme="minorEastAsia" w:eastAsiaTheme="minorEastAsia" w:cstheme="minorEastAsia"/>
          <w:color w:val="auto"/>
          <w:sz w:val="21"/>
          <w:szCs w:val="21"/>
        </w:rPr>
        <w:sectPr>
          <w:footerReference r:id="rId7" w:type="default"/>
          <w:type w:val="continuous"/>
          <w:pgSz w:w="11906" w:h="16838"/>
          <w:pgMar w:top="1440" w:right="1080" w:bottom="1440" w:left="1080" w:header="851" w:footer="992" w:gutter="0"/>
          <w:cols w:space="720" w:num="1"/>
          <w:docGrid w:type="lines" w:linePitch="312" w:charSpace="0"/>
        </w:sectPr>
      </w:pPr>
      <w:r>
        <w:rPr>
          <w:rFonts w:hint="eastAsia" w:asciiTheme="minorEastAsia" w:hAnsiTheme="minorEastAsia" w:eastAsiaTheme="minorEastAsia" w:cstheme="minorEastAsia"/>
          <w:color w:val="auto"/>
          <w:sz w:val="21"/>
          <w:szCs w:val="21"/>
        </w:rPr>
        <w:t xml:space="preserve">           年    月    日                        年    月    日</w:t>
      </w:r>
    </w:p>
    <w:p>
      <w:pP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r>
        <w:rPr>
          <w:rFonts w:hint="eastAsia" w:asciiTheme="minorEastAsia" w:hAnsiTheme="minorEastAsia" w:eastAsiaTheme="minorEastAsia" w:cstheme="minorEastAsia"/>
          <w:b/>
          <w:bCs/>
          <w:color w:val="auto"/>
          <w:sz w:val="30"/>
          <w:szCs w:val="30"/>
          <w:u w:val="none"/>
        </w:rPr>
        <w:t xml:space="preserve">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29" w:name="_Toc23858"/>
      <w:bookmarkStart w:id="130"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31" w:name="_Toc264644272"/>
      <w:bookmarkStart w:id="132" w:name="_Toc360174584"/>
      <w:bookmarkStart w:id="133" w:name="_Toc533330957"/>
      <w:bookmarkStart w:id="134" w:name="_Toc11320441"/>
      <w:bookmarkStart w:id="135" w:name="_Toc211783342"/>
      <w:bookmarkStart w:id="136" w:name="_Toc533331084"/>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color w:val="auto"/>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rPr>
        <w:t>一</w:t>
      </w:r>
      <w:r>
        <w:rPr>
          <w:rFonts w:hint="eastAsia" w:asciiTheme="minorEastAsia" w:hAnsiTheme="minorEastAsia" w:eastAsiaTheme="minorEastAsia" w:cstheme="minorEastAsia"/>
          <w:b w:val="0"/>
          <w:bCs/>
          <w:color w:val="auto"/>
          <w:lang w:eastAsia="zh-CN"/>
        </w:rPr>
        <w:t>、</w:t>
      </w:r>
      <w:r>
        <w:rPr>
          <w:rFonts w:hint="eastAsia" w:asciiTheme="minorEastAsia" w:hAnsiTheme="minorEastAsia" w:eastAsiaTheme="minorEastAsia" w:cstheme="minorEastAsia"/>
          <w:b w:val="0"/>
          <w:bCs/>
          <w:color w:val="auto"/>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lang w:val="en-US" w:eastAsia="zh-CN"/>
        </w:rPr>
        <w:t>二</w:t>
      </w:r>
      <w:r>
        <w:rPr>
          <w:rFonts w:hint="eastAsia" w:asciiTheme="minorEastAsia" w:hAnsiTheme="minorEastAsia" w:eastAsiaTheme="minorEastAsia" w:cstheme="minorEastAsia"/>
          <w:b w:val="0"/>
          <w:bCs/>
          <w:color w:val="auto"/>
        </w:rPr>
        <w:t>、磋商书</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lang w:val="en-US" w:eastAsia="zh-CN"/>
        </w:rPr>
        <w:t>三</w:t>
      </w:r>
      <w:r>
        <w:rPr>
          <w:rFonts w:hint="eastAsia" w:asciiTheme="minorEastAsia" w:hAnsiTheme="minorEastAsia" w:eastAsiaTheme="minorEastAsia" w:cstheme="minorEastAsia"/>
          <w:b w:val="0"/>
          <w:bCs/>
          <w:color w:val="auto"/>
        </w:rPr>
        <w:t>、法定代表人授权书</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kern w:val="0"/>
          <w:szCs w:val="21"/>
          <w:lang w:val="en-US" w:eastAsia="zh-CN"/>
        </w:rPr>
        <w:t>三</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法定代表人身份证明书</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四</w:t>
      </w:r>
      <w:r>
        <w:rPr>
          <w:rFonts w:hint="eastAsia" w:asciiTheme="minorEastAsia" w:hAnsiTheme="minorEastAsia" w:eastAsiaTheme="minorEastAsia" w:cstheme="minorEastAsia"/>
          <w:b w:val="0"/>
          <w:bCs/>
          <w:color w:val="auto"/>
          <w:szCs w:val="21"/>
        </w:rPr>
        <w:t>、报价一览表</w:t>
      </w:r>
      <w:r>
        <w:rPr>
          <w:rFonts w:hint="eastAsia" w:asciiTheme="minorEastAsia" w:hAnsiTheme="minorEastAsia" w:eastAsiaTheme="minorEastAsia" w:cstheme="minorEastAsia"/>
          <w:b w:val="0"/>
          <w:bCs/>
          <w:color w:val="auto"/>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lang w:val="en-US" w:eastAsia="zh-CN"/>
        </w:rPr>
        <w:t>五</w:t>
      </w:r>
      <w:r>
        <w:rPr>
          <w:rFonts w:hint="eastAsia" w:asciiTheme="minorEastAsia" w:hAnsiTheme="minorEastAsia" w:eastAsiaTheme="minorEastAsia" w:cstheme="minorEastAsia"/>
          <w:b w:val="0"/>
          <w:bCs/>
          <w:color w:val="auto"/>
          <w:szCs w:val="21"/>
        </w:rPr>
        <w:t>、报价费用构成表</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w:t>
      </w:r>
      <w:r>
        <w:rPr>
          <w:rFonts w:hint="eastAsia" w:asciiTheme="minorEastAsia" w:hAnsiTheme="minorEastAsia" w:eastAsiaTheme="minorEastAsia" w:cstheme="minorEastAsia"/>
          <w:b w:val="0"/>
          <w:bCs/>
          <w:color w:val="auto"/>
          <w:szCs w:val="21"/>
          <w:lang w:eastAsia="zh-CN"/>
        </w:rPr>
        <w:t>（</w:t>
      </w:r>
      <w:r>
        <w:rPr>
          <w:rFonts w:hint="eastAsia" w:asciiTheme="minorEastAsia" w:hAnsiTheme="minorEastAsia" w:eastAsiaTheme="minorEastAsia" w:cstheme="minorEastAsia"/>
          <w:b w:val="0"/>
          <w:bCs/>
          <w:color w:val="auto"/>
          <w:szCs w:val="21"/>
          <w:lang w:val="en-US" w:eastAsia="zh-CN"/>
        </w:rPr>
        <w:t>如有</w:t>
      </w:r>
      <w:r>
        <w:rPr>
          <w:rFonts w:hint="eastAsia" w:asciiTheme="minorEastAsia" w:hAnsiTheme="minorEastAsia" w:eastAsiaTheme="minorEastAsia" w:cstheme="minorEastAsia"/>
          <w:b w:val="0"/>
          <w:bCs/>
          <w:color w:val="auto"/>
          <w:szCs w:val="21"/>
          <w:lang w:eastAsia="zh-CN"/>
        </w:rPr>
        <w:t>）</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color w:val="auto"/>
          <w:szCs w:val="21"/>
          <w:lang w:val="en-US" w:eastAsia="zh-CN"/>
        </w:rPr>
        <w:t>九</w:t>
      </w:r>
      <w:r>
        <w:rPr>
          <w:rFonts w:hint="eastAsia" w:asciiTheme="minorEastAsia" w:hAnsiTheme="minorEastAsia" w:eastAsiaTheme="minorEastAsia" w:cstheme="minorEastAsia"/>
          <w:b w:val="0"/>
          <w:bCs/>
          <w:color w:val="auto"/>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十</w:t>
      </w:r>
      <w:r>
        <w:rPr>
          <w:rFonts w:hint="eastAsia" w:asciiTheme="minorEastAsia" w:hAnsiTheme="minorEastAsia" w:eastAsiaTheme="minorEastAsia" w:cstheme="minorEastAsia"/>
          <w:b w:val="0"/>
          <w:bCs/>
          <w:color w:val="auto"/>
          <w:szCs w:val="21"/>
          <w:lang w:val="en-US" w:eastAsia="zh-CN"/>
        </w:rPr>
        <w:t>一</w:t>
      </w:r>
      <w:r>
        <w:rPr>
          <w:rFonts w:hint="eastAsia" w:asciiTheme="minorEastAsia" w:hAnsiTheme="minorEastAsia" w:eastAsiaTheme="minorEastAsia" w:cstheme="minorEastAsia"/>
          <w:b w:val="0"/>
          <w:bCs/>
          <w:color w:val="auto"/>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kern w:val="0"/>
          <w:szCs w:val="21"/>
          <w:lang w:val="en-US" w:eastAsia="zh-CN"/>
        </w:rPr>
        <w:t>二</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kern w:val="0"/>
          <w:szCs w:val="21"/>
          <w:lang w:val="en-US" w:eastAsia="zh-CN"/>
        </w:rPr>
        <w:t>三</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资格证明文件</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rPr>
        <w:t>十</w:t>
      </w:r>
      <w:r>
        <w:rPr>
          <w:rFonts w:hint="eastAsia" w:asciiTheme="minorEastAsia" w:hAnsiTheme="minorEastAsia" w:eastAsiaTheme="minorEastAsia" w:cstheme="minorEastAsia"/>
          <w:b w:val="0"/>
          <w:bCs/>
          <w:color w:val="auto"/>
          <w:szCs w:val="21"/>
          <w:lang w:val="en-US" w:eastAsia="zh-CN"/>
        </w:rPr>
        <w:t>四</w:t>
      </w:r>
      <w:r>
        <w:rPr>
          <w:rFonts w:hint="eastAsia" w:asciiTheme="minorEastAsia" w:hAnsiTheme="minorEastAsia" w:eastAsiaTheme="minorEastAsia" w:cstheme="minorEastAsia"/>
          <w:b w:val="0"/>
          <w:bCs/>
          <w:color w:val="auto"/>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rPr>
        <w:t>十</w:t>
      </w:r>
      <w:r>
        <w:rPr>
          <w:rFonts w:hint="eastAsia" w:asciiTheme="minorEastAsia" w:hAnsiTheme="minorEastAsia" w:eastAsiaTheme="minorEastAsia" w:cstheme="minorEastAsia"/>
          <w:b w:val="0"/>
          <w:bCs/>
          <w:color w:val="auto"/>
          <w:lang w:val="en-US" w:eastAsia="zh-CN"/>
        </w:rPr>
        <w:t>五</w:t>
      </w:r>
      <w:r>
        <w:rPr>
          <w:rFonts w:hint="eastAsia" w:asciiTheme="minorEastAsia" w:hAnsiTheme="minorEastAsia" w:eastAsiaTheme="minorEastAsia" w:cstheme="minorEastAsia"/>
          <w:b w:val="0"/>
          <w:bCs/>
          <w:color w:val="auto"/>
        </w:rPr>
        <w:t>、中小企业声明函</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lang w:val="en-US" w:eastAsia="zh-CN"/>
        </w:rPr>
        <w:t>十六、监狱企业证明文件</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p>
    <w:p>
      <w:pPr>
        <w:spacing w:line="360" w:lineRule="auto"/>
        <w:jc w:val="left"/>
        <w:outlineLvl w:val="9"/>
        <w:rPr>
          <w:rFonts w:hint="eastAsia" w:asciiTheme="minorEastAsia" w:hAnsiTheme="minorEastAsia" w:eastAsiaTheme="minorEastAsia" w:cstheme="minorEastAsia"/>
          <w:b w:val="0"/>
          <w:bCs/>
          <w:color w:val="auto"/>
          <w:spacing w:val="6"/>
          <w:szCs w:val="21"/>
        </w:rPr>
      </w:pPr>
      <w:r>
        <w:rPr>
          <w:rFonts w:hint="eastAsia" w:asciiTheme="minorEastAsia" w:hAnsiTheme="minorEastAsia" w:eastAsiaTheme="minorEastAsia" w:cstheme="minorEastAsia"/>
          <w:b w:val="0"/>
          <w:bCs/>
          <w:color w:val="auto"/>
          <w:lang w:val="en-US" w:eastAsia="zh-CN"/>
        </w:rPr>
        <w:t>十七</w:t>
      </w:r>
      <w:r>
        <w:rPr>
          <w:rFonts w:hint="eastAsia" w:asciiTheme="minorEastAsia" w:hAnsiTheme="minorEastAsia" w:eastAsiaTheme="minorEastAsia" w:cstheme="minorEastAsia"/>
          <w:b w:val="0"/>
          <w:bCs/>
          <w:color w:val="auto"/>
        </w:rPr>
        <w:t>、</w:t>
      </w:r>
      <w:r>
        <w:rPr>
          <w:rFonts w:hint="eastAsia" w:asciiTheme="minorEastAsia" w:hAnsiTheme="minorEastAsia" w:eastAsiaTheme="minorEastAsia" w:cstheme="minorEastAsia"/>
          <w:b w:val="0"/>
          <w:bCs/>
          <w:color w:val="auto"/>
          <w:lang w:val="zh-CN"/>
        </w:rPr>
        <w:t>残疾人福利性单位声明函（若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lang w:val="en-US" w:eastAsia="zh-CN"/>
        </w:rPr>
        <w:t>十八、节能环保产品证明材料</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spacing w:val="6"/>
          <w:szCs w:val="21"/>
          <w:lang w:val="en-US" w:eastAsia="zh-CN"/>
        </w:rPr>
        <w:t>十九</w:t>
      </w:r>
      <w:r>
        <w:rPr>
          <w:rFonts w:hint="eastAsia" w:asciiTheme="minorEastAsia" w:hAnsiTheme="minorEastAsia" w:eastAsiaTheme="minorEastAsia" w:cstheme="minorEastAsia"/>
          <w:b w:val="0"/>
          <w:bCs/>
          <w:color w:val="auto"/>
          <w:spacing w:val="6"/>
          <w:szCs w:val="21"/>
        </w:rPr>
        <w:t>、</w:t>
      </w:r>
      <w:r>
        <w:rPr>
          <w:rFonts w:hint="eastAsia" w:asciiTheme="minorEastAsia" w:hAnsiTheme="minorEastAsia" w:eastAsiaTheme="minorEastAsia" w:cstheme="minorEastAsia"/>
          <w:b w:val="0"/>
          <w:bCs/>
          <w:color w:val="auto"/>
        </w:rPr>
        <w:t>无重大违法记录声明</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color w:val="auto"/>
          <w:spacing w:val="6"/>
          <w:szCs w:val="21"/>
        </w:rPr>
        <w:br w:type="textWrapping"/>
      </w:r>
      <w:r>
        <w:rPr>
          <w:rFonts w:hint="eastAsia" w:asciiTheme="minorEastAsia" w:hAnsiTheme="minorEastAsia" w:eastAsiaTheme="minorEastAsia" w:cstheme="minorEastAsia"/>
          <w:b w:val="0"/>
          <w:bCs/>
          <w:color w:val="auto"/>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color w:val="auto"/>
          <w:spacing w:val="6"/>
          <w:szCs w:val="21"/>
          <w:lang w:val="en-US" w:eastAsia="zh-CN"/>
        </w:rPr>
        <w:br w:type="textWrapping"/>
      </w:r>
      <w:r>
        <w:rPr>
          <w:rFonts w:hint="eastAsia" w:asciiTheme="minorEastAsia" w:hAnsiTheme="minorEastAsia" w:eastAsiaTheme="minorEastAsia" w:cstheme="minorEastAsia"/>
          <w:b w:val="0"/>
          <w:bCs/>
          <w:color w:val="auto"/>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color w:val="auto"/>
        </w:rPr>
      </w:pPr>
    </w:p>
    <w:p>
      <w:pPr>
        <w:autoSpaceDE w:val="0"/>
        <w:autoSpaceDN w:val="0"/>
        <w:adjustRightInd w:val="0"/>
        <w:spacing w:line="480" w:lineRule="auto"/>
        <w:rPr>
          <w:rFonts w:hint="eastAsia" w:asciiTheme="minorEastAsia" w:hAnsiTheme="minorEastAsia" w:eastAsiaTheme="minorEastAsia" w:cstheme="minorEastAsia"/>
          <w:b/>
          <w:color w:val="auto"/>
        </w:rPr>
        <w:sectPr>
          <w:footerReference r:id="rId8" w:type="default"/>
          <w:type w:val="continuous"/>
          <w:pgSz w:w="11906" w:h="16838"/>
          <w:pgMar w:top="1440" w:right="1080" w:bottom="1440" w:left="1080" w:header="851" w:footer="992" w:gutter="0"/>
          <w:cols w:space="720" w:num="1"/>
          <w:docGrid w:type="lines" w:linePitch="312" w:charSpace="0"/>
        </w:sectPr>
      </w:pPr>
      <w:r>
        <w:rPr>
          <w:rFonts w:hint="eastAsia" w:asciiTheme="minorEastAsia" w:hAnsiTheme="minorEastAsia" w:eastAsiaTheme="minorEastAsia" w:cstheme="minorEastAsia"/>
          <w:b/>
          <w:color w:val="auto"/>
        </w:rPr>
        <w:br w:type="textWrapping"/>
      </w: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37" w:name="_Toc22111"/>
      <w:r>
        <w:rPr>
          <w:rFonts w:hint="eastAsia" w:asciiTheme="minorEastAsia" w:hAnsiTheme="minorEastAsia" w:eastAsiaTheme="minorEastAsia" w:cstheme="minorEastAsia"/>
          <w:b/>
          <w:color w:val="auto"/>
        </w:rPr>
        <w:t>一</w:t>
      </w:r>
      <w:r>
        <w:rPr>
          <w:rFonts w:hint="eastAsia" w:asciiTheme="minorEastAsia" w:hAnsiTheme="minorEastAsia" w:eastAsiaTheme="minorEastAsia" w:cstheme="minorEastAsia"/>
          <w:b/>
          <w:color w:val="auto"/>
          <w:lang w:eastAsia="zh-CN"/>
        </w:rPr>
        <w:t>、</w:t>
      </w:r>
      <w:r>
        <w:rPr>
          <w:rFonts w:hint="eastAsia" w:asciiTheme="minorEastAsia" w:hAnsiTheme="minorEastAsia" w:eastAsiaTheme="minorEastAsia" w:cstheme="minorEastAsia"/>
          <w:b/>
          <w:color w:val="auto"/>
        </w:rPr>
        <w:t>评分标准索引表</w:t>
      </w:r>
      <w:bookmarkEnd w:id="137"/>
    </w:p>
    <w:tbl>
      <w:tblPr>
        <w:tblStyle w:val="27"/>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p>
        </w:tc>
        <w:tc>
          <w:tcPr>
            <w:tcW w:w="5197" w:type="dxa"/>
            <w:vAlign w:val="center"/>
          </w:tcPr>
          <w:p>
            <w:pPr>
              <w:widowControl/>
              <w:spacing w:line="260" w:lineRule="exact"/>
              <w:jc w:val="left"/>
              <w:textAlignment w:val="center"/>
              <w:rPr>
                <w:rFonts w:hint="eastAsia"/>
                <w:color w:val="auto"/>
              </w:rPr>
            </w:pPr>
          </w:p>
        </w:tc>
        <w:tc>
          <w:tcPr>
            <w:tcW w:w="1005" w:type="dxa"/>
            <w:vAlign w:val="center"/>
          </w:tcPr>
          <w:p>
            <w:pPr>
              <w:widowControl/>
              <w:spacing w:line="260" w:lineRule="exact"/>
              <w:jc w:val="center"/>
              <w:textAlignment w:val="center"/>
              <w:rPr>
                <w:rFonts w:hint="eastAsia"/>
                <w:color w:val="auto"/>
              </w:rPr>
            </w:pPr>
          </w:p>
        </w:tc>
        <w:tc>
          <w:tcPr>
            <w:tcW w:w="1114" w:type="dxa"/>
            <w:vAlign w:val="center"/>
          </w:tcPr>
          <w:p>
            <w:pPr>
              <w:widowControl/>
              <w:spacing w:line="260" w:lineRule="exact"/>
              <w:jc w:val="center"/>
              <w:textAlignment w:val="center"/>
              <w:rPr>
                <w:rFonts w:hint="eastAsia" w:ascii="宋体" w:hAnsi="宋体" w:cs="宋体"/>
                <w:color w:val="auto"/>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color w:val="auto"/>
                <w:spacing w:val="-6"/>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color w:val="auto"/>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color w:val="auto"/>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color w:val="auto"/>
                <w:spacing w:val="-6"/>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color w:val="auto"/>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color w:val="auto"/>
                <w:spacing w:val="-6"/>
                <w:sz w:val="21"/>
                <w:szCs w:val="21"/>
              </w:rPr>
            </w:pPr>
          </w:p>
        </w:tc>
        <w:tc>
          <w:tcPr>
            <w:tcW w:w="1114" w:type="dxa"/>
            <w:vAlign w:val="center"/>
          </w:tcPr>
          <w:p>
            <w:pPr>
              <w:jc w:val="center"/>
              <w:rPr>
                <w:rFonts w:hint="eastAsia" w:asciiTheme="minorEastAsia" w:hAnsiTheme="minorEastAsia" w:eastAsiaTheme="minorEastAsia" w:cstheme="minorEastAsia"/>
                <w:color w:val="auto"/>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38" w:name="_Toc479184125"/>
      <w:bookmarkStart w:id="139" w:name="_Toc20684"/>
      <w:bookmarkStart w:id="140" w:name="_Toc30144"/>
      <w:bookmarkStart w:id="141" w:name="_Toc15789"/>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38"/>
      <w:bookmarkEnd w:id="139"/>
      <w:bookmarkEnd w:id="140"/>
      <w:bookmarkEnd w:id="141"/>
    </w:p>
    <w:p>
      <w:pPr>
        <w:pStyle w:val="21"/>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货物</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42" w:name="_Toc479184126"/>
      <w:bookmarkStart w:id="143" w:name="_Toc24205"/>
      <w:bookmarkStart w:id="144" w:name="_Toc13969"/>
      <w:bookmarkStart w:id="145" w:name="_Toc2610"/>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42"/>
      <w:bookmarkEnd w:id="143"/>
      <w:bookmarkEnd w:id="144"/>
      <w:bookmarkEnd w:id="145"/>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6" w:name="_Toc432149008"/>
      <w:bookmarkStart w:id="147" w:name="_Toc424832832"/>
      <w:bookmarkStart w:id="148" w:name="_Toc29904"/>
      <w:bookmarkStart w:id="149" w:name="_Toc30245"/>
      <w:bookmarkStart w:id="150" w:name="_Toc360120184"/>
      <w:bookmarkStart w:id="151" w:name="_Toc479184127"/>
      <w:bookmarkStart w:id="152" w:name="_Toc10475"/>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46"/>
      <w:bookmarkEnd w:id="147"/>
      <w:bookmarkEnd w:id="148"/>
      <w:bookmarkEnd w:id="149"/>
      <w:bookmarkEnd w:id="150"/>
      <w:bookmarkEnd w:id="151"/>
      <w:bookmarkEnd w:id="152"/>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53" w:name="_Toc432149006"/>
      <w:bookmarkStart w:id="154" w:name="_Toc422466732"/>
      <w:r>
        <w:rPr>
          <w:rFonts w:hint="eastAsia" w:asciiTheme="minorEastAsia" w:hAnsiTheme="minorEastAsia" w:eastAsiaTheme="minorEastAsia" w:cstheme="minorEastAsia"/>
          <w:b/>
          <w:bCs/>
          <w:color w:val="auto"/>
          <w:sz w:val="24"/>
        </w:rPr>
        <w:br w:type="page"/>
      </w:r>
      <w:bookmarkStart w:id="155" w:name="_Toc23856"/>
      <w:bookmarkStart w:id="156" w:name="_Toc4301"/>
      <w:bookmarkStart w:id="157" w:name="_Toc479184128"/>
      <w:bookmarkStart w:id="158" w:name="_Toc4741"/>
      <w:r>
        <w:rPr>
          <w:rFonts w:hint="eastAsia" w:asciiTheme="minorEastAsia" w:hAnsiTheme="minorEastAsia" w:eastAsiaTheme="minorEastAsia" w:cstheme="minorEastAsia"/>
          <w:b/>
          <w:bCs/>
          <w:color w:val="auto"/>
          <w:szCs w:val="21"/>
          <w:lang w:val="en-US" w:eastAsia="zh-CN"/>
        </w:rPr>
        <w:t>四</w:t>
      </w:r>
      <w:r>
        <w:rPr>
          <w:rFonts w:hint="eastAsia" w:asciiTheme="minorEastAsia" w:hAnsiTheme="minorEastAsia" w:eastAsiaTheme="minorEastAsia" w:cstheme="minorEastAsia"/>
          <w:b/>
          <w:bCs/>
          <w:color w:val="auto"/>
          <w:szCs w:val="21"/>
        </w:rPr>
        <w:t>、报价一览表</w:t>
      </w:r>
      <w:bookmarkEnd w:id="153"/>
      <w:bookmarkEnd w:id="154"/>
      <w:bookmarkEnd w:id="155"/>
      <w:bookmarkEnd w:id="156"/>
      <w:bookmarkEnd w:id="157"/>
      <w:bookmarkEnd w:id="158"/>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7"/>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（复印件）及报价优惠声明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59" w:name="_Toc460258117"/>
      <w:bookmarkStart w:id="160" w:name="_Toc259028723"/>
      <w:bookmarkStart w:id="161" w:name="_Toc424832831"/>
      <w:bookmarkStart w:id="162" w:name="_Toc432149007"/>
      <w:r>
        <w:rPr>
          <w:rFonts w:hint="eastAsia" w:asciiTheme="minorEastAsia" w:hAnsiTheme="minorEastAsia" w:eastAsiaTheme="minorEastAsia" w:cstheme="minorEastAsia"/>
          <w:b/>
          <w:bCs/>
          <w:color w:val="auto"/>
          <w:sz w:val="24"/>
        </w:rPr>
        <w:br w:type="page"/>
      </w:r>
      <w:bookmarkStart w:id="163" w:name="_Toc1079"/>
      <w:bookmarkStart w:id="164" w:name="_Toc18559"/>
      <w:bookmarkStart w:id="165" w:name="_Toc479184129"/>
      <w:bookmarkStart w:id="166" w:name="_Toc31617"/>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w:t>
      </w:r>
      <w:bookmarkEnd w:id="159"/>
      <w:bookmarkEnd w:id="160"/>
      <w:bookmarkEnd w:id="163"/>
      <w:bookmarkEnd w:id="164"/>
      <w:bookmarkEnd w:id="165"/>
      <w:r>
        <w:rPr>
          <w:rFonts w:hint="eastAsia" w:asciiTheme="minorEastAsia" w:hAnsiTheme="minorEastAsia" w:eastAsiaTheme="minorEastAsia" w:cstheme="minorEastAsia"/>
          <w:b/>
          <w:bCs/>
          <w:color w:val="auto"/>
          <w:szCs w:val="21"/>
          <w:lang w:eastAsia="zh-CN"/>
        </w:rPr>
        <w:t>报价费用构成表</w:t>
      </w:r>
      <w:bookmarkEnd w:id="166"/>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所有价格按照“供应商须知”要求执行，精确到个数位。</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7" w:name="_Toc26825"/>
      <w:bookmarkStart w:id="168" w:name="_Toc27104"/>
      <w:bookmarkStart w:id="169" w:name="_Toc479184130"/>
      <w:bookmarkStart w:id="170" w:name="_Toc28656"/>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、耗材清单</w:t>
      </w:r>
      <w:bookmarkEnd w:id="167"/>
      <w:bookmarkEnd w:id="168"/>
      <w:bookmarkEnd w:id="169"/>
      <w:bookmarkEnd w:id="170"/>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71" w:name="_Toc7535"/>
      <w:bookmarkStart w:id="172" w:name="_Toc32726"/>
      <w:bookmarkStart w:id="173" w:name="_Toc479184131"/>
      <w:bookmarkStart w:id="174" w:name="_Toc4793"/>
      <w:r>
        <w:rPr>
          <w:rFonts w:hint="eastAsia" w:asciiTheme="minorEastAsia" w:hAnsiTheme="minorEastAsia" w:eastAsiaTheme="minorEastAsia" w:cstheme="minorEastAsia"/>
          <w:b/>
          <w:bCs/>
          <w:color w:val="auto"/>
          <w:szCs w:val="21"/>
          <w:lang w:val="en-US" w:eastAsia="zh-CN"/>
        </w:rPr>
        <w:t>七、拟投入设备/备件、工具情况</w:t>
      </w:r>
      <w:bookmarkEnd w:id="171"/>
      <w:bookmarkEnd w:id="172"/>
      <w:bookmarkEnd w:id="173"/>
      <w:bookmarkEnd w:id="174"/>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75" w:name="_Toc479184132"/>
      <w:bookmarkStart w:id="176" w:name="_Toc450827818"/>
      <w:bookmarkStart w:id="177" w:name="_Toc27053"/>
      <w:bookmarkStart w:id="178" w:name="_Toc10449"/>
      <w:bookmarkStart w:id="179" w:name="_Toc3195"/>
      <w:r>
        <w:rPr>
          <w:rFonts w:hint="eastAsia" w:asciiTheme="minorEastAsia" w:hAnsiTheme="minorEastAsia" w:eastAsiaTheme="minorEastAsia" w:cstheme="minorEastAsia"/>
          <w:b/>
          <w:bCs/>
          <w:color w:val="auto"/>
          <w:szCs w:val="21"/>
          <w:lang w:val="en-US" w:eastAsia="zh-CN"/>
        </w:rPr>
        <w:t>八</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75"/>
      <w:bookmarkEnd w:id="176"/>
      <w:bookmarkEnd w:id="177"/>
      <w:bookmarkEnd w:id="178"/>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79"/>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0" w:name="_Toc432149012"/>
      <w:bookmarkStart w:id="181" w:name="_Toc28200"/>
      <w:bookmarkStart w:id="182" w:name="_Toc422466736"/>
      <w:bookmarkStart w:id="183" w:name="_Toc4542"/>
      <w:bookmarkStart w:id="184" w:name="_Toc1591"/>
      <w:bookmarkStart w:id="185" w:name="_Toc47918413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、偏离说明表</w:t>
      </w:r>
      <w:bookmarkEnd w:id="180"/>
      <w:bookmarkEnd w:id="181"/>
      <w:bookmarkEnd w:id="182"/>
      <w:bookmarkEnd w:id="183"/>
      <w:bookmarkEnd w:id="184"/>
      <w:bookmarkEnd w:id="185"/>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响应审核（资格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rPr>
              <w:t>响应审核（</w:t>
            </w: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86" w:name="_Toc362935521"/>
      <w:bookmarkStart w:id="187" w:name="_Toc32060"/>
      <w:bookmarkStart w:id="188" w:name="_Toc28283"/>
      <w:bookmarkStart w:id="189" w:name="_Toc432149013"/>
      <w:bookmarkStart w:id="190" w:name="_Toc479184134"/>
      <w:bookmarkStart w:id="191" w:name="_Toc31755"/>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bCs/>
          <w:color w:val="auto"/>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color w:val="auto"/>
          <w:szCs w:val="21"/>
        </w:rPr>
        <w:br w:type="textWrapping"/>
      </w:r>
      <w:bookmarkEnd w:id="191"/>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7"/>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92" w:name="_Toc454806053"/>
      <w:bookmarkStart w:id="193"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94" w:name="_Toc479184135"/>
      <w:bookmarkStart w:id="195" w:name="_Toc6612"/>
      <w:bookmarkStart w:id="196" w:name="_Toc4834"/>
      <w:bookmarkStart w:id="197" w:name="_Toc3045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一</w:t>
      </w:r>
      <w:r>
        <w:rPr>
          <w:rFonts w:hint="eastAsia" w:asciiTheme="minorEastAsia" w:hAnsiTheme="minorEastAsia" w:eastAsiaTheme="minorEastAsia" w:cstheme="minorEastAsia"/>
          <w:b/>
          <w:bCs/>
          <w:color w:val="auto"/>
          <w:szCs w:val="21"/>
        </w:rPr>
        <w:t>、拟投入项目组人员一览表</w:t>
      </w:r>
      <w:bookmarkEnd w:id="192"/>
      <w:bookmarkEnd w:id="193"/>
      <w:bookmarkEnd w:id="194"/>
      <w:bookmarkEnd w:id="195"/>
      <w:bookmarkEnd w:id="196"/>
      <w:bookmarkEnd w:id="197"/>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8" w:name="_Toc10429"/>
      <w:bookmarkStart w:id="199" w:name="_Toc422466737"/>
      <w:bookmarkStart w:id="200" w:name="_Toc2463"/>
      <w:bookmarkStart w:id="201" w:name="_Toc479184136"/>
      <w:bookmarkStart w:id="202" w:name="_Toc432149014"/>
      <w:bookmarkStart w:id="203" w:name="_Toc26838"/>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二</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98"/>
      <w:bookmarkEnd w:id="199"/>
      <w:bookmarkEnd w:id="200"/>
      <w:bookmarkEnd w:id="201"/>
      <w:bookmarkEnd w:id="202"/>
      <w:bookmarkEnd w:id="203"/>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204" w:name="_Toc316"/>
      <w:bookmarkStart w:id="205" w:name="_Toc17331"/>
      <w:bookmarkStart w:id="206" w:name="_Toc259028731"/>
      <w:bookmarkStart w:id="207" w:name="_Toc17527"/>
      <w:bookmarkStart w:id="208" w:name="_Toc450827823"/>
      <w:bookmarkStart w:id="209" w:name="_Toc479184137"/>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204"/>
      <w:bookmarkEnd w:id="205"/>
      <w:bookmarkEnd w:id="206"/>
      <w:bookmarkEnd w:id="207"/>
      <w:bookmarkEnd w:id="208"/>
      <w:bookmarkEnd w:id="209"/>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210" w:name="_Toc32187"/>
      <w:bookmarkStart w:id="211" w:name="_Toc290207179"/>
      <w:bookmarkStart w:id="212" w:name="_Toc5793"/>
      <w:bookmarkStart w:id="213" w:name="_Toc364868916"/>
      <w:bookmarkStart w:id="214" w:name="_Toc427239751"/>
      <w:bookmarkStart w:id="215" w:name="_Toc358447587"/>
      <w:bookmarkStart w:id="216" w:name="_Toc18555"/>
      <w:r>
        <w:rPr>
          <w:rFonts w:hint="eastAsia" w:asciiTheme="minorEastAsia" w:hAnsiTheme="minorEastAsia" w:eastAsiaTheme="minorEastAsia" w:cstheme="minorEastAsia"/>
          <w:b/>
          <w:bCs/>
          <w:color w:val="auto"/>
          <w:kern w:val="0"/>
          <w:szCs w:val="21"/>
          <w:lang w:val="en-US" w:eastAsia="zh-CN"/>
        </w:rPr>
        <w:t>十四、</w:t>
      </w:r>
      <w:bookmarkEnd w:id="210"/>
      <w:bookmarkEnd w:id="211"/>
      <w:bookmarkEnd w:id="212"/>
      <w:bookmarkEnd w:id="213"/>
      <w:bookmarkEnd w:id="214"/>
      <w:bookmarkEnd w:id="215"/>
      <w:bookmarkEnd w:id="216"/>
      <w:bookmarkStart w:id="217" w:name="_Toc29785"/>
      <w:bookmarkStart w:id="218" w:name="_Toc479184138"/>
      <w:bookmarkStart w:id="219" w:name="_Toc460258123"/>
      <w:bookmarkStart w:id="220" w:name="_Toc27229"/>
      <w:r>
        <w:rPr>
          <w:rFonts w:hint="eastAsia" w:asciiTheme="minorEastAsia" w:hAnsiTheme="minorEastAsia" w:eastAsiaTheme="minorEastAsia" w:cstheme="minorEastAsia"/>
          <w:b/>
          <w:color w:val="auto"/>
        </w:rPr>
        <w:t>报价技术文件</w:t>
      </w:r>
      <w:bookmarkEnd w:id="217"/>
      <w:bookmarkEnd w:id="218"/>
      <w:bookmarkEnd w:id="219"/>
      <w:bookmarkEnd w:id="220"/>
    </w:p>
    <w:p>
      <w:pPr>
        <w:rPr>
          <w:rFonts w:hint="eastAsia" w:asciiTheme="minorEastAsia" w:hAnsiTheme="minorEastAsia" w:eastAsiaTheme="minorEastAsia" w:cstheme="minorEastAsia"/>
          <w:color w:val="auto"/>
          <w:szCs w:val="21"/>
        </w:rPr>
      </w:pPr>
    </w:p>
    <w:p>
      <w:pPr>
        <w:pStyle w:val="98"/>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21" w:name="_Toc12119"/>
      <w:bookmarkStart w:id="222" w:name="_Toc2101"/>
      <w:bookmarkStart w:id="223" w:name="_Toc479184140"/>
      <w:bookmarkStart w:id="224" w:name="_Toc355802499"/>
      <w:bookmarkStart w:id="225" w:name="_Toc22465"/>
      <w:bookmarkStart w:id="226" w:name="_Toc356836516"/>
      <w:bookmarkStart w:id="227" w:name="_Toc432149016"/>
      <w:bookmarkStart w:id="228" w:name="_Toc8098"/>
      <w:bookmarkStart w:id="229" w:name="_Toc422466739"/>
      <w:bookmarkStart w:id="230" w:name="_Toc7704"/>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五</w:t>
      </w:r>
      <w:r>
        <w:rPr>
          <w:rFonts w:hint="eastAsia" w:asciiTheme="minorEastAsia" w:hAnsiTheme="minorEastAsia" w:eastAsiaTheme="minorEastAsia" w:cstheme="minorEastAsia"/>
          <w:b/>
          <w:color w:val="auto"/>
        </w:rPr>
        <w:t>、中小企业声明函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0"/>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color w:val="auto"/>
          <w:spacing w:val="6"/>
          <w:szCs w:val="21"/>
        </w:rPr>
        <w:t>______（请填写：中型、小型、微型）企业</w:t>
      </w:r>
      <w:bookmarkEnd w:id="231"/>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5"/>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5"/>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备注：未提供证明材料或材料不全的不予折扣。</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32" w:name="_Toc29270"/>
      <w:bookmarkStart w:id="233" w:name="_Toc4320"/>
      <w:bookmarkStart w:id="234" w:name="_Toc476839034"/>
      <w:bookmarkStart w:id="235" w:name="_Toc30406"/>
      <w:bookmarkStart w:id="236" w:name="_Toc479184141"/>
      <w:bookmarkStart w:id="237" w:name="_Toc7229"/>
      <w:r>
        <w:rPr>
          <w:rFonts w:hint="eastAsia" w:asciiTheme="minorEastAsia" w:hAnsiTheme="minorEastAsia" w:eastAsiaTheme="minorEastAsia" w:cstheme="minorEastAsia"/>
          <w:b/>
          <w:bCs/>
          <w:color w:val="auto"/>
          <w:spacing w:val="6"/>
          <w:szCs w:val="21"/>
          <w:lang w:val="en-US" w:eastAsia="zh-CN"/>
        </w:rPr>
        <w:t>十六、</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2"/>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38" w:name="_Toc4952"/>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十七</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8"/>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39" w:name="_Toc15506"/>
      <w:r>
        <w:rPr>
          <w:rFonts w:hint="eastAsia" w:asciiTheme="minorEastAsia" w:hAnsiTheme="minorEastAsia" w:eastAsiaTheme="minorEastAsia" w:cstheme="minorEastAsia"/>
          <w:b/>
          <w:color w:val="auto"/>
          <w:lang w:val="en-US" w:eastAsia="zh-CN"/>
        </w:rPr>
        <w:t>十八、节能环保产品证明材料（若符合）</w:t>
      </w:r>
      <w:bookmarkEnd w:id="239"/>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40" w:name="_Toc11218"/>
      <w:r>
        <w:rPr>
          <w:rFonts w:hint="eastAsia" w:asciiTheme="minorEastAsia" w:hAnsiTheme="minorEastAsia" w:eastAsiaTheme="minorEastAsia" w:cstheme="minorEastAsia"/>
          <w:b/>
          <w:bCs/>
          <w:color w:val="auto"/>
          <w:spacing w:val="6"/>
          <w:szCs w:val="21"/>
          <w:lang w:val="en-US" w:eastAsia="zh-CN"/>
        </w:rPr>
        <w:t>十九</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33"/>
      <w:bookmarkEnd w:id="234"/>
      <w:bookmarkEnd w:id="235"/>
      <w:bookmarkEnd w:id="236"/>
      <w:bookmarkEnd w:id="237"/>
      <w:bookmarkEnd w:id="240"/>
    </w:p>
    <w:p>
      <w:pPr>
        <w:spacing w:line="480" w:lineRule="auto"/>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rPr>
        <w:t>磋商供应商应</w:t>
      </w:r>
      <w:r>
        <w:rPr>
          <w:rFonts w:hint="eastAsia" w:asciiTheme="minorEastAsia" w:hAnsiTheme="minorEastAsia" w:eastAsiaTheme="minorEastAsia" w:cstheme="minorEastAsia"/>
          <w:b/>
          <w:bCs/>
          <w:color w:val="auto"/>
          <w:kern w:val="0"/>
          <w:sz w:val="21"/>
          <w:szCs w:val="21"/>
          <w:lang w:val="en-US" w:eastAsia="zh-CN"/>
        </w:rPr>
        <w:t>在此基础上，</w:t>
      </w:r>
      <w:r>
        <w:rPr>
          <w:rFonts w:hint="eastAsia" w:asciiTheme="minorEastAsia" w:hAnsiTheme="minorEastAsia" w:eastAsiaTheme="minorEastAsia" w:cstheme="minorEastAsia"/>
          <w:b/>
          <w:bCs/>
          <w:color w:val="auto"/>
          <w:kern w:val="0"/>
          <w:sz w:val="21"/>
          <w:szCs w:val="21"/>
        </w:rPr>
        <w:t>根据本单位实际情况进行声明</w:t>
      </w:r>
      <w:r>
        <w:rPr>
          <w:rFonts w:hint="eastAsia" w:asciiTheme="minorEastAsia" w:hAnsiTheme="minorEastAsia" w:eastAsiaTheme="minorEastAsia" w:cstheme="minorEastAsia"/>
          <w:b/>
          <w:bCs/>
          <w:color w:val="auto"/>
          <w:kern w:val="0"/>
          <w:sz w:val="21"/>
          <w:szCs w:val="21"/>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autoSpaceDE w:val="0"/>
        <w:autoSpaceDN w:val="0"/>
        <w:adjustRightInd w:val="0"/>
        <w:jc w:val="center"/>
        <w:rPr>
          <w:rFonts w:hint="eastAsia" w:asciiTheme="minorEastAsia" w:hAnsiTheme="minorEastAsia" w:eastAsiaTheme="minorEastAsia" w:cstheme="minorEastAsia"/>
          <w:color w:val="auto"/>
          <w:szCs w:val="21"/>
        </w:rPr>
      </w:pPr>
    </w:p>
    <w:p>
      <w:pPr>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 xml:space="preserve">               </w:t>
      </w:r>
    </w:p>
    <w:p>
      <w:pPr>
        <w:spacing w:line="360" w:lineRule="auto"/>
        <w:jc w:val="center"/>
        <w:outlineLvl w:val="1"/>
        <w:rPr>
          <w:rFonts w:hint="eastAsia"/>
          <w:color w:val="auto"/>
        </w:rPr>
      </w:pPr>
      <w:r>
        <w:rPr>
          <w:rFonts w:hint="eastAsia" w:asciiTheme="minorEastAsia" w:hAnsiTheme="minorEastAsia" w:eastAsiaTheme="minorEastAsia" w:cstheme="minorEastAsia"/>
          <w:color w:val="auto"/>
          <w:spacing w:val="6"/>
          <w:szCs w:val="21"/>
        </w:rPr>
        <w:br w:type="page"/>
      </w:r>
      <w:bookmarkStart w:id="241" w:name="_Toc11829"/>
      <w:r>
        <w:rPr>
          <w:rFonts w:hint="eastAsia" w:asciiTheme="minorEastAsia" w:hAnsiTheme="minorEastAsia" w:eastAsiaTheme="minorEastAsia" w:cstheme="minorEastAsia"/>
          <w:b/>
          <w:bCs/>
          <w:color w:val="auto"/>
          <w:spacing w:val="6"/>
          <w:szCs w:val="21"/>
          <w:lang w:val="en-US" w:eastAsia="zh-CN"/>
        </w:rPr>
        <w:t>二十、参加本次政府采购活动前3年内发生诉讼及仲裁情况表</w:t>
      </w:r>
      <w:bookmarkEnd w:id="241"/>
    </w:p>
    <w:tbl>
      <w:tblPr>
        <w:tblStyle w:val="27"/>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诉</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讼</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仲</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裁</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w:t>
            </w:r>
          </w:p>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42" w:name="_Toc17368"/>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42"/>
    </w:p>
    <w:sectPr>
      <w:footerReference r:id="rId9"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fldChar w:fldCharType="begin"/>
    </w:r>
    <w:r>
      <w:rPr>
        <w:rStyle w:val="31"/>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jc w:val="center"/>
                          </w:pPr>
                          <w:r>
                            <w:fldChar w:fldCharType="begin"/>
                          </w:r>
                          <w:r>
                            <w:instrText xml:space="preserve"> PAGE   \* MERGEFORMAT </w:instrText>
                          </w:r>
                          <w:r>
                            <w:fldChar w:fldCharType="separate"/>
                          </w:r>
                          <w:r>
                            <w:rPr>
                              <w:lang w:val="zh-CN"/>
                            </w:rPr>
                            <w:t>67</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19"/>
                      <w:jc w:val="center"/>
                    </w:pPr>
                    <w:r>
                      <w:fldChar w:fldCharType="begin"/>
                    </w:r>
                    <w:r>
                      <w:instrText xml:space="preserve"> PAGE   \* MERGEFORMAT </w:instrText>
                    </w:r>
                    <w:r>
                      <w:fldChar w:fldCharType="separate"/>
                    </w:r>
                    <w:r>
                      <w:rPr>
                        <w:lang w:val="zh-CN"/>
                      </w:rPr>
                      <w:t>67</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center"/>
                          </w:pPr>
                          <w:r>
                            <w:fldChar w:fldCharType="begin"/>
                          </w:r>
                          <w:r>
                            <w:instrText xml:space="preserve"> PAGE   \* MERGEFORMAT </w:instrText>
                          </w:r>
                          <w:r>
                            <w:fldChar w:fldCharType="separate"/>
                          </w:r>
                          <w:r>
                            <w:rPr>
                              <w:lang w:val="zh-CN"/>
                            </w:rPr>
                            <w:t>5</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Wz7ABAABOAwAADgAAAGRycy9lMm9Eb2MueG1srVPBahsxEL0H8g9C&#10;91hrQ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dHieMWR7T/8bL/+Xv/6zuZVddFod7HGhMfPaam4RMMORuVy/6Iztz4oILN&#10;X2yJYBy13p30lUMiIj+az+bzCkMCY+MFcdj5uQ8xfZZgSTYaGnCARVe+/RLTIXVMydUc3GljyhCN&#10;+8uBmNnDzhyzlYbVcCS+gnaH/fQ4+4Y6XE5KzL1DafOajEYYjdVobHzQ6w6pTQuv6D9uEpIo3HKF&#10;A+yxMA6tdHdcsLwVf95L1vk3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ls+wAQAA&#10;TgMAAA4AAAAAAAAAAQAgAAAAHgEAAGRycy9lMm9Eb2MueG1sUEsFBgAAAAAGAAYAWQEAAEAFAAAA&#10;AA==&#10;">
              <v:fill on="f" focussize="0,0"/>
              <v:stroke on="f"/>
              <v:imagedata o:title=""/>
              <o:lock v:ext="edit" aspectratio="f"/>
              <v:textbox inset="0mm,0mm,0mm,0mm" style="mso-fit-shape-to-text:t;">
                <w:txbxContent>
                  <w:p>
                    <w:pPr>
                      <w:pStyle w:val="19"/>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A3CE0D5"/>
    <w:multiLevelType w:val="singleLevel"/>
    <w:tmpl w:val="1A3CE0D5"/>
    <w:lvl w:ilvl="0" w:tentative="0">
      <w:start w:val="1"/>
      <w:numFmt w:val="decimal"/>
      <w:lvlText w:val="%1."/>
      <w:lvlJc w:val="left"/>
      <w:pPr>
        <w:ind w:left="425" w:hanging="425"/>
      </w:pPr>
      <w:rPr>
        <w:rFonts w:hint="default"/>
      </w:r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1AA38A0"/>
    <w:multiLevelType w:val="multilevel"/>
    <w:tmpl w:val="51AA38A0"/>
    <w:lvl w:ilvl="0" w:tentative="0">
      <w:start w:val="1"/>
      <w:numFmt w:val="japaneseCounting"/>
      <w:lvlText w:val="%1．"/>
      <w:lvlJc w:val="left"/>
      <w:pPr>
        <w:tabs>
          <w:tab w:val="left" w:pos="1021"/>
        </w:tabs>
        <w:ind w:left="1021" w:hanging="48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0"/>
  </w:num>
  <w:num w:numId="3">
    <w:abstractNumId w:val="18"/>
  </w:num>
  <w:num w:numId="4">
    <w:abstractNumId w:val="27"/>
  </w:num>
  <w:num w:numId="5">
    <w:abstractNumId w:val="12"/>
  </w:num>
  <w:num w:numId="6">
    <w:abstractNumId w:val="1"/>
  </w:num>
  <w:num w:numId="7">
    <w:abstractNumId w:val="13"/>
  </w:num>
  <w:num w:numId="8">
    <w:abstractNumId w:val="32"/>
  </w:num>
  <w:num w:numId="9">
    <w:abstractNumId w:val="15"/>
  </w:num>
  <w:num w:numId="10">
    <w:abstractNumId w:val="8"/>
  </w:num>
  <w:num w:numId="11">
    <w:abstractNumId w:val="14"/>
  </w:num>
  <w:num w:numId="12">
    <w:abstractNumId w:val="34"/>
  </w:num>
  <w:num w:numId="13">
    <w:abstractNumId w:val="44"/>
  </w:num>
  <w:num w:numId="14">
    <w:abstractNumId w:val="45"/>
  </w:num>
  <w:num w:numId="15">
    <w:abstractNumId w:val="26"/>
  </w:num>
  <w:num w:numId="16">
    <w:abstractNumId w:val="30"/>
  </w:num>
  <w:num w:numId="17">
    <w:abstractNumId w:val="33"/>
  </w:num>
  <w:num w:numId="18">
    <w:abstractNumId w:val="35"/>
  </w:num>
  <w:num w:numId="19">
    <w:abstractNumId w:val="3"/>
  </w:num>
  <w:num w:numId="20">
    <w:abstractNumId w:val="37"/>
  </w:num>
  <w:num w:numId="21">
    <w:abstractNumId w:val="5"/>
  </w:num>
  <w:num w:numId="22">
    <w:abstractNumId w:val="24"/>
  </w:num>
  <w:num w:numId="23">
    <w:abstractNumId w:val="20"/>
  </w:num>
  <w:num w:numId="24">
    <w:abstractNumId w:val="40"/>
  </w:num>
  <w:num w:numId="25">
    <w:abstractNumId w:val="11"/>
  </w:num>
  <w:num w:numId="26">
    <w:abstractNumId w:val="25"/>
  </w:num>
  <w:num w:numId="27">
    <w:abstractNumId w:val="7"/>
  </w:num>
  <w:num w:numId="28">
    <w:abstractNumId w:val="39"/>
  </w:num>
  <w:num w:numId="29">
    <w:abstractNumId w:val="43"/>
  </w:num>
  <w:num w:numId="30">
    <w:abstractNumId w:val="28"/>
  </w:num>
  <w:num w:numId="31">
    <w:abstractNumId w:val="22"/>
  </w:num>
  <w:num w:numId="32">
    <w:abstractNumId w:val="9"/>
  </w:num>
  <w:num w:numId="33">
    <w:abstractNumId w:val="19"/>
  </w:num>
  <w:num w:numId="34">
    <w:abstractNumId w:val="42"/>
  </w:num>
  <w:num w:numId="35">
    <w:abstractNumId w:val="23"/>
  </w:num>
  <w:num w:numId="36">
    <w:abstractNumId w:val="41"/>
  </w:num>
  <w:num w:numId="37">
    <w:abstractNumId w:val="36"/>
  </w:num>
  <w:num w:numId="38">
    <w:abstractNumId w:val="29"/>
  </w:num>
  <w:num w:numId="39">
    <w:abstractNumId w:val="16"/>
  </w:num>
  <w:num w:numId="40">
    <w:abstractNumId w:val="31"/>
  </w:num>
  <w:num w:numId="41">
    <w:abstractNumId w:val="2"/>
  </w:num>
  <w:num w:numId="42">
    <w:abstractNumId w:val="17"/>
  </w:num>
  <w:num w:numId="43">
    <w:abstractNumId w:val="21"/>
  </w:num>
  <w:num w:numId="44">
    <w:abstractNumId w:val="6"/>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4AD5"/>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B65C1"/>
    <w:rsid w:val="018D0205"/>
    <w:rsid w:val="01A91930"/>
    <w:rsid w:val="01C12A88"/>
    <w:rsid w:val="01D07706"/>
    <w:rsid w:val="0221271C"/>
    <w:rsid w:val="022D649C"/>
    <w:rsid w:val="02351774"/>
    <w:rsid w:val="023A6ECB"/>
    <w:rsid w:val="02420646"/>
    <w:rsid w:val="028223A8"/>
    <w:rsid w:val="02A9706C"/>
    <w:rsid w:val="02DE374B"/>
    <w:rsid w:val="03044359"/>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44B2"/>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DE2D09"/>
    <w:rsid w:val="06EA2FBD"/>
    <w:rsid w:val="06ED1770"/>
    <w:rsid w:val="06FE4AAE"/>
    <w:rsid w:val="070157D1"/>
    <w:rsid w:val="07117CDC"/>
    <w:rsid w:val="07354BE2"/>
    <w:rsid w:val="07506DDE"/>
    <w:rsid w:val="078360F1"/>
    <w:rsid w:val="079555F7"/>
    <w:rsid w:val="07AA21A6"/>
    <w:rsid w:val="07B323DD"/>
    <w:rsid w:val="07D33E7D"/>
    <w:rsid w:val="07DA2552"/>
    <w:rsid w:val="07E61182"/>
    <w:rsid w:val="07F876CF"/>
    <w:rsid w:val="07FA3FC0"/>
    <w:rsid w:val="080210B9"/>
    <w:rsid w:val="08376BE0"/>
    <w:rsid w:val="08483779"/>
    <w:rsid w:val="085D5FC0"/>
    <w:rsid w:val="086E27AA"/>
    <w:rsid w:val="0886626A"/>
    <w:rsid w:val="08912C45"/>
    <w:rsid w:val="08AD0CF8"/>
    <w:rsid w:val="08AD503B"/>
    <w:rsid w:val="08C76CFD"/>
    <w:rsid w:val="08E340CC"/>
    <w:rsid w:val="08E95B0E"/>
    <w:rsid w:val="090C54BE"/>
    <w:rsid w:val="092936B1"/>
    <w:rsid w:val="092F641D"/>
    <w:rsid w:val="096A4BCE"/>
    <w:rsid w:val="098226D8"/>
    <w:rsid w:val="09894939"/>
    <w:rsid w:val="099D6BAE"/>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30615A"/>
    <w:rsid w:val="0D50445B"/>
    <w:rsid w:val="0D7807F1"/>
    <w:rsid w:val="0D895A46"/>
    <w:rsid w:val="0D934379"/>
    <w:rsid w:val="0D9B67EB"/>
    <w:rsid w:val="0DE86CEC"/>
    <w:rsid w:val="0E0A51BD"/>
    <w:rsid w:val="0E141CA7"/>
    <w:rsid w:val="0E386D2E"/>
    <w:rsid w:val="0E442D5B"/>
    <w:rsid w:val="0E4E7B59"/>
    <w:rsid w:val="0E6E5960"/>
    <w:rsid w:val="0EAE4301"/>
    <w:rsid w:val="0ED27024"/>
    <w:rsid w:val="0ED94F19"/>
    <w:rsid w:val="0EDC5EDB"/>
    <w:rsid w:val="0F1B0DB7"/>
    <w:rsid w:val="0F3425BB"/>
    <w:rsid w:val="0F465D89"/>
    <w:rsid w:val="0F6C7EA7"/>
    <w:rsid w:val="0FA03F81"/>
    <w:rsid w:val="0FC5121F"/>
    <w:rsid w:val="0FC52200"/>
    <w:rsid w:val="0FC57219"/>
    <w:rsid w:val="0FF11896"/>
    <w:rsid w:val="0FF743B8"/>
    <w:rsid w:val="104114BC"/>
    <w:rsid w:val="104F21E7"/>
    <w:rsid w:val="10522A43"/>
    <w:rsid w:val="105950B7"/>
    <w:rsid w:val="10681B45"/>
    <w:rsid w:val="10D545EB"/>
    <w:rsid w:val="10E51E7E"/>
    <w:rsid w:val="1109548A"/>
    <w:rsid w:val="111146A3"/>
    <w:rsid w:val="11156035"/>
    <w:rsid w:val="111F2499"/>
    <w:rsid w:val="111F29EE"/>
    <w:rsid w:val="11296D36"/>
    <w:rsid w:val="1146103D"/>
    <w:rsid w:val="11547D24"/>
    <w:rsid w:val="116C7384"/>
    <w:rsid w:val="12305D0B"/>
    <w:rsid w:val="124B307E"/>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CD58E6"/>
    <w:rsid w:val="14D17473"/>
    <w:rsid w:val="14D2285A"/>
    <w:rsid w:val="14F848F0"/>
    <w:rsid w:val="1533008F"/>
    <w:rsid w:val="153D3401"/>
    <w:rsid w:val="155142E7"/>
    <w:rsid w:val="155D0D69"/>
    <w:rsid w:val="15855A36"/>
    <w:rsid w:val="158E06A1"/>
    <w:rsid w:val="15932B1E"/>
    <w:rsid w:val="15AF36C0"/>
    <w:rsid w:val="15D73E4B"/>
    <w:rsid w:val="15EE7CEF"/>
    <w:rsid w:val="160D691C"/>
    <w:rsid w:val="16333435"/>
    <w:rsid w:val="16391530"/>
    <w:rsid w:val="16550678"/>
    <w:rsid w:val="166C136C"/>
    <w:rsid w:val="168807E5"/>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E546EC"/>
    <w:rsid w:val="18F56002"/>
    <w:rsid w:val="192F50C9"/>
    <w:rsid w:val="19633F03"/>
    <w:rsid w:val="1965794E"/>
    <w:rsid w:val="199E02FC"/>
    <w:rsid w:val="19BA1CE3"/>
    <w:rsid w:val="19D20DD3"/>
    <w:rsid w:val="19DF55C2"/>
    <w:rsid w:val="1A086130"/>
    <w:rsid w:val="1A0C61A8"/>
    <w:rsid w:val="1A132F57"/>
    <w:rsid w:val="1A300E03"/>
    <w:rsid w:val="1A5F760F"/>
    <w:rsid w:val="1A6F3E95"/>
    <w:rsid w:val="1A6F6E85"/>
    <w:rsid w:val="1A8B189C"/>
    <w:rsid w:val="1AC23769"/>
    <w:rsid w:val="1AD22ED2"/>
    <w:rsid w:val="1AD51B88"/>
    <w:rsid w:val="1B0F28D6"/>
    <w:rsid w:val="1B2058A0"/>
    <w:rsid w:val="1B566A66"/>
    <w:rsid w:val="1B681CC0"/>
    <w:rsid w:val="1B8565CF"/>
    <w:rsid w:val="1B9104B0"/>
    <w:rsid w:val="1BAC363D"/>
    <w:rsid w:val="1BD60F79"/>
    <w:rsid w:val="1C0C60A0"/>
    <w:rsid w:val="1C41527E"/>
    <w:rsid w:val="1C49412F"/>
    <w:rsid w:val="1C4F5FC4"/>
    <w:rsid w:val="1C61619E"/>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6FC7"/>
    <w:rsid w:val="1D9F4A19"/>
    <w:rsid w:val="1DA05599"/>
    <w:rsid w:val="1DAB519B"/>
    <w:rsid w:val="1DC65420"/>
    <w:rsid w:val="1DC94DC3"/>
    <w:rsid w:val="1DD04ECF"/>
    <w:rsid w:val="1E0649A4"/>
    <w:rsid w:val="1E474E6F"/>
    <w:rsid w:val="1E6843C7"/>
    <w:rsid w:val="1EA60FCA"/>
    <w:rsid w:val="1EA87417"/>
    <w:rsid w:val="1ED70A99"/>
    <w:rsid w:val="1EEF3533"/>
    <w:rsid w:val="1F35766F"/>
    <w:rsid w:val="1F65672E"/>
    <w:rsid w:val="1F6B4880"/>
    <w:rsid w:val="1F6D18D3"/>
    <w:rsid w:val="1F855EC8"/>
    <w:rsid w:val="1F865B87"/>
    <w:rsid w:val="1F8D0E35"/>
    <w:rsid w:val="1FB611E4"/>
    <w:rsid w:val="1FBA2E91"/>
    <w:rsid w:val="1FC02D54"/>
    <w:rsid w:val="1FD92D82"/>
    <w:rsid w:val="1FEE1F52"/>
    <w:rsid w:val="204E4767"/>
    <w:rsid w:val="20565961"/>
    <w:rsid w:val="207A437E"/>
    <w:rsid w:val="20950348"/>
    <w:rsid w:val="20981E88"/>
    <w:rsid w:val="20A10137"/>
    <w:rsid w:val="20B97750"/>
    <w:rsid w:val="20BD2343"/>
    <w:rsid w:val="20C125E5"/>
    <w:rsid w:val="20F77EBA"/>
    <w:rsid w:val="20FE0571"/>
    <w:rsid w:val="210E159D"/>
    <w:rsid w:val="212F48FD"/>
    <w:rsid w:val="21366FC8"/>
    <w:rsid w:val="216135E4"/>
    <w:rsid w:val="21B23C30"/>
    <w:rsid w:val="21D5663A"/>
    <w:rsid w:val="220D5F91"/>
    <w:rsid w:val="220D7B69"/>
    <w:rsid w:val="220F017A"/>
    <w:rsid w:val="223D6488"/>
    <w:rsid w:val="224F423C"/>
    <w:rsid w:val="227710AB"/>
    <w:rsid w:val="229B4E78"/>
    <w:rsid w:val="22C77F82"/>
    <w:rsid w:val="22D812B7"/>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44329"/>
    <w:rsid w:val="242E0AC8"/>
    <w:rsid w:val="24474E0A"/>
    <w:rsid w:val="244E4AD0"/>
    <w:rsid w:val="246B4679"/>
    <w:rsid w:val="249900C5"/>
    <w:rsid w:val="24BF7D42"/>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016FD5"/>
    <w:rsid w:val="29213FAC"/>
    <w:rsid w:val="294019F3"/>
    <w:rsid w:val="295F6F3A"/>
    <w:rsid w:val="2978542E"/>
    <w:rsid w:val="298168E8"/>
    <w:rsid w:val="29880DC9"/>
    <w:rsid w:val="299658C8"/>
    <w:rsid w:val="29C74336"/>
    <w:rsid w:val="2A0263D5"/>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70BAB"/>
    <w:rsid w:val="2E6E73D5"/>
    <w:rsid w:val="2E81141D"/>
    <w:rsid w:val="2E9A7ADA"/>
    <w:rsid w:val="2F1B0798"/>
    <w:rsid w:val="2F4F0438"/>
    <w:rsid w:val="2F506BFB"/>
    <w:rsid w:val="2F7E2CC0"/>
    <w:rsid w:val="2F921764"/>
    <w:rsid w:val="2F98405A"/>
    <w:rsid w:val="2FD11EB8"/>
    <w:rsid w:val="303D5772"/>
    <w:rsid w:val="30494BDE"/>
    <w:rsid w:val="306E40F7"/>
    <w:rsid w:val="306F4499"/>
    <w:rsid w:val="30A17D92"/>
    <w:rsid w:val="30B15581"/>
    <w:rsid w:val="30B93848"/>
    <w:rsid w:val="30BE1DE8"/>
    <w:rsid w:val="31253510"/>
    <w:rsid w:val="313177AD"/>
    <w:rsid w:val="31341EAD"/>
    <w:rsid w:val="31423CC5"/>
    <w:rsid w:val="3157256E"/>
    <w:rsid w:val="31665B97"/>
    <w:rsid w:val="31854B7E"/>
    <w:rsid w:val="31E86EE4"/>
    <w:rsid w:val="31FD6157"/>
    <w:rsid w:val="32171B71"/>
    <w:rsid w:val="322036FD"/>
    <w:rsid w:val="322B53E9"/>
    <w:rsid w:val="32915ABA"/>
    <w:rsid w:val="329C1497"/>
    <w:rsid w:val="32D72576"/>
    <w:rsid w:val="32D93319"/>
    <w:rsid w:val="330D0307"/>
    <w:rsid w:val="332C3D97"/>
    <w:rsid w:val="3360351F"/>
    <w:rsid w:val="33620CB2"/>
    <w:rsid w:val="337758C1"/>
    <w:rsid w:val="33B17CDB"/>
    <w:rsid w:val="33BB496F"/>
    <w:rsid w:val="33E04B57"/>
    <w:rsid w:val="33FA7456"/>
    <w:rsid w:val="34024883"/>
    <w:rsid w:val="342C6E98"/>
    <w:rsid w:val="344F7140"/>
    <w:rsid w:val="34755DB1"/>
    <w:rsid w:val="349E0FB2"/>
    <w:rsid w:val="34A96A1A"/>
    <w:rsid w:val="34B370D1"/>
    <w:rsid w:val="34CA52FD"/>
    <w:rsid w:val="34CC2167"/>
    <w:rsid w:val="34E622D6"/>
    <w:rsid w:val="3518700F"/>
    <w:rsid w:val="352F2FF3"/>
    <w:rsid w:val="35375748"/>
    <w:rsid w:val="35486C73"/>
    <w:rsid w:val="359E09BB"/>
    <w:rsid w:val="35F14D1E"/>
    <w:rsid w:val="361A4DE1"/>
    <w:rsid w:val="361F592F"/>
    <w:rsid w:val="362F79EA"/>
    <w:rsid w:val="36516B14"/>
    <w:rsid w:val="36556C85"/>
    <w:rsid w:val="365B1C96"/>
    <w:rsid w:val="3660345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547F4"/>
    <w:rsid w:val="37B72EB1"/>
    <w:rsid w:val="37C806F3"/>
    <w:rsid w:val="37C85C3C"/>
    <w:rsid w:val="37CF1603"/>
    <w:rsid w:val="38585500"/>
    <w:rsid w:val="385D1C71"/>
    <w:rsid w:val="386038B3"/>
    <w:rsid w:val="387E1407"/>
    <w:rsid w:val="388E1434"/>
    <w:rsid w:val="38BA5460"/>
    <w:rsid w:val="38C62FF5"/>
    <w:rsid w:val="38D62476"/>
    <w:rsid w:val="38E27127"/>
    <w:rsid w:val="39027E88"/>
    <w:rsid w:val="39075875"/>
    <w:rsid w:val="391904A1"/>
    <w:rsid w:val="391C718D"/>
    <w:rsid w:val="394D30B0"/>
    <w:rsid w:val="39566D4B"/>
    <w:rsid w:val="39624091"/>
    <w:rsid w:val="397234A2"/>
    <w:rsid w:val="397C6037"/>
    <w:rsid w:val="39D43B66"/>
    <w:rsid w:val="39EC03FA"/>
    <w:rsid w:val="3A1D058F"/>
    <w:rsid w:val="3A1E303B"/>
    <w:rsid w:val="3A1F74C9"/>
    <w:rsid w:val="3A2A1F54"/>
    <w:rsid w:val="3A2D40D1"/>
    <w:rsid w:val="3A314B02"/>
    <w:rsid w:val="3A5C2602"/>
    <w:rsid w:val="3A79657B"/>
    <w:rsid w:val="3A8B77C7"/>
    <w:rsid w:val="3A992ECD"/>
    <w:rsid w:val="3A9A32EA"/>
    <w:rsid w:val="3ACD391F"/>
    <w:rsid w:val="3B026D00"/>
    <w:rsid w:val="3B1471CB"/>
    <w:rsid w:val="3B3E5C3F"/>
    <w:rsid w:val="3B655681"/>
    <w:rsid w:val="3B6C4553"/>
    <w:rsid w:val="3B6F3ABC"/>
    <w:rsid w:val="3B7527F4"/>
    <w:rsid w:val="3B943549"/>
    <w:rsid w:val="3BAA143A"/>
    <w:rsid w:val="3BC378A6"/>
    <w:rsid w:val="3BDC08FD"/>
    <w:rsid w:val="3BE42ECD"/>
    <w:rsid w:val="3BFE1CAB"/>
    <w:rsid w:val="3C10260E"/>
    <w:rsid w:val="3C274A05"/>
    <w:rsid w:val="3C5319D5"/>
    <w:rsid w:val="3C7511AE"/>
    <w:rsid w:val="3CA977D2"/>
    <w:rsid w:val="3CC733AF"/>
    <w:rsid w:val="3CD72551"/>
    <w:rsid w:val="3CF253B5"/>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166469"/>
    <w:rsid w:val="412008E0"/>
    <w:rsid w:val="412C469C"/>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308546B"/>
    <w:rsid w:val="43263445"/>
    <w:rsid w:val="434157E3"/>
    <w:rsid w:val="43494860"/>
    <w:rsid w:val="434D380E"/>
    <w:rsid w:val="43641CD0"/>
    <w:rsid w:val="4391700F"/>
    <w:rsid w:val="43934189"/>
    <w:rsid w:val="439D4850"/>
    <w:rsid w:val="43C27232"/>
    <w:rsid w:val="43DE56E5"/>
    <w:rsid w:val="43ED069F"/>
    <w:rsid w:val="442A6E5A"/>
    <w:rsid w:val="445C4B8F"/>
    <w:rsid w:val="44833851"/>
    <w:rsid w:val="44982752"/>
    <w:rsid w:val="44BF6F86"/>
    <w:rsid w:val="44C45031"/>
    <w:rsid w:val="44D53AB2"/>
    <w:rsid w:val="44F27B0D"/>
    <w:rsid w:val="45485BDE"/>
    <w:rsid w:val="457C730D"/>
    <w:rsid w:val="45945C30"/>
    <w:rsid w:val="459F2306"/>
    <w:rsid w:val="45A832FE"/>
    <w:rsid w:val="45AB6174"/>
    <w:rsid w:val="45BA63E5"/>
    <w:rsid w:val="45CC5EDC"/>
    <w:rsid w:val="45F73D47"/>
    <w:rsid w:val="460C2ECC"/>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30443"/>
    <w:rsid w:val="47CD38AD"/>
    <w:rsid w:val="47DB16D8"/>
    <w:rsid w:val="47EB3969"/>
    <w:rsid w:val="481726F3"/>
    <w:rsid w:val="48416760"/>
    <w:rsid w:val="48466F81"/>
    <w:rsid w:val="484D02A2"/>
    <w:rsid w:val="486B647A"/>
    <w:rsid w:val="48727103"/>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9F04DE"/>
    <w:rsid w:val="4AB92E92"/>
    <w:rsid w:val="4ACE4E53"/>
    <w:rsid w:val="4B2134B8"/>
    <w:rsid w:val="4B24233C"/>
    <w:rsid w:val="4B330A0B"/>
    <w:rsid w:val="4B5A475A"/>
    <w:rsid w:val="4B5E55F9"/>
    <w:rsid w:val="4B685D82"/>
    <w:rsid w:val="4B7B4674"/>
    <w:rsid w:val="4B7C663B"/>
    <w:rsid w:val="4B812078"/>
    <w:rsid w:val="4BF71347"/>
    <w:rsid w:val="4BF97932"/>
    <w:rsid w:val="4C141E75"/>
    <w:rsid w:val="4C2A4039"/>
    <w:rsid w:val="4C7D5744"/>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D33F6D"/>
    <w:rsid w:val="51DB1448"/>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5C0A8F"/>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941D63"/>
    <w:rsid w:val="559C0CE1"/>
    <w:rsid w:val="55B42D88"/>
    <w:rsid w:val="55D11119"/>
    <w:rsid w:val="55DB1F79"/>
    <w:rsid w:val="560A42BD"/>
    <w:rsid w:val="560C1D89"/>
    <w:rsid w:val="561E4991"/>
    <w:rsid w:val="56353B20"/>
    <w:rsid w:val="56443B98"/>
    <w:rsid w:val="56453A77"/>
    <w:rsid w:val="56757259"/>
    <w:rsid w:val="568B7EB7"/>
    <w:rsid w:val="56BC078F"/>
    <w:rsid w:val="56CB4BCB"/>
    <w:rsid w:val="56FB75FE"/>
    <w:rsid w:val="57321F0C"/>
    <w:rsid w:val="57391A95"/>
    <w:rsid w:val="573F3C9E"/>
    <w:rsid w:val="574C52C4"/>
    <w:rsid w:val="57526FDB"/>
    <w:rsid w:val="57572F35"/>
    <w:rsid w:val="575B33A4"/>
    <w:rsid w:val="57674A5D"/>
    <w:rsid w:val="579305ED"/>
    <w:rsid w:val="57974B58"/>
    <w:rsid w:val="57C90530"/>
    <w:rsid w:val="57CE0836"/>
    <w:rsid w:val="582F44F7"/>
    <w:rsid w:val="583F27F2"/>
    <w:rsid w:val="58455B6D"/>
    <w:rsid w:val="584D29B0"/>
    <w:rsid w:val="584F3111"/>
    <w:rsid w:val="584F7C49"/>
    <w:rsid w:val="5888302C"/>
    <w:rsid w:val="5889129A"/>
    <w:rsid w:val="58AD528C"/>
    <w:rsid w:val="58B31955"/>
    <w:rsid w:val="58BA45A1"/>
    <w:rsid w:val="594F6915"/>
    <w:rsid w:val="59737A65"/>
    <w:rsid w:val="59842DF4"/>
    <w:rsid w:val="599A0679"/>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4454C"/>
    <w:rsid w:val="5B3F66E7"/>
    <w:rsid w:val="5B872AE6"/>
    <w:rsid w:val="5BA77753"/>
    <w:rsid w:val="5BC025EF"/>
    <w:rsid w:val="5BF52057"/>
    <w:rsid w:val="5C1203C7"/>
    <w:rsid w:val="5C1F35AE"/>
    <w:rsid w:val="5C3905BF"/>
    <w:rsid w:val="5C66397A"/>
    <w:rsid w:val="5C7349B6"/>
    <w:rsid w:val="5C824C05"/>
    <w:rsid w:val="5C8725EE"/>
    <w:rsid w:val="5CA87E65"/>
    <w:rsid w:val="5CB0251A"/>
    <w:rsid w:val="5CB97030"/>
    <w:rsid w:val="5CC97332"/>
    <w:rsid w:val="5D187049"/>
    <w:rsid w:val="5D1D2427"/>
    <w:rsid w:val="5D756277"/>
    <w:rsid w:val="5D955FBD"/>
    <w:rsid w:val="5D96149F"/>
    <w:rsid w:val="5DA62524"/>
    <w:rsid w:val="5DAC3919"/>
    <w:rsid w:val="5DB36259"/>
    <w:rsid w:val="5DBD33B2"/>
    <w:rsid w:val="5DC223CB"/>
    <w:rsid w:val="5DD40E3E"/>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C44411"/>
    <w:rsid w:val="5FCD4E07"/>
    <w:rsid w:val="605C7AA6"/>
    <w:rsid w:val="605F132B"/>
    <w:rsid w:val="608510A4"/>
    <w:rsid w:val="608762FF"/>
    <w:rsid w:val="609E1C45"/>
    <w:rsid w:val="60BD4FD1"/>
    <w:rsid w:val="60D507D0"/>
    <w:rsid w:val="60EA1511"/>
    <w:rsid w:val="60EB6C34"/>
    <w:rsid w:val="60FD5C7B"/>
    <w:rsid w:val="613D7E7B"/>
    <w:rsid w:val="617162E9"/>
    <w:rsid w:val="617B2C59"/>
    <w:rsid w:val="61901E7D"/>
    <w:rsid w:val="61A52BAA"/>
    <w:rsid w:val="61C574D1"/>
    <w:rsid w:val="61FA0AE4"/>
    <w:rsid w:val="623438BB"/>
    <w:rsid w:val="62395FD8"/>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562840"/>
    <w:rsid w:val="637141EC"/>
    <w:rsid w:val="63805B1F"/>
    <w:rsid w:val="63834973"/>
    <w:rsid w:val="638F3DC7"/>
    <w:rsid w:val="6397194C"/>
    <w:rsid w:val="63CF1759"/>
    <w:rsid w:val="63DA4B5E"/>
    <w:rsid w:val="63F10740"/>
    <w:rsid w:val="64273E62"/>
    <w:rsid w:val="642E2892"/>
    <w:rsid w:val="64AD7C37"/>
    <w:rsid w:val="64B05758"/>
    <w:rsid w:val="64BE4B0D"/>
    <w:rsid w:val="65075A96"/>
    <w:rsid w:val="650E600B"/>
    <w:rsid w:val="650F0C7B"/>
    <w:rsid w:val="65B221E6"/>
    <w:rsid w:val="66426031"/>
    <w:rsid w:val="66593B74"/>
    <w:rsid w:val="665D2DD8"/>
    <w:rsid w:val="66651C8A"/>
    <w:rsid w:val="66657F7F"/>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A0138F7"/>
    <w:rsid w:val="6A1E155A"/>
    <w:rsid w:val="6A464835"/>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1B314B"/>
    <w:rsid w:val="6C231806"/>
    <w:rsid w:val="6C275F8B"/>
    <w:rsid w:val="6C3B15FF"/>
    <w:rsid w:val="6C3B431E"/>
    <w:rsid w:val="6C3E5116"/>
    <w:rsid w:val="6C725FD7"/>
    <w:rsid w:val="6C7D707F"/>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3AA4"/>
    <w:rsid w:val="6E95768E"/>
    <w:rsid w:val="6EA14900"/>
    <w:rsid w:val="6EB27AA3"/>
    <w:rsid w:val="6EF9461D"/>
    <w:rsid w:val="6F1348E9"/>
    <w:rsid w:val="6F2A01FE"/>
    <w:rsid w:val="6F2A71A4"/>
    <w:rsid w:val="6F5643AA"/>
    <w:rsid w:val="6F9415EA"/>
    <w:rsid w:val="6FB72F84"/>
    <w:rsid w:val="6FCA5E7C"/>
    <w:rsid w:val="6FE3419F"/>
    <w:rsid w:val="6FF778F1"/>
    <w:rsid w:val="700346D4"/>
    <w:rsid w:val="700972F0"/>
    <w:rsid w:val="70287F2C"/>
    <w:rsid w:val="709714D4"/>
    <w:rsid w:val="70976466"/>
    <w:rsid w:val="70A579AC"/>
    <w:rsid w:val="70AF69EB"/>
    <w:rsid w:val="70F97D93"/>
    <w:rsid w:val="71175FCF"/>
    <w:rsid w:val="71181113"/>
    <w:rsid w:val="711D7CA6"/>
    <w:rsid w:val="71227E63"/>
    <w:rsid w:val="71614B6B"/>
    <w:rsid w:val="718D2905"/>
    <w:rsid w:val="719909D2"/>
    <w:rsid w:val="719B61D4"/>
    <w:rsid w:val="71A10922"/>
    <w:rsid w:val="71D214DD"/>
    <w:rsid w:val="71F46E16"/>
    <w:rsid w:val="72091DAA"/>
    <w:rsid w:val="721F7585"/>
    <w:rsid w:val="72267D97"/>
    <w:rsid w:val="724E29D1"/>
    <w:rsid w:val="728564F5"/>
    <w:rsid w:val="728B7ACE"/>
    <w:rsid w:val="728E70EC"/>
    <w:rsid w:val="729701CD"/>
    <w:rsid w:val="72AB431D"/>
    <w:rsid w:val="72DA09BB"/>
    <w:rsid w:val="72E745EF"/>
    <w:rsid w:val="730E0485"/>
    <w:rsid w:val="730E4D7D"/>
    <w:rsid w:val="73113FA3"/>
    <w:rsid w:val="731466EF"/>
    <w:rsid w:val="73212A01"/>
    <w:rsid w:val="73322FF0"/>
    <w:rsid w:val="733712FB"/>
    <w:rsid w:val="73460FB0"/>
    <w:rsid w:val="73513F28"/>
    <w:rsid w:val="735A7119"/>
    <w:rsid w:val="736127BE"/>
    <w:rsid w:val="739E0038"/>
    <w:rsid w:val="73B34591"/>
    <w:rsid w:val="73CB7633"/>
    <w:rsid w:val="73D850A2"/>
    <w:rsid w:val="73DE7F6C"/>
    <w:rsid w:val="73E365CE"/>
    <w:rsid w:val="73E64B1D"/>
    <w:rsid w:val="740735EA"/>
    <w:rsid w:val="7408106C"/>
    <w:rsid w:val="74213EA8"/>
    <w:rsid w:val="74BE4E97"/>
    <w:rsid w:val="74D504C8"/>
    <w:rsid w:val="74F679F1"/>
    <w:rsid w:val="74F841F7"/>
    <w:rsid w:val="75003D28"/>
    <w:rsid w:val="750445F2"/>
    <w:rsid w:val="750714CC"/>
    <w:rsid w:val="751D637E"/>
    <w:rsid w:val="751F2555"/>
    <w:rsid w:val="753504B8"/>
    <w:rsid w:val="75466A74"/>
    <w:rsid w:val="758418D8"/>
    <w:rsid w:val="75A17528"/>
    <w:rsid w:val="75AA6AC3"/>
    <w:rsid w:val="75B749A9"/>
    <w:rsid w:val="75CB1443"/>
    <w:rsid w:val="75CD3F16"/>
    <w:rsid w:val="76781DCD"/>
    <w:rsid w:val="76D84698"/>
    <w:rsid w:val="773434DC"/>
    <w:rsid w:val="775865D7"/>
    <w:rsid w:val="775B4584"/>
    <w:rsid w:val="776234AF"/>
    <w:rsid w:val="776D12AE"/>
    <w:rsid w:val="77AD0FE0"/>
    <w:rsid w:val="77BE7384"/>
    <w:rsid w:val="78821B50"/>
    <w:rsid w:val="788E2A2A"/>
    <w:rsid w:val="789326BD"/>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A6283B"/>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7E07D2"/>
    <w:rsid w:val="7C910DB6"/>
    <w:rsid w:val="7CF03F88"/>
    <w:rsid w:val="7CF73786"/>
    <w:rsid w:val="7D5E51C4"/>
    <w:rsid w:val="7D7525FB"/>
    <w:rsid w:val="7DC111D1"/>
    <w:rsid w:val="7DC43A43"/>
    <w:rsid w:val="7DC74225"/>
    <w:rsid w:val="7DDA69EF"/>
    <w:rsid w:val="7E40264C"/>
    <w:rsid w:val="7E6C26A2"/>
    <w:rsid w:val="7EB35583"/>
    <w:rsid w:val="7EB5276C"/>
    <w:rsid w:val="7EBC57D7"/>
    <w:rsid w:val="7ED0794B"/>
    <w:rsid w:val="7ED70A6F"/>
    <w:rsid w:val="7EE20D78"/>
    <w:rsid w:val="7F0B5C4B"/>
    <w:rsid w:val="7F3206AA"/>
    <w:rsid w:val="7F505487"/>
    <w:rsid w:val="7F5E6382"/>
    <w:rsid w:val="7F5F2553"/>
    <w:rsid w:val="7F614039"/>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2"/>
      <w:lang w:val="en-US" w:eastAsia="zh-CN" w:bidi="ar-SA"/>
    </w:rPr>
  </w:style>
  <w:style w:type="paragraph" w:styleId="7">
    <w:name w:val="Normal Indent"/>
    <w:basedOn w:val="1"/>
    <w:qFormat/>
    <w:uiPriority w:val="0"/>
    <w:pPr>
      <w:ind w:firstLine="420"/>
    </w:pPr>
    <w:rPr>
      <w:szCs w:val="20"/>
    </w:rPr>
  </w:style>
  <w:style w:type="paragraph" w:styleId="8">
    <w:name w:val="Document Map"/>
    <w:basedOn w:val="1"/>
    <w:link w:val="36"/>
    <w:qFormat/>
    <w:uiPriority w:val="0"/>
    <w:rPr>
      <w:rFonts w:ascii="宋体" w:hAnsi="Tahoma"/>
      <w:sz w:val="18"/>
      <w:szCs w:val="18"/>
    </w:rPr>
  </w:style>
  <w:style w:type="paragraph" w:styleId="9">
    <w:name w:val="annotation text"/>
    <w:basedOn w:val="1"/>
    <w:link w:val="65"/>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Body Text Indent 3"/>
    <w:basedOn w:val="1"/>
    <w:qFormat/>
    <w:uiPriority w:val="0"/>
    <w:pPr>
      <w:ind w:left="359" w:leftChars="171" w:firstLine="554" w:firstLineChars="198"/>
    </w:pPr>
    <w:rPr>
      <w:sz w:val="2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6">
    <w:name w:val="annotation subject"/>
    <w:basedOn w:val="9"/>
    <w:next w:val="9"/>
    <w:link w:val="63"/>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ascii="Tahoma" w:hAnsi="Tahoma"/>
      <w:b/>
      <w:bCs/>
      <w:sz w:val="24"/>
    </w:rPr>
  </w:style>
  <w:style w:type="character" w:styleId="31">
    <w:name w:val="page number"/>
    <w:basedOn w:val="29"/>
    <w:qFormat/>
    <w:uiPriority w:val="0"/>
  </w:style>
  <w:style w:type="character" w:styleId="32">
    <w:name w:val="FollowedHyperlink"/>
    <w:qFormat/>
    <w:uiPriority w:val="0"/>
    <w:rPr>
      <w:rFonts w:ascii="Tahoma" w:hAnsi="Tahoma"/>
      <w:color w:val="000000"/>
      <w:sz w:val="18"/>
      <w:szCs w:val="18"/>
      <w:u w:val="none"/>
    </w:rPr>
  </w:style>
  <w:style w:type="character" w:styleId="33">
    <w:name w:val="Hyperlink"/>
    <w:qFormat/>
    <w:uiPriority w:val="99"/>
    <w:rPr>
      <w:rFonts w:ascii="Tahoma" w:hAnsi="Tahoma"/>
      <w:color w:val="0000FF"/>
      <w:sz w:val="24"/>
      <w:u w:val="single"/>
    </w:rPr>
  </w:style>
  <w:style w:type="character" w:styleId="34">
    <w:name w:val="annotation reference"/>
    <w:unhideWhenUsed/>
    <w:qFormat/>
    <w:uiPriority w:val="99"/>
    <w:rPr>
      <w:rFonts w:ascii="Tahoma" w:hAnsi="Tahoma"/>
      <w:sz w:val="21"/>
      <w:szCs w:val="21"/>
    </w:rPr>
  </w:style>
  <w:style w:type="character" w:customStyle="1" w:styleId="35">
    <w:name w:val="cfdate"/>
    <w:basedOn w:val="29"/>
    <w:qFormat/>
    <w:uiPriority w:val="0"/>
    <w:rPr>
      <w:color w:val="333333"/>
      <w:sz w:val="18"/>
      <w:szCs w:val="18"/>
    </w:rPr>
  </w:style>
  <w:style w:type="character" w:customStyle="1" w:styleId="36">
    <w:name w:val="文档结构图 字符"/>
    <w:link w:val="8"/>
    <w:qFormat/>
    <w:uiPriority w:val="0"/>
    <w:rPr>
      <w:rFonts w:ascii="宋体" w:hAnsi="Tahoma"/>
      <w:kern w:val="2"/>
      <w:sz w:val="18"/>
      <w:szCs w:val="18"/>
    </w:rPr>
  </w:style>
  <w:style w:type="character" w:customStyle="1" w:styleId="37">
    <w:name w:val="copyright"/>
    <w:basedOn w:val="29"/>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9"/>
    <w:qFormat/>
    <w:uiPriority w:val="0"/>
    <w:rPr>
      <w:color w:val="333333"/>
      <w:sz w:val="18"/>
      <w:szCs w:val="18"/>
    </w:rPr>
  </w:style>
  <w:style w:type="character" w:customStyle="1" w:styleId="40">
    <w:name w:val="gjfg"/>
    <w:basedOn w:val="29"/>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9"/>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字符"/>
    <w:link w:val="19"/>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字符"/>
    <w:link w:val="26"/>
    <w:qFormat/>
    <w:uiPriority w:val="0"/>
    <w:rPr>
      <w:rFonts w:ascii="Tahoma" w:hAnsi="Tahoma"/>
      <w:b/>
      <w:bCs/>
      <w:kern w:val="2"/>
      <w:sz w:val="21"/>
      <w:szCs w:val="24"/>
    </w:rPr>
  </w:style>
  <w:style w:type="character" w:customStyle="1" w:styleId="64">
    <w:name w:val="redfilefwwh"/>
    <w:basedOn w:val="29"/>
    <w:qFormat/>
    <w:uiPriority w:val="0"/>
    <w:rPr>
      <w:color w:val="BA2636"/>
      <w:sz w:val="18"/>
      <w:szCs w:val="18"/>
    </w:rPr>
  </w:style>
  <w:style w:type="character" w:customStyle="1" w:styleId="65">
    <w:name w:val="批注文字 字符"/>
    <w:link w:val="9"/>
    <w:semiHidden/>
    <w:qFormat/>
    <w:uiPriority w:val="99"/>
    <w:rPr>
      <w:rFonts w:ascii="Tahoma" w:hAnsi="Tahoma"/>
      <w:kern w:val="2"/>
      <w:sz w:val="21"/>
      <w:szCs w:val="24"/>
    </w:rPr>
  </w:style>
  <w:style w:type="character" w:customStyle="1" w:styleId="66">
    <w:name w:val="redfilenumber"/>
    <w:basedOn w:val="29"/>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7</TotalTime>
  <ScaleCrop>false</ScaleCrop>
  <LinksUpToDate>false</LinksUpToDate>
  <CharactersWithSpaces>29889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菊花爆满山</cp:lastModifiedBy>
  <cp:lastPrinted>2019-09-01T07:55:00Z</cp:lastPrinted>
  <dcterms:modified xsi:type="dcterms:W3CDTF">2020-06-08T03:19:47Z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