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1"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shadow/>
          <w:color w:val="auto"/>
          <w:sz w:val="92"/>
        </w:rPr>
        <w:t>竞争性</w:t>
      </w:r>
      <w:r>
        <w:rPr>
          <w:rFonts w:hint="eastAsia" w:asciiTheme="minorEastAsia" w:hAnsiTheme="minorEastAsia" w:eastAsiaTheme="minorEastAsia" w:cstheme="minorEastAsia"/>
          <w:shadow/>
          <w:color w:val="auto"/>
          <w:sz w:val="92"/>
          <w:lang w:val="en-US" w:eastAsia="zh-CN"/>
        </w:rPr>
        <w:t>磋商</w:t>
      </w:r>
      <w:r>
        <w:rPr>
          <w:rFonts w:hint="eastAsia" w:asciiTheme="minorEastAsia" w:hAnsiTheme="minorEastAsia" w:eastAsiaTheme="minorEastAsia" w:cstheme="minorEastAsia"/>
          <w:shadow/>
          <w:color w:val="auto"/>
          <w:sz w:val="92"/>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top"/>
          </w:tcPr>
          <w:p>
            <w:pPr>
              <w:pStyle w:val="95"/>
              <w:kinsoku w:val="0"/>
              <w:overflowPunct w:val="0"/>
              <w:spacing w:before="122"/>
              <w:ind w:left="55"/>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ZJZB-ZC-202005-144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3"/>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top"/>
          </w:tcPr>
          <w:p>
            <w:pPr>
              <w:pStyle w:val="95"/>
              <w:kinsoku w:val="0"/>
              <w:overflowPunct w:val="0"/>
              <w:spacing w:before="123" w:line="242" w:lineRule="auto"/>
              <w:ind w:left="55" w:right="136"/>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华中农业大学肥料生产线和虚拟仿真采购项目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2"/>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492"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人：</w:t>
            </w:r>
          </w:p>
        </w:tc>
        <w:tc>
          <w:tcPr>
            <w:tcW w:w="5631"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华中农业大学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492"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采购</w:t>
            </w:r>
            <w:r>
              <w:rPr>
                <w:rFonts w:hint="eastAsia" w:asciiTheme="minorEastAsia" w:hAnsiTheme="minorEastAsia" w:eastAsiaTheme="minorEastAsia" w:cstheme="minorEastAsia"/>
                <w:b/>
                <w:color w:val="auto"/>
                <w:sz w:val="28"/>
              </w:rPr>
              <w:t>代理机构：</w:t>
            </w:r>
          </w:p>
        </w:tc>
        <w:tc>
          <w:tcPr>
            <w:tcW w:w="5631"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492"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制</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时</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z w:val="28"/>
              </w:rPr>
              <w:t>间</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w:t>
            </w:r>
          </w:p>
        </w:tc>
        <w:tc>
          <w:tcPr>
            <w:tcW w:w="5631"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2</w:t>
            </w:r>
            <w:r>
              <w:rPr>
                <w:rFonts w:hint="eastAsia" w:asciiTheme="minorEastAsia" w:hAnsiTheme="minorEastAsia" w:eastAsiaTheme="minorEastAsia" w:cstheme="minorEastAsia"/>
                <w:b/>
                <w:color w:val="auto"/>
                <w:spacing w:val="-19"/>
                <w:sz w:val="28"/>
              </w:rPr>
              <w:t xml:space="preserve"> </w:t>
            </w:r>
            <w:r>
              <w:rPr>
                <w:rFonts w:hint="eastAsia" w:asciiTheme="minorEastAsia" w:hAnsiTheme="minorEastAsia" w:eastAsiaTheme="minorEastAsia" w:cstheme="minorEastAsia"/>
                <w:b/>
                <w:color w:val="auto"/>
                <w:sz w:val="28"/>
              </w:rPr>
              <w:t>0</w:t>
            </w:r>
            <w:r>
              <w:rPr>
                <w:rFonts w:hint="eastAsia" w:asciiTheme="minorEastAsia" w:hAnsiTheme="minorEastAsia" w:eastAsiaTheme="minorEastAsia" w:cstheme="minorEastAsia"/>
                <w:b/>
                <w:color w:val="auto"/>
                <w:spacing w:val="-17"/>
                <w:sz w:val="28"/>
              </w:rPr>
              <w:t xml:space="preserve"> </w:t>
            </w:r>
            <w:r>
              <w:rPr>
                <w:rFonts w:hint="eastAsia" w:asciiTheme="minorEastAsia" w:hAnsiTheme="minorEastAsia" w:eastAsiaTheme="minorEastAsia" w:cstheme="minorEastAsia"/>
                <w:b/>
                <w:color w:val="auto"/>
                <w:sz w:val="28"/>
                <w:lang w:val="en-US" w:eastAsia="zh-CN"/>
              </w:rPr>
              <w:t>2</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pacing w:val="-16"/>
                <w:sz w:val="28"/>
                <w:lang w:val="en-US" w:eastAsia="zh-CN"/>
              </w:rPr>
              <w:t>0</w:t>
            </w:r>
            <w:r>
              <w:rPr>
                <w:rFonts w:hint="eastAsia" w:asciiTheme="minorEastAsia" w:hAnsiTheme="minorEastAsia" w:eastAsiaTheme="minorEastAsia" w:cstheme="minorEastAsia"/>
                <w:b/>
                <w:color w:val="auto"/>
                <w:sz w:val="28"/>
              </w:rPr>
              <w:t>年</w:t>
            </w:r>
            <w:r>
              <w:rPr>
                <w:rFonts w:hint="eastAsia" w:asciiTheme="minorEastAsia" w:hAnsiTheme="minorEastAsia" w:eastAsiaTheme="minorEastAsia" w:cstheme="minorEastAsia"/>
                <w:b/>
                <w:color w:val="auto"/>
                <w:sz w:val="28"/>
                <w:lang w:val="en-US" w:eastAsia="zh-CN"/>
              </w:rPr>
              <w:t>5</w:t>
            </w:r>
            <w:r>
              <w:rPr>
                <w:rFonts w:hint="eastAsia" w:asciiTheme="minorEastAsia" w:hAnsiTheme="minorEastAsia" w:eastAsiaTheme="minorEastAsia" w:cstheme="minorEastAsia"/>
                <w:b/>
                <w:color w:val="auto"/>
                <w:sz w:val="28"/>
              </w:rPr>
              <w:t>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_Toc24185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第一章 </w:t>
      </w:r>
      <w:r>
        <w:rPr>
          <w:rFonts w:hint="eastAsia" w:asciiTheme="minorEastAsia" w:hAnsiTheme="minorEastAsia" w:eastAsiaTheme="minorEastAsia" w:cstheme="minorEastAsia"/>
          <w:szCs w:val="36"/>
        </w:rPr>
        <w:t>竞争性磋商采购公告</w:t>
      </w:r>
      <w:r>
        <w:tab/>
      </w:r>
      <w:r>
        <w:fldChar w:fldCharType="begin"/>
      </w:r>
      <w:r>
        <w:instrText xml:space="preserve"> PAGEREF _Toc24185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_Toc5947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一、 项目概况</w:t>
      </w:r>
      <w:r>
        <w:tab/>
      </w:r>
      <w:r>
        <w:fldChar w:fldCharType="begin"/>
      </w:r>
      <w:r>
        <w:instrText xml:space="preserve"> PAGEREF _Toc5947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_Toc14744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二、 资格要求</w:t>
      </w:r>
      <w:r>
        <w:tab/>
      </w:r>
      <w:r>
        <w:fldChar w:fldCharType="begin"/>
      </w:r>
      <w:r>
        <w:instrText xml:space="preserve"> PAGEREF _Toc14744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三、 采购文件的获取</w:t>
      </w:r>
      <w:r>
        <w:tab/>
      </w:r>
      <w:r>
        <w:fldChar w:fldCharType="begin"/>
      </w:r>
      <w:r>
        <w:instrText xml:space="preserve"> PAGEREF _Toc13830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_Toc31195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四、 磋商响应文件送达地点及截止时间</w:t>
      </w:r>
      <w:r>
        <w:tab/>
      </w:r>
      <w:r>
        <w:fldChar w:fldCharType="begin"/>
      </w:r>
      <w:r>
        <w:instrText xml:space="preserve"> PAGEREF _Toc31195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_Toc6123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五、 采购人联系方式</w:t>
      </w:r>
      <w:r>
        <w:tab/>
      </w:r>
      <w:r>
        <w:fldChar w:fldCharType="begin"/>
      </w:r>
      <w:r>
        <w:instrText xml:space="preserve"> PAGEREF _Toc6123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六、 政府采购代理机构联系方式</w:t>
      </w:r>
      <w:r>
        <w:tab/>
      </w:r>
      <w:r>
        <w:fldChar w:fldCharType="begin"/>
      </w:r>
      <w:r>
        <w:instrText xml:space="preserve"> PAGEREF _Toc577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七、 信息发布媒体</w:t>
      </w:r>
      <w:r>
        <w:rPr>
          <w:rFonts w:hint="eastAsia" w:asciiTheme="minorEastAsia" w:hAnsiTheme="minorEastAsia" w:eastAsiaTheme="minorEastAsia" w:cstheme="minorEastAsia"/>
          <w:szCs w:val="21"/>
          <w:lang w:val="en-US" w:eastAsia="zh-CN"/>
        </w:rPr>
        <w:t>及时间</w:t>
      </w:r>
      <w:r>
        <w:tab/>
      </w:r>
      <w:r>
        <w:fldChar w:fldCharType="begin"/>
      </w:r>
      <w:r>
        <w:instrText xml:space="preserve"> PAGEREF _Toc12832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八、 注意事项</w:t>
      </w:r>
      <w:r>
        <w:tab/>
      </w:r>
      <w:r>
        <w:fldChar w:fldCharType="begin"/>
      </w:r>
      <w:r>
        <w:instrText xml:space="preserve"> PAGEREF _Toc24714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_Toc15142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_Toc15142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_Toc23028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_Toc23028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_Toc4374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_Toc4795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_Toc4795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_Toc13216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_Toc13216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_Toc20138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_Toc20138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_Toc30413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_Toc30413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_Toc31566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_Toc31566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_Toc31999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_Toc31999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_Toc30845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_Toc30845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_Toc14791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_Toc14791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_Toc31307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_Toc31307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_Toc3204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_Toc30649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_Toc14572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_Toc14572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_Toc29580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_Toc29580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_Toc29934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_Toc29934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_Toc6453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_Toc6453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_Toc16011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_Toc16011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_Toc13751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_Toc13751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_Toc411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_Toc5348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_Toc5276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_Toc5276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_Toc19824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_Toc19824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_Toc3313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_Toc3313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_Toc6823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_Toc11848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_Toc11848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_Toc6348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_Toc5628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_Toc5628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_Toc8549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_Toc8549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_Toc2731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_Toc2731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_Toc12040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_Toc12040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_Toc22872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_Toc22872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_Toc11358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_Toc11358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_Toc13528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_Toc13528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_Toc28795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_Toc28795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_Toc29010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_Toc29010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_Toc31420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_Toc31420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_Toc1309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_Toc21193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_Toc21193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_Toc16714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_Toc16714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_Toc21867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_Toc21867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_Toc1929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_Toc1929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_Toc15706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_Toc15706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_Toc12380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_Toc28459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_Toc11180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采购需求</w:t>
      </w:r>
      <w:r>
        <w:tab/>
      </w:r>
      <w:r>
        <w:fldChar w:fldCharType="begin"/>
      </w:r>
      <w:r>
        <w:instrText xml:space="preserve"> PAGEREF _Toc11180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_Toc2570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_Toc30527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_Toc30527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_Toc2788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_Toc2788 </w:instrText>
      </w:r>
      <w:r>
        <w:fldChar w:fldCharType="separate"/>
      </w:r>
      <w:r>
        <w:t>29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_Toc8606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_Toc8606 </w:instrText>
      </w:r>
      <w:r>
        <w:fldChar w:fldCharType="separate"/>
      </w:r>
      <w:r>
        <w:t>29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_Toc32290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_Toc32290 </w:instrText>
      </w:r>
      <w:r>
        <w:fldChar w:fldCharType="separate"/>
      </w:r>
      <w:r>
        <w:t>32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_Toc1388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 xml:space="preserve"> 四、</w:t>
      </w:r>
      <w:r>
        <w:rPr>
          <w:rFonts w:hint="eastAsia" w:asciiTheme="minorEastAsia" w:hAnsiTheme="minorEastAsia" w:eastAsiaTheme="minorEastAsia" w:cstheme="minorEastAsia"/>
          <w:szCs w:val="21"/>
        </w:rPr>
        <w:t>评定办法</w:t>
      </w:r>
      <w:r>
        <w:tab/>
      </w:r>
      <w:r>
        <w:fldChar w:fldCharType="begin"/>
      </w:r>
      <w:r>
        <w:instrText xml:space="preserve"> PAGEREF _Toc23609 </w:instrText>
      </w:r>
      <w:r>
        <w:fldChar w:fldCharType="separate"/>
      </w:r>
      <w:r>
        <w:t>34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_Toc2115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_Toc20360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_Toc20360 </w:instrText>
      </w:r>
      <w:r>
        <w:fldChar w:fldCharType="separate"/>
      </w:r>
      <w:r>
        <w:t>37</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_Toc16771 </w:instrText>
      </w:r>
      <w:r>
        <w:fldChar w:fldCharType="separate"/>
      </w:r>
      <w:r>
        <w:t>39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_Toc22111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评分标准索引表</w:t>
      </w:r>
      <w:r>
        <w:tab/>
      </w:r>
      <w:r>
        <w:fldChar w:fldCharType="begin"/>
      </w:r>
      <w:r>
        <w:instrText xml:space="preserve"> PAGEREF _Toc22111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_Toc20684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三</w:t>
      </w:r>
      <w:r>
        <w:rPr>
          <w:rFonts w:hint="eastAsia" w:asciiTheme="minorEastAsia" w:hAnsiTheme="minorEastAsia" w:eastAsiaTheme="minorEastAsia" w:cstheme="minorEastAsia"/>
        </w:rPr>
        <w:t>、法定代表人授权书</w:t>
      </w:r>
      <w:r>
        <w:tab/>
      </w:r>
      <w:r>
        <w:fldChar w:fldCharType="begin"/>
      </w:r>
      <w:r>
        <w:instrText xml:space="preserve"> PAGEREF _Toc2610 </w:instrText>
      </w:r>
      <w:r>
        <w:fldChar w:fldCharType="separate"/>
      </w:r>
      <w:r>
        <w:t>43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 xml:space="preserve">  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_Toc10475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_Toc23856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四</w:t>
      </w:r>
      <w:r>
        <w:rPr>
          <w:rFonts w:hint="eastAsia" w:asciiTheme="minorEastAsia" w:hAnsiTheme="minorEastAsia" w:eastAsiaTheme="minorEastAsia" w:cstheme="minorEastAsia"/>
          <w:bCs/>
          <w:szCs w:val="21"/>
        </w:rPr>
        <w:t>、报价一览表</w:t>
      </w:r>
      <w:r>
        <w:tab/>
      </w:r>
      <w:r>
        <w:fldChar w:fldCharType="begin"/>
      </w:r>
      <w:r>
        <w:instrText xml:space="preserve"> PAGEREF _Toc23856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_Toc31617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_Toc31617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、耗材清单</w:t>
      </w:r>
      <w:r>
        <w:tab/>
      </w:r>
      <w:r>
        <w:fldChar w:fldCharType="begin"/>
      </w:r>
      <w:r>
        <w:instrText xml:space="preserve"> PAGEREF _Toc27104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七、拟投入设备/备件、工具情况</w:t>
      </w:r>
      <w:r>
        <w:tab/>
      </w:r>
      <w:r>
        <w:fldChar w:fldCharType="begin"/>
      </w:r>
      <w:r>
        <w:instrText xml:space="preserve"> PAGEREF _Toc4793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_Toc3195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_Toc4542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、偏离说明表</w:t>
      </w:r>
      <w:r>
        <w:tab/>
      </w:r>
      <w:r>
        <w:fldChar w:fldCharType="begin"/>
      </w:r>
      <w:r>
        <w:instrText xml:space="preserve"> PAGEREF _Toc4542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_Toc31755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一</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_Toc6612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二</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_Toc2463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_Toc316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_Toc7704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_Toc7704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_Toc29270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_Toc29270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lang w:val="en-US" w:eastAsia="zh-CN"/>
        </w:rPr>
        <w:t>十七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_Toc4952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_Toc15506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十八、节能环保产品证明材料（若符合）</w:t>
      </w:r>
      <w:r>
        <w:tab/>
      </w:r>
      <w:r>
        <w:fldChar w:fldCharType="begin"/>
      </w:r>
      <w:r>
        <w:instrText xml:space="preserve"> PAGEREF _Toc15506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十九</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_Toc11218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_Toc11829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二十、参加本次政府采购活动前3年内发生诉讼及仲裁情况表</w:t>
      </w:r>
      <w:r>
        <w:tab/>
      </w:r>
      <w:r>
        <w:fldChar w:fldCharType="begin"/>
      </w:r>
      <w:r>
        <w:instrText xml:space="preserve"> PAGEREF _Toc11829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_Toc17368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shd w:val="clear" w:color="auto" w:fill="FFFFFF"/>
        </w:rPr>
        <w:t xml:space="preserve"> </w:t>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、磋商供应商认为应该提交的其它文件（格式自拟）</w:t>
      </w:r>
      <w:r>
        <w:tab/>
      </w:r>
      <w:r>
        <w:fldChar w:fldCharType="begin"/>
      </w:r>
      <w:r>
        <w:instrText xml:space="preserve"> PAGEREF _Toc17368 </w:instrText>
      </w:r>
      <w:r>
        <w:fldChar w:fldCharType="separate"/>
      </w:r>
      <w:r>
        <w:t>61</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bookmarkStart w:id="0" w:name="_Toc24185"/>
      <w:r>
        <w:rPr>
          <w:rFonts w:hint="eastAsia" w:asciiTheme="minorEastAsia" w:hAnsiTheme="minorEastAsia" w:eastAsiaTheme="minorEastAsia" w:cstheme="minorEastAsia"/>
          <w:sz w:val="36"/>
          <w:szCs w:val="36"/>
        </w:rPr>
        <w:t>竞争性磋商采购公告</w:t>
      </w:r>
      <w:bookmarkEnd w:id="0"/>
    </w:p>
    <w:p>
      <w:pPr>
        <w:spacing w:line="44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中经国际招标集团有限公司（以下简称“采购代理机构”）</w:t>
      </w:r>
      <w:r>
        <w:rPr>
          <w:rFonts w:hint="eastAsia" w:asciiTheme="minorEastAsia" w:hAnsiTheme="minorEastAsia" w:eastAsiaTheme="minorEastAsia" w:cstheme="minorEastAsia"/>
          <w:color w:val="000000"/>
          <w:szCs w:val="21"/>
        </w:rPr>
        <w:t>受华中农业大</w:t>
      </w:r>
      <w:r>
        <w:rPr>
          <w:rFonts w:hint="eastAsia" w:asciiTheme="minorEastAsia" w:hAnsiTheme="minorEastAsia" w:eastAsiaTheme="minorEastAsia" w:cstheme="minorEastAsia"/>
          <w:color w:val="auto"/>
          <w:szCs w:val="21"/>
        </w:rPr>
        <w:t>学</w:t>
      </w:r>
      <w:r>
        <w:rPr>
          <w:rFonts w:hint="eastAsia" w:asciiTheme="minorEastAsia" w:hAnsiTheme="minorEastAsia" w:eastAsiaTheme="minorEastAsia" w:cstheme="minorEastAsia"/>
          <w:color w:val="auto"/>
          <w:szCs w:val="21"/>
          <w:u w:val="none"/>
          <w:lang w:val="en-US" w:eastAsia="zh-CN"/>
        </w:rPr>
        <w:t>（以下简称“采购人”）</w:t>
      </w:r>
      <w:r>
        <w:rPr>
          <w:rFonts w:hint="eastAsia" w:asciiTheme="minorEastAsia" w:hAnsiTheme="minorEastAsia" w:eastAsiaTheme="minorEastAsia" w:cstheme="minorEastAsia"/>
          <w:color w:val="auto"/>
          <w:szCs w:val="21"/>
        </w:rPr>
        <w:t>的委托，对华中农业大学肥料生产线和虚拟仿真采购项目进行竞争性磋商采购</w:t>
      </w:r>
      <w:r>
        <w:rPr>
          <w:rFonts w:hint="eastAsia" w:asciiTheme="minorEastAsia" w:hAnsiTheme="minorEastAsia" w:eastAsiaTheme="minorEastAsia" w:cstheme="minorEastAsia"/>
          <w:color w:val="000000"/>
          <w:szCs w:val="21"/>
        </w:rPr>
        <w:t>。欢迎符合资质条件并对此感兴趣的响应供应商参与磋商。</w:t>
      </w:r>
    </w:p>
    <w:p>
      <w:pPr>
        <w:pStyle w:val="4"/>
        <w:numPr>
          <w:ilvl w:val="0"/>
          <w:numId w:val="5"/>
        </w:numPr>
        <w:spacing w:line="240" w:lineRule="auto"/>
        <w:rPr>
          <w:rFonts w:hint="eastAsia" w:asciiTheme="minorEastAsia" w:hAnsiTheme="minorEastAsia" w:eastAsiaTheme="minorEastAsia" w:cstheme="minorEastAsia"/>
          <w:color w:val="000000"/>
          <w:sz w:val="21"/>
          <w:szCs w:val="21"/>
        </w:rPr>
      </w:pPr>
      <w:bookmarkStart w:id="1" w:name="_Toc23202"/>
      <w:bookmarkStart w:id="2" w:name="_Toc5947"/>
      <w:bookmarkStart w:id="3" w:name="_Toc10673365"/>
      <w:r>
        <w:rPr>
          <w:rFonts w:hint="eastAsia" w:asciiTheme="minorEastAsia" w:hAnsiTheme="minorEastAsia" w:eastAsiaTheme="minorEastAsia" w:cstheme="minorEastAsia"/>
          <w:color w:val="000000"/>
          <w:sz w:val="21"/>
          <w:szCs w:val="21"/>
        </w:rPr>
        <w:t>项目概况</w:t>
      </w:r>
      <w:bookmarkEnd w:id="1"/>
      <w:bookmarkEnd w:id="2"/>
      <w:bookmarkEnd w:id="3"/>
    </w:p>
    <w:p>
      <w:pPr>
        <w:pageBreakBefore w:val="0"/>
        <w:widowControl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 xml:space="preserve">、项目名称：华中农业大学肥料生产线和虚拟仿真采购项目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 xml:space="preserve">2、项目编号：ZJZB-ZC-202005-144 </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3、采购预算：人民币</w:t>
      </w:r>
      <w:r>
        <w:rPr>
          <w:rFonts w:hint="eastAsia" w:asciiTheme="minorEastAsia" w:hAnsiTheme="minorEastAsia" w:eastAsiaTheme="minorEastAsia" w:cstheme="minorEastAsia"/>
          <w:color w:val="auto"/>
          <w:szCs w:val="21"/>
          <w:u w:val="single"/>
          <w:lang w:val="en-US" w:eastAsia="zh-CN"/>
        </w:rPr>
        <w:t>100</w:t>
      </w:r>
      <w:r>
        <w:rPr>
          <w:rFonts w:hint="eastAsia" w:asciiTheme="minorEastAsia" w:hAnsiTheme="minorEastAsia" w:eastAsiaTheme="minorEastAsia" w:cstheme="minorEastAsia"/>
          <w:color w:val="auto"/>
          <w:szCs w:val="21"/>
          <w:lang w:val="en-US" w:eastAsia="zh-CN"/>
        </w:rPr>
        <w:t>万元，</w:t>
      </w:r>
      <w:r>
        <w:rPr>
          <w:rFonts w:hint="eastAsia" w:asciiTheme="minorEastAsia" w:hAnsiTheme="minorEastAsia" w:eastAsiaTheme="minorEastAsia" w:cstheme="minorEastAsia"/>
          <w:b w:val="0"/>
          <w:bCs w:val="0"/>
          <w:color w:val="auto"/>
          <w:kern w:val="2"/>
          <w:sz w:val="21"/>
          <w:szCs w:val="21"/>
          <w:lang w:val="en-US" w:eastAsia="zh-CN" w:bidi="ar-SA"/>
        </w:rPr>
        <w:t>最高限价</w:t>
      </w:r>
      <w:r>
        <w:rPr>
          <w:rFonts w:hint="eastAsia" w:asciiTheme="minorEastAsia" w:hAnsiTheme="minorEastAsia" w:eastAsiaTheme="minorEastAsia" w:cstheme="minorEastAsia"/>
          <w:color w:val="auto"/>
          <w:szCs w:val="21"/>
          <w:u w:val="single"/>
          <w:lang w:val="en-US" w:eastAsia="zh-CN"/>
        </w:rPr>
        <w:t>100</w:t>
      </w:r>
      <w:r>
        <w:rPr>
          <w:rFonts w:hint="eastAsia" w:asciiTheme="minorEastAsia" w:hAnsiTheme="minorEastAsia" w:eastAsiaTheme="minorEastAsia" w:cstheme="minorEastAsia"/>
          <w:b w:val="0"/>
          <w:bCs w:val="0"/>
          <w:color w:val="auto"/>
          <w:kern w:val="2"/>
          <w:sz w:val="21"/>
          <w:szCs w:val="21"/>
          <w:lang w:val="en-US" w:eastAsia="zh-CN" w:bidi="ar-SA"/>
        </w:rPr>
        <w:t>万元；</w:t>
      </w:r>
      <w:r>
        <w:rPr>
          <w:rFonts w:hint="eastAsia" w:asciiTheme="minorEastAsia" w:hAnsiTheme="minorEastAsia" w:eastAsiaTheme="minorEastAsia" w:cstheme="minorEastAsia"/>
          <w:color w:val="auto"/>
          <w:szCs w:val="21"/>
          <w:lang w:val="en-US" w:eastAsia="zh-CN"/>
        </w:rPr>
        <w:t>（含财政资金</w:t>
      </w:r>
      <w:r>
        <w:rPr>
          <w:rFonts w:hint="eastAsia" w:asciiTheme="minorEastAsia" w:hAnsiTheme="minorEastAsia" w:eastAsiaTheme="minorEastAsia" w:cstheme="minorEastAsia"/>
          <w:color w:val="auto"/>
          <w:szCs w:val="21"/>
          <w:u w:val="single"/>
          <w:lang w:val="en-US" w:eastAsia="zh-CN"/>
        </w:rPr>
        <w:t xml:space="preserve">100 </w:t>
      </w:r>
      <w:r>
        <w:rPr>
          <w:rFonts w:hint="eastAsia" w:asciiTheme="minorEastAsia" w:hAnsiTheme="minorEastAsia" w:eastAsiaTheme="minorEastAsia" w:cstheme="minorEastAsia"/>
          <w:color w:val="auto"/>
          <w:szCs w:val="21"/>
          <w:lang w:val="en-US" w:eastAsia="zh-CN"/>
        </w:rPr>
        <w:t>万元，其他资金</w:t>
      </w:r>
      <w:r>
        <w:rPr>
          <w:rFonts w:hint="eastAsia" w:asciiTheme="minorEastAsia" w:hAnsiTheme="minorEastAsia" w:eastAsiaTheme="minorEastAsia" w:cstheme="minorEastAsia"/>
          <w:color w:val="auto"/>
          <w:szCs w:val="21"/>
          <w:u w:val="single"/>
          <w:lang w:val="en-US" w:eastAsia="zh-CN"/>
        </w:rPr>
        <w:t xml:space="preserve"> / </w:t>
      </w:r>
      <w:r>
        <w:rPr>
          <w:rFonts w:hint="eastAsia" w:asciiTheme="minorEastAsia" w:hAnsiTheme="minorEastAsia" w:eastAsiaTheme="minorEastAsia" w:cstheme="minorEastAsia"/>
          <w:color w:val="auto"/>
          <w:szCs w:val="21"/>
          <w:lang w:val="en-US" w:eastAsia="zh-CN"/>
        </w:rPr>
        <w:t>万元）</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4、资金性质：财政性资金</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5、项目内容及需求：</w:t>
      </w:r>
      <w:r>
        <w:rPr>
          <w:rFonts w:hint="eastAsia" w:asciiTheme="minorEastAsia" w:hAnsiTheme="minorEastAsia" w:eastAsiaTheme="minorEastAsia" w:cstheme="minorEastAsia"/>
          <w:color w:val="auto"/>
          <w:szCs w:val="21"/>
          <w:lang w:eastAsia="zh-CN"/>
        </w:rPr>
        <w:t>本次竞争性磋商共分</w:t>
      </w:r>
      <w:r>
        <w:rPr>
          <w:rFonts w:hint="eastAsia" w:asciiTheme="minorEastAsia" w:hAnsiTheme="minorEastAsia" w:eastAsiaTheme="minorEastAsia" w:cstheme="minorEastAsia"/>
          <w:color w:val="auto"/>
          <w:szCs w:val="21"/>
          <w:u w:val="single"/>
          <w:lang w:val="en-US" w:eastAsia="zh-CN"/>
        </w:rPr>
        <w:t>2</w:t>
      </w:r>
      <w:r>
        <w:rPr>
          <w:rFonts w:hint="eastAsia" w:asciiTheme="minorEastAsia" w:hAnsiTheme="minorEastAsia" w:eastAsiaTheme="minorEastAsia" w:cstheme="minorEastAsia"/>
          <w:color w:val="auto"/>
          <w:szCs w:val="21"/>
          <w:lang w:eastAsia="zh-CN"/>
        </w:rPr>
        <w:t>个项目包，具体需求如下，详细技术规格、参数及</w:t>
      </w:r>
      <w:r>
        <w:rPr>
          <w:rFonts w:hint="eastAsia" w:asciiTheme="minorEastAsia" w:hAnsiTheme="minorEastAsia" w:eastAsiaTheme="minorEastAsia" w:cstheme="minorEastAsia"/>
          <w:color w:val="auto"/>
          <w:szCs w:val="21"/>
          <w:lang w:val="en-US" w:eastAsia="zh-CN"/>
        </w:rPr>
        <w:t>商务</w:t>
      </w:r>
      <w:r>
        <w:rPr>
          <w:rFonts w:hint="eastAsia" w:asciiTheme="minorEastAsia" w:hAnsiTheme="minorEastAsia" w:eastAsiaTheme="minorEastAsia" w:cstheme="minorEastAsia"/>
          <w:color w:val="auto"/>
          <w:szCs w:val="21"/>
          <w:lang w:eastAsia="zh-CN"/>
        </w:rPr>
        <w:t>要求见本项目磋商文件第三章内容。</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第1包：</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项目包编号：01</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项目包名称：肥料生产线</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类别：货物</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简要技术要求/项目性质：</w:t>
      </w:r>
      <w:r>
        <w:rPr>
          <w:rFonts w:hint="eastAsia" w:asciiTheme="minorEastAsia" w:hAnsiTheme="minorEastAsia" w:eastAsiaTheme="minorEastAsia" w:cstheme="minorEastAsia"/>
          <w:b w:val="0"/>
          <w:bCs w:val="0"/>
          <w:color w:val="auto"/>
          <w:kern w:val="2"/>
          <w:sz w:val="21"/>
          <w:szCs w:val="21"/>
          <w:u w:val="single"/>
          <w:lang w:val="en-US" w:eastAsia="zh-CN" w:bidi="ar-SA"/>
        </w:rPr>
        <w:t>采购水溶肥生产线、掺混肥生产线和复混肥生产模具</w:t>
      </w:r>
      <w:r>
        <w:rPr>
          <w:rFonts w:hint="eastAsia" w:asciiTheme="minorEastAsia" w:hAnsiTheme="minorEastAsia" w:eastAsiaTheme="minorEastAsia" w:cstheme="minorEastAsia"/>
          <w:color w:val="auto"/>
          <w:szCs w:val="21"/>
          <w:u w:val="single"/>
          <w:lang w:eastAsia="zh-CN"/>
        </w:rPr>
        <w:t>；</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采购文件第三章“项目采购需求”）</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采购预算：人民币</w:t>
      </w:r>
      <w:r>
        <w:rPr>
          <w:rFonts w:hint="eastAsia" w:asciiTheme="minorEastAsia" w:hAnsiTheme="minorEastAsia" w:eastAsiaTheme="minorEastAsia" w:cstheme="minorEastAsia"/>
          <w:color w:val="auto"/>
          <w:szCs w:val="21"/>
          <w:u w:val="single"/>
          <w:lang w:val="en-US" w:eastAsia="zh-CN"/>
        </w:rPr>
        <w:t xml:space="preserve"> 70 </w:t>
      </w:r>
      <w:r>
        <w:rPr>
          <w:rFonts w:hint="eastAsia" w:asciiTheme="minorEastAsia" w:hAnsiTheme="minorEastAsia" w:eastAsiaTheme="minorEastAsia" w:cstheme="minorEastAsia"/>
          <w:b w:val="0"/>
          <w:bCs w:val="0"/>
          <w:color w:val="auto"/>
          <w:kern w:val="2"/>
          <w:sz w:val="21"/>
          <w:szCs w:val="21"/>
          <w:lang w:val="en-US" w:eastAsia="zh-CN" w:bidi="ar-SA"/>
        </w:rPr>
        <w:t>万元，最高限价</w:t>
      </w:r>
      <w:r>
        <w:rPr>
          <w:rFonts w:hint="eastAsia" w:asciiTheme="minorEastAsia" w:hAnsiTheme="minorEastAsia" w:eastAsiaTheme="minorEastAsia" w:cstheme="minorEastAsia"/>
          <w:color w:val="auto"/>
          <w:szCs w:val="21"/>
          <w:u w:val="single"/>
          <w:lang w:val="en-US" w:eastAsia="zh-CN"/>
        </w:rPr>
        <w:t xml:space="preserve"> 70</w:t>
      </w:r>
      <w:r>
        <w:rPr>
          <w:rFonts w:hint="eastAsia" w:asciiTheme="minorEastAsia" w:hAnsiTheme="minorEastAsia" w:eastAsiaTheme="minorEastAsia" w:cstheme="minorEastAsia"/>
          <w:b w:val="0"/>
          <w:bCs w:val="0"/>
          <w:color w:val="auto"/>
          <w:kern w:val="2"/>
          <w:sz w:val="21"/>
          <w:szCs w:val="21"/>
          <w:lang w:val="en-US" w:eastAsia="zh-CN" w:bidi="ar-SA"/>
        </w:rPr>
        <w:t>万元</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交货期：合同签订后</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b w:val="0"/>
          <w:bCs w:val="0"/>
          <w:color w:val="auto"/>
          <w:kern w:val="2"/>
          <w:sz w:val="21"/>
          <w:szCs w:val="21"/>
          <w:lang w:val="en-US" w:eastAsia="zh-CN" w:bidi="ar-SA"/>
        </w:rPr>
        <w:t>日历天内供货，</w:t>
      </w:r>
      <w:r>
        <w:rPr>
          <w:rFonts w:hint="eastAsia" w:asciiTheme="minorEastAsia" w:hAnsiTheme="minorEastAsia" w:eastAsiaTheme="minorEastAsia" w:cstheme="minorEastAsia"/>
          <w:color w:val="auto"/>
          <w:szCs w:val="21"/>
          <w:u w:val="single"/>
          <w:lang w:val="en-US" w:eastAsia="zh-CN"/>
        </w:rPr>
        <w:t xml:space="preserve"> 15 </w:t>
      </w:r>
      <w:r>
        <w:rPr>
          <w:rFonts w:hint="eastAsia" w:asciiTheme="minorEastAsia" w:hAnsiTheme="minorEastAsia" w:eastAsiaTheme="minorEastAsia" w:cstheme="minorEastAsia"/>
          <w:b w:val="0"/>
          <w:bCs w:val="0"/>
          <w:color w:val="auto"/>
          <w:kern w:val="2"/>
          <w:sz w:val="21"/>
          <w:szCs w:val="21"/>
          <w:lang w:val="en-US" w:eastAsia="zh-CN" w:bidi="ar-SA"/>
        </w:rPr>
        <w:t>天内完成安装调试</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质保期/保修期：设备质保期一年，并实行终身保修。质保期内设备由于供方原因发生故障，供方免费维修或更换故障部件；由需方原因造成的维修费用，供方只收配件费及实际发生的直接费用。</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质量标准：达到国家或行业颁布的其他现行各项技术标准和验收规范规定</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第2包：</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（1）项目包编号：02</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（2）项目包名称：</w:t>
      </w:r>
      <w:r>
        <w:rPr>
          <w:rFonts w:hint="eastAsia" w:asciiTheme="minorEastAsia" w:hAnsiTheme="minorEastAsia" w:eastAsiaTheme="minorEastAsia" w:cstheme="minorEastAsia"/>
          <w:color w:val="auto"/>
          <w:szCs w:val="21"/>
        </w:rPr>
        <w:t>虚拟仿真</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（3）类别：货物</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（4）简要技术要求/项目性质：</w:t>
      </w:r>
      <w:r>
        <w:rPr>
          <w:rFonts w:hint="eastAsia" w:asciiTheme="minorEastAsia" w:hAnsiTheme="minorEastAsia" w:eastAsiaTheme="minorEastAsia" w:cstheme="minorEastAsia"/>
          <w:color w:val="auto"/>
          <w:szCs w:val="21"/>
          <w:u w:val="single"/>
          <w:lang w:val="en-US" w:eastAsia="zh-CN"/>
        </w:rPr>
        <w:t xml:space="preserve"> 采购虚拟仿真教学软件一套，包括TLC纯化虚拟仿真教学软件、常压蒸馏虚拟仿真教学软件、催化氢化虚拟仿真教学软件等</w:t>
      </w:r>
      <w:r>
        <w:rPr>
          <w:rFonts w:hint="eastAsia" w:asciiTheme="minorEastAsia" w:hAnsiTheme="minorEastAsia" w:eastAsiaTheme="minorEastAsia" w:cstheme="minorEastAsia"/>
          <w:color w:val="auto"/>
          <w:szCs w:val="21"/>
          <w:u w:val="single"/>
          <w:lang w:eastAsia="zh-CN"/>
        </w:rPr>
        <w:t>；</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采购文件第三章“项目采购需求”）</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（5）采购预算：人民币</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b w:val="0"/>
          <w:bCs w:val="0"/>
          <w:color w:val="auto"/>
          <w:kern w:val="2"/>
          <w:sz w:val="21"/>
          <w:szCs w:val="21"/>
          <w:lang w:val="en-US" w:eastAsia="zh-CN" w:bidi="ar-SA"/>
        </w:rPr>
        <w:t>万元，最高限价</w:t>
      </w:r>
      <w:r>
        <w:rPr>
          <w:rFonts w:hint="eastAsia" w:asciiTheme="minorEastAsia" w:hAnsiTheme="minorEastAsia" w:eastAsiaTheme="minorEastAsia" w:cstheme="minorEastAsia"/>
          <w:color w:val="auto"/>
          <w:szCs w:val="21"/>
          <w:u w:val="single"/>
          <w:lang w:val="en-US" w:eastAsia="zh-CN"/>
        </w:rPr>
        <w:t xml:space="preserve"> 30</w:t>
      </w:r>
      <w:r>
        <w:rPr>
          <w:rFonts w:hint="eastAsia" w:asciiTheme="minorEastAsia" w:hAnsiTheme="minorEastAsia" w:eastAsiaTheme="minorEastAsia" w:cstheme="minorEastAsia"/>
          <w:b w:val="0"/>
          <w:bCs w:val="0"/>
          <w:color w:val="auto"/>
          <w:kern w:val="2"/>
          <w:sz w:val="21"/>
          <w:szCs w:val="21"/>
          <w:lang w:val="en-US" w:eastAsia="zh-CN" w:bidi="ar-SA"/>
        </w:rPr>
        <w:t>万元</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（6）交货期：现成软件合同签订后 7 个工作日内完成安装、调试，实现正常运动；开发软件合同签订后90个工作日内完成安装、调试，实现正常运动。</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（7）质保期：自验收合格之日起计算，质保期为三年，质保期内免费提供系统维护、升级并提供软件终身技术支持，包括质保期后系统维护、扩充、升级等。</w:t>
      </w:r>
    </w:p>
    <w:p>
      <w:pPr>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（8）质量标准：达到国家或行业颁布的其他现行各项技术标准和验收规范规定</w:t>
      </w:r>
      <w:r>
        <w:rPr>
          <w:rFonts w:hint="eastAsia" w:asciiTheme="minorEastAsia" w:hAnsiTheme="minorEastAsia" w:eastAsiaTheme="minorEastAsia" w:cstheme="minorEastAsia"/>
          <w:b w:val="0"/>
          <w:bCs w:val="0"/>
          <w:kern w:val="2"/>
          <w:sz w:val="21"/>
          <w:szCs w:val="21"/>
          <w:lang w:val="en-US" w:eastAsia="zh-CN" w:bidi="ar-SA"/>
        </w:rPr>
        <w:br w:type="textWrapping"/>
      </w:r>
      <w:r>
        <w:rPr>
          <w:rFonts w:hint="eastAsia" w:asciiTheme="minorEastAsia" w:hAnsiTheme="minorEastAsia" w:eastAsiaTheme="minorEastAsia" w:cstheme="minorEastAsia"/>
          <w:b w:val="0"/>
          <w:bCs w:val="0"/>
          <w:kern w:val="2"/>
          <w:sz w:val="21"/>
          <w:szCs w:val="21"/>
          <w:lang w:val="en-US" w:eastAsia="zh-CN" w:bidi="ar-SA"/>
        </w:rPr>
        <w:t>6、供应商参加磋商的报价超过该包采购预算金额的，该包磋商报价无效；</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val="0"/>
          <w:kern w:val="2"/>
          <w:sz w:val="21"/>
          <w:szCs w:val="21"/>
          <w:lang w:val="en-US" w:eastAsia="zh-CN" w:bidi="ar-SA"/>
        </w:rPr>
        <w:t>7、采购项目需要落实的政府采购政策:本项目需落实政府采购强制、优先采购节能产品政策；政府采购优先采购环保产品政策；政府采购促进中小企业发展（监狱企业、残疾人福利性单位视同小微企业）等政策详见磋商文件；</w:t>
      </w:r>
      <w:r>
        <w:rPr>
          <w:rFonts w:hint="eastAsia" w:asciiTheme="minorEastAsia" w:hAnsiTheme="minorEastAsia" w:eastAsiaTheme="minorEastAsia" w:cstheme="minorEastAsia"/>
          <w:b w:val="0"/>
          <w:bCs w:val="0"/>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本项目是否专门面向中小企业、监狱企业、残疾人福利性单位：</w:t>
      </w:r>
      <w:r>
        <w:rPr>
          <w:rFonts w:hint="eastAsia" w:asciiTheme="minorEastAsia" w:hAnsiTheme="minorEastAsia" w:eastAsiaTheme="minorEastAsia" w:cstheme="minorEastAsia"/>
          <w:b w:val="0"/>
          <w:bCs w:val="0"/>
          <w:color w:val="auto"/>
          <w:kern w:val="2"/>
          <w:sz w:val="21"/>
          <w:szCs w:val="21"/>
          <w:u w:val="single"/>
          <w:lang w:val="en-US" w:eastAsia="zh-CN" w:bidi="ar-SA"/>
        </w:rPr>
        <w:t>否</w:t>
      </w:r>
      <w:r>
        <w:rPr>
          <w:rFonts w:hint="eastAsia" w:asciiTheme="minorEastAsia" w:hAnsiTheme="minorEastAsia" w:eastAsiaTheme="minorEastAsia" w:cstheme="minorEastAsia"/>
          <w:b w:val="0"/>
          <w:bCs w:val="0"/>
          <w:kern w:val="2"/>
          <w:sz w:val="21"/>
          <w:szCs w:val="21"/>
          <w:lang w:val="en-US" w:eastAsia="zh-CN" w:bidi="ar-SA"/>
        </w:rPr>
        <w:br w:type="textWrapping"/>
      </w:r>
      <w:r>
        <w:rPr>
          <w:rFonts w:hint="eastAsia" w:asciiTheme="minorEastAsia" w:hAnsiTheme="minorEastAsia" w:eastAsiaTheme="minorEastAsia" w:cstheme="minorEastAsia"/>
          <w:b w:val="0"/>
          <w:bCs w:val="0"/>
          <w:kern w:val="2"/>
          <w:sz w:val="21"/>
          <w:szCs w:val="21"/>
          <w:lang w:val="en-US" w:eastAsia="zh-CN" w:bidi="ar-SA"/>
        </w:rPr>
        <w:t xml:space="preserve">   8、供应商如需查询技术要求可直接到我处查阅磋商文件。</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4" w:name="_Toc10673366"/>
      <w:bookmarkStart w:id="5" w:name="_Toc14744"/>
      <w:bookmarkStart w:id="6" w:name="_Toc334539183"/>
      <w:bookmarkStart w:id="7" w:name="_Toc13652"/>
      <w:r>
        <w:rPr>
          <w:rFonts w:hint="eastAsia" w:asciiTheme="minorEastAsia" w:hAnsiTheme="minorEastAsia" w:eastAsiaTheme="minorEastAsia" w:cstheme="minorEastAsia"/>
          <w:sz w:val="21"/>
          <w:szCs w:val="21"/>
        </w:rPr>
        <w:t>资格要求</w:t>
      </w:r>
      <w:bookmarkEnd w:id="4"/>
      <w:bookmarkEnd w:id="5"/>
      <w:bookmarkEnd w:id="6"/>
      <w:bookmarkEnd w:id="7"/>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供应商资格要求为</w:t>
      </w:r>
      <w:r>
        <w:rPr>
          <w:rFonts w:hint="eastAsia" w:asciiTheme="minorEastAsia" w:hAnsiTheme="minorEastAsia" w:eastAsiaTheme="minorEastAsia" w:cstheme="minorEastAsia"/>
          <w:szCs w:val="21"/>
          <w:lang w:val="en-US" w:eastAsia="zh-CN"/>
        </w:rPr>
        <w:t>参与</w:t>
      </w:r>
      <w:r>
        <w:rPr>
          <w:rFonts w:hint="eastAsia" w:asciiTheme="minorEastAsia" w:hAnsiTheme="minorEastAsia" w:eastAsiaTheme="minorEastAsia" w:cstheme="minorEastAsia"/>
          <w:szCs w:val="21"/>
        </w:rPr>
        <w:t>本项目供应商应具备的基本条件，参加各包磋商的供应商必须满足资格要求中的对应各包的所有条款，并按照相关规定</w:t>
      </w:r>
      <w:r>
        <w:rPr>
          <w:rFonts w:hint="eastAsia" w:asciiTheme="minorEastAsia" w:hAnsiTheme="minorEastAsia" w:eastAsiaTheme="minorEastAsia" w:cstheme="minorEastAsia"/>
          <w:szCs w:val="21"/>
          <w:lang w:val="en-US" w:eastAsia="zh-CN"/>
        </w:rPr>
        <w:t>在响应文件中</w:t>
      </w:r>
      <w:r>
        <w:rPr>
          <w:rFonts w:hint="eastAsia" w:asciiTheme="minorEastAsia" w:hAnsiTheme="minorEastAsia" w:eastAsiaTheme="minorEastAsia" w:cstheme="minorEastAsia"/>
          <w:szCs w:val="21"/>
        </w:rPr>
        <w:t>递交资格证明文件。</w:t>
      </w:r>
    </w:p>
    <w:p>
      <w:pPr>
        <w:numPr>
          <w:ilvl w:val="0"/>
          <w:numId w:val="7"/>
        </w:num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供应商必须符合《中华人民共和国政府采购法》第二十二条要求；</w:t>
      </w:r>
    </w:p>
    <w:p>
      <w:pPr>
        <w:spacing w:line="360" w:lineRule="auto"/>
        <w:ind w:left="44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.1具有独立承担民事责任的能力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经营范围需满足采购需求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.2具有良好的商业信誉和健全的财务会计制度；</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.3具有履行合同所必需的设备和专业技术能力；</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.4有依法缴纳税收和社会保障资金的良好记录；</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.5参加政府采购活动前三年内（不足3年按公司成立时间起算），在经营活动中没有重大违法记录</w:t>
      </w:r>
      <w:r>
        <w:rPr>
          <w:rFonts w:hint="eastAsia" w:asciiTheme="minorEastAsia" w:hAnsiTheme="minorEastAsia" w:eastAsiaTheme="minorEastAsia" w:cstheme="minorEastAsia"/>
          <w:szCs w:val="21"/>
          <w:lang w:eastAsia="zh-CN"/>
        </w:rPr>
        <w:t>（提供书面声明，格式见磋商文件第六章），（重大违法记录是指供应商因违法经营受到刑事处罚或者责令停产停业、吊销许可证或者执照、较大数额罚款等行政处罚）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szCs w:val="21"/>
        </w:rPr>
        <w:t>；</w:t>
      </w:r>
    </w:p>
    <w:p>
      <w:pPr>
        <w:spacing w:line="360" w:lineRule="auto"/>
        <w:ind w:left="420"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.6法律、行政法规规定的其他条件</w:t>
      </w:r>
      <w:r>
        <w:rPr>
          <w:rFonts w:hint="eastAsia" w:asciiTheme="minorEastAsia" w:hAnsiTheme="minorEastAsia" w:eastAsiaTheme="minorEastAsia" w:cstheme="minorEastAsia"/>
          <w:szCs w:val="21"/>
          <w:lang w:eastAsia="zh-CN"/>
        </w:rPr>
        <w:t>；</w:t>
      </w:r>
    </w:p>
    <w:p>
      <w:pPr>
        <w:numPr>
          <w:ilvl w:val="0"/>
          <w:numId w:val="7"/>
        </w:numPr>
        <w:spacing w:line="360" w:lineRule="auto"/>
        <w:ind w:left="26"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szCs w:val="21"/>
        </w:rPr>
        <w:t>供应商参加</w:t>
      </w:r>
      <w:r>
        <w:rPr>
          <w:rFonts w:hint="eastAsia" w:asciiTheme="minorEastAsia" w:hAnsiTheme="minorEastAsia" w:eastAsiaTheme="minorEastAsia" w:cstheme="minorEastAsia"/>
          <w:color w:val="000000"/>
          <w:szCs w:val="21"/>
          <w:lang w:val="en-US" w:eastAsia="zh-CN"/>
        </w:rPr>
        <w:t>本次</w:t>
      </w:r>
      <w:r>
        <w:rPr>
          <w:rFonts w:hint="eastAsia" w:asciiTheme="minorEastAsia" w:hAnsiTheme="minorEastAsia" w:eastAsiaTheme="minorEastAsia" w:cstheme="minorEastAsia"/>
          <w:color w:val="000000"/>
          <w:szCs w:val="21"/>
        </w:rPr>
        <w:t>政府采购活动前一年内未被列入“信用中国”网站(www.creditchina.gov.cn)失信被执行人、重大税收违法案件当事人、政府采购严重违法失信行为记录名单和“中国政府采购”网站（www.ccgp.gov.cn）政府采购严重违法失信行为记录名单（</w:t>
      </w:r>
      <w:r>
        <w:rPr>
          <w:rFonts w:hint="eastAsia" w:asciiTheme="minorEastAsia" w:hAnsiTheme="minorEastAsia" w:eastAsiaTheme="minorEastAsia" w:cstheme="minorEastAsia"/>
          <w:color w:val="000000"/>
          <w:szCs w:val="21"/>
          <w:lang w:val="en-US" w:eastAsia="zh-CN"/>
        </w:rPr>
        <w:t>评审时以采购代理机构磋商现场查询结果为准）；</w:t>
      </w:r>
    </w:p>
    <w:p>
      <w:pPr>
        <w:numPr>
          <w:ilvl w:val="0"/>
          <w:numId w:val="0"/>
        </w:numPr>
        <w:spacing w:line="360" w:lineRule="auto"/>
        <w:rPr>
          <w:rFonts w:hint="eastAsia"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color w:val="FF0000"/>
          <w:u w:val="single"/>
          <w:lang w:val="en-US" w:eastAsia="zh-CN"/>
        </w:rPr>
        <w:t xml:space="preserve">  </w:t>
      </w:r>
    </w:p>
    <w:p>
      <w:pPr>
        <w:numPr>
          <w:ilvl w:val="0"/>
          <w:numId w:val="7"/>
        </w:numPr>
        <w:spacing w:line="360" w:lineRule="auto"/>
        <w:ind w:left="26"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如国家法律法规对市场准入有要求的还应符合相关规定；</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本项目不接受联合体参与磋商。</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8" w:name="_Toc334539184"/>
      <w:bookmarkStart w:id="9" w:name="_Toc10673367"/>
      <w:bookmarkStart w:id="10" w:name="_Toc13830"/>
      <w:bookmarkStart w:id="11" w:name="_Toc25251"/>
      <w:bookmarkStart w:id="12" w:name="_Toc334539185"/>
      <w:r>
        <w:rPr>
          <w:rFonts w:hint="eastAsia" w:asciiTheme="minorEastAsia" w:hAnsiTheme="minorEastAsia" w:eastAsiaTheme="minorEastAsia" w:cstheme="minorEastAsia"/>
          <w:sz w:val="21"/>
          <w:szCs w:val="21"/>
        </w:rPr>
        <w:t>采购文件的</w:t>
      </w:r>
      <w:bookmarkEnd w:id="8"/>
      <w:r>
        <w:rPr>
          <w:rFonts w:hint="eastAsia" w:asciiTheme="minorEastAsia" w:hAnsiTheme="minorEastAsia" w:eastAsiaTheme="minorEastAsia" w:cstheme="minorEastAsia"/>
          <w:sz w:val="21"/>
          <w:szCs w:val="21"/>
        </w:rPr>
        <w:t>获取</w:t>
      </w:r>
      <w:bookmarkEnd w:id="9"/>
      <w:bookmarkEnd w:id="10"/>
      <w:bookmarkEnd w:id="11"/>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获取</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日起至</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日每天上午09:00～12:00、下午14:30～17:00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法定节假日以及休息日（周六周日）除外</w:t>
      </w:r>
      <w:r>
        <w:rPr>
          <w:rFonts w:hint="eastAsia" w:asciiTheme="minorEastAsia" w:hAnsiTheme="minorEastAsia" w:eastAsiaTheme="minorEastAsia" w:cstheme="minorEastAsia"/>
          <w:szCs w:val="21"/>
          <w:lang w:eastAsia="zh-CN"/>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获取</w:t>
      </w:r>
      <w:r>
        <w:rPr>
          <w:rFonts w:hint="eastAsia" w:asciiTheme="minorEastAsia" w:hAnsiTheme="minorEastAsia" w:eastAsiaTheme="minorEastAsia" w:cstheme="minorEastAsia"/>
          <w:szCs w:val="21"/>
        </w:rPr>
        <w:t>地点：网上获取</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szCs w:val="21"/>
          <w:lang w:val="en-US" w:eastAsia="zh-CN"/>
        </w:rPr>
        <w:t>获取方式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lang w:val="en-US" w:eastAsia="zh-CN"/>
        </w:rPr>
        <w:t>因疫情原因，本项目采取网上获取文件的方式，请各供应商将以下资料加盖公章扫描后传至2102252595@qq.com（邮件主题名称必须备注所投项目名称及公司姓名，否则不予受理），以邮箱显示收到的时间为准，递交资料后请联系代理机构工作人员支付招标文件费用并确认后获取招标文件。</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1)法定代表人身份证明书（格式附后）及法定代表人身份证真彩扫描件或法定代表人授权书（格式附后）及受托人身份证真彩扫描件；</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2)营业执照真彩扫描件；</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3)项目报名表（格式附后）；</w:t>
      </w:r>
    </w:p>
    <w:p>
      <w:pPr>
        <w:spacing w:line="360" w:lineRule="auto"/>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4)磋商文件人民币400元/包，售后不退，不办理邮寄。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szCs w:val="21"/>
          <w:lang w:val="en-US" w:eastAsia="zh-CN"/>
        </w:rPr>
        <w:t>注：与采购人存在利害关系可能影响采购公正性的法人、其他组织或者个人，不得参与本项目；单位负责人为同一人或存在控股、管理关系的不同单位只能有一家单位报名(按在采购代理机构处获取文件登记的先后顺序)。</w:t>
      </w:r>
      <w:r>
        <w:rPr>
          <w:rFonts w:hint="eastAsia"/>
          <w:lang w:val="en-US" w:eastAsia="zh-CN"/>
        </w:rPr>
        <w:t>为本项目提供过整体设计、规范编制或者项目管理、监理、检测等服务的供应商</w:t>
      </w:r>
      <w:r>
        <w:rPr>
          <w:rFonts w:hint="eastAsia" w:asciiTheme="minorEastAsia" w:hAnsiTheme="minorEastAsia" w:eastAsiaTheme="minorEastAsia" w:cstheme="minorEastAsia"/>
          <w:szCs w:val="21"/>
          <w:lang w:val="en-US" w:eastAsia="zh-CN"/>
        </w:rPr>
        <w:t>不得参加本次采购活动</w:t>
      </w:r>
      <w:r>
        <w:rPr>
          <w:rFonts w:hint="eastAsia"/>
          <w:lang w:val="en-US" w:eastAsia="zh-CN"/>
        </w:rPr>
        <w:t>。</w:t>
      </w:r>
    </w:p>
    <w:bookmarkEnd w:id="12"/>
    <w:p>
      <w:pPr>
        <w:pStyle w:val="4"/>
        <w:numPr>
          <w:ilvl w:val="0"/>
          <w:numId w:val="5"/>
        </w:numPr>
        <w:spacing w:line="240" w:lineRule="auto"/>
        <w:rPr>
          <w:rFonts w:hint="eastAsia" w:asciiTheme="minorEastAsia" w:hAnsiTheme="minorEastAsia" w:eastAsiaTheme="minorEastAsia" w:cstheme="minorEastAsia"/>
          <w:sz w:val="21"/>
          <w:szCs w:val="21"/>
        </w:rPr>
      </w:pPr>
      <w:bookmarkStart w:id="13" w:name="_Toc31195"/>
      <w:r>
        <w:rPr>
          <w:rFonts w:hint="eastAsia" w:asciiTheme="minorEastAsia" w:hAnsiTheme="minorEastAsia" w:eastAsiaTheme="minorEastAsia" w:cstheme="minorEastAsia"/>
          <w:sz w:val="21"/>
          <w:szCs w:val="21"/>
        </w:rPr>
        <w:t>磋商响应文件送达地点及截止时间</w:t>
      </w:r>
      <w:bookmarkEnd w:id="13"/>
    </w:p>
    <w:p>
      <w:pPr>
        <w:spacing w:line="360" w:lineRule="auto"/>
        <w:rPr>
          <w:rFonts w:hint="eastAsia" w:asciiTheme="minorEastAsia" w:hAnsiTheme="minorEastAsia" w:eastAsiaTheme="minorEastAsia" w:cstheme="minorEastAsia"/>
          <w:szCs w:val="21"/>
          <w:lang w:val="zh-CN"/>
        </w:rPr>
      </w:pPr>
      <w:bookmarkStart w:id="14" w:name="_Toc334539186"/>
      <w:bookmarkStart w:id="15" w:name="_Toc259028276"/>
      <w:r>
        <w:rPr>
          <w:rFonts w:hint="eastAsia" w:asciiTheme="minorEastAsia" w:hAnsiTheme="minorEastAsia" w:eastAsiaTheme="minorEastAsia" w:cstheme="minorEastAsia"/>
          <w:szCs w:val="21"/>
          <w:lang w:val="zh-CN"/>
        </w:rPr>
        <w:t>送达地点：武汉市洪山区狮子山街1号华中农业大学大学生创业楼（大学生创业孵化器）120室（华中农业大学西一门进门约100米处）。</w:t>
      </w:r>
    </w:p>
    <w:p>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截止时间：2020年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lang w:val="zh-CN"/>
        </w:rPr>
        <w:t>日</w:t>
      </w:r>
      <w:r>
        <w:rPr>
          <w:rFonts w:hint="eastAsia" w:asciiTheme="minorEastAsia" w:hAnsiTheme="minorEastAsia" w:eastAsiaTheme="minorEastAsia" w:cstheme="minorEastAsia"/>
          <w:szCs w:val="21"/>
          <w:lang w:val="en-US" w:eastAsia="zh-CN"/>
        </w:rPr>
        <w:t>10:00</w:t>
      </w:r>
      <w:r>
        <w:rPr>
          <w:rFonts w:hint="eastAsia" w:asciiTheme="minorEastAsia" w:hAnsiTheme="minorEastAsia" w:eastAsiaTheme="minorEastAsia" w:cstheme="minorEastAsia"/>
          <w:szCs w:val="21"/>
          <w:lang w:val="zh-CN"/>
        </w:rPr>
        <w:t>时（北京时间），截止时间前半小时开始接收文件</w:t>
      </w:r>
      <w:bookmarkEnd w:id="14"/>
      <w:bookmarkEnd w:id="15"/>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val="zh-CN"/>
        </w:rPr>
        <w:t>参加要求：</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文件须密封后由</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文件合法签署人（指法定代表人或授权委托人）于截止时间前递至上述</w:t>
      </w:r>
      <w:r>
        <w:rPr>
          <w:rFonts w:hint="eastAsia" w:asciiTheme="minorEastAsia" w:hAnsiTheme="minorEastAsia" w:eastAsiaTheme="minorEastAsia" w:cstheme="minorEastAsia"/>
          <w:szCs w:val="21"/>
          <w:lang w:val="zh-CN"/>
        </w:rPr>
        <w:t>送达</w:t>
      </w:r>
      <w:r>
        <w:rPr>
          <w:rFonts w:hint="eastAsia" w:asciiTheme="minorEastAsia" w:hAnsiTheme="minorEastAsia" w:eastAsiaTheme="minorEastAsia" w:cstheme="minorEastAsia"/>
          <w:szCs w:val="21"/>
        </w:rPr>
        <w:t>地点。需携带法定代表人身份证明书（或法定代表人授权书）和本人身份证原件出席</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会。逾期送达或未密封的响应文件恕不接受。</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16" w:name="_Toc10673370"/>
      <w:bookmarkStart w:id="17" w:name="_Toc334539187"/>
      <w:bookmarkStart w:id="18" w:name="_Toc21911"/>
      <w:bookmarkStart w:id="19" w:name="_Toc6123"/>
      <w:bookmarkStart w:id="20" w:name="_Toc259028277"/>
      <w:r>
        <w:rPr>
          <w:rFonts w:hint="eastAsia" w:asciiTheme="minorEastAsia" w:hAnsiTheme="minorEastAsia" w:eastAsiaTheme="minorEastAsia" w:cstheme="minorEastAsia"/>
          <w:sz w:val="21"/>
          <w:szCs w:val="21"/>
        </w:rPr>
        <w:t>采购人联系方式</w:t>
      </w:r>
      <w:bookmarkEnd w:id="16"/>
      <w:bookmarkEnd w:id="17"/>
      <w:bookmarkEnd w:id="18"/>
      <w:bookmarkEnd w:id="19"/>
      <w:bookmarkEnd w:id="20"/>
    </w:p>
    <w:p>
      <w:pPr>
        <w:spacing w:line="360" w:lineRule="auto"/>
        <w:rPr>
          <w:rFonts w:hint="eastAsia" w:asciiTheme="minorEastAsia" w:hAnsiTheme="minorEastAsia" w:eastAsiaTheme="minorEastAsia" w:cstheme="minorEastAsia"/>
          <w:szCs w:val="21"/>
          <w:lang w:eastAsia="zh-CN"/>
        </w:rPr>
      </w:pPr>
      <w:bookmarkStart w:id="21" w:name="_Toc259607751"/>
      <w:bookmarkStart w:id="22" w:name="_Toc6021"/>
      <w:bookmarkStart w:id="23" w:name="_Toc334539188"/>
      <w:bookmarkStart w:id="24" w:name="_Toc317262251"/>
      <w:bookmarkStart w:id="25" w:name="_Toc276368888"/>
      <w:bookmarkStart w:id="26" w:name="_Toc320898024"/>
      <w:r>
        <w:rPr>
          <w:rFonts w:hint="eastAsia" w:asciiTheme="minorEastAsia" w:hAnsiTheme="minorEastAsia" w:eastAsiaTheme="minorEastAsia" w:cstheme="minorEastAsia"/>
          <w:szCs w:val="21"/>
        </w:rPr>
        <w:t>采 购 人：华中农业大学</w:t>
      </w:r>
      <w:r>
        <w:rPr>
          <w:rFonts w:hint="eastAsia" w:asciiTheme="minorEastAsia" w:hAnsiTheme="minorEastAsia" w:eastAsiaTheme="minorEastAsia" w:cstheme="minorEastAsia"/>
          <w:szCs w:val="21"/>
          <w:lang w:val="en-US" w:eastAsia="zh-CN"/>
        </w:rPr>
        <w:t xml:space="preserve"> </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地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址：</w:t>
      </w:r>
      <w:r>
        <w:rPr>
          <w:rFonts w:hint="eastAsia" w:asciiTheme="minorEastAsia" w:hAnsiTheme="minorEastAsia" w:eastAsiaTheme="minorEastAsia" w:cstheme="minorEastAsia"/>
          <w:szCs w:val="21"/>
          <w:lang w:val="en-US" w:eastAsia="zh-CN"/>
        </w:rPr>
        <w:t>湖北省武汉市洪山区狮子山街1号</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采购部门联系人：许老师</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联系电话：027-87282631</w:t>
      </w:r>
      <w:r>
        <w:rPr>
          <w:rFonts w:hint="eastAsia" w:asciiTheme="minorEastAsia" w:hAnsiTheme="minorEastAsia" w:eastAsiaTheme="minorEastAsia" w:cstheme="minorEastAsia"/>
          <w:szCs w:val="21"/>
          <w:lang w:val="en-US" w:eastAsia="zh-CN"/>
        </w:rPr>
        <w:t xml:space="preserve"> </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27" w:name="_Toc577"/>
      <w:bookmarkStart w:id="28" w:name="_Toc10673371"/>
      <w:r>
        <w:rPr>
          <w:rFonts w:hint="eastAsia" w:asciiTheme="minorEastAsia" w:hAnsiTheme="minorEastAsia" w:eastAsiaTheme="minorEastAsia" w:cstheme="minorEastAsia"/>
          <w:sz w:val="21"/>
          <w:szCs w:val="21"/>
        </w:rPr>
        <w:t>政府采购代理机构联系方式</w:t>
      </w:r>
      <w:bookmarkEnd w:id="21"/>
      <w:bookmarkEnd w:id="22"/>
      <w:bookmarkEnd w:id="23"/>
      <w:bookmarkEnd w:id="24"/>
      <w:bookmarkEnd w:id="25"/>
      <w:bookmarkEnd w:id="26"/>
      <w:bookmarkEnd w:id="27"/>
      <w:bookmarkEnd w:id="28"/>
    </w:p>
    <w:p>
      <w:pPr>
        <w:spacing w:line="360" w:lineRule="auto"/>
        <w:rPr>
          <w:rFonts w:hint="eastAsia" w:asciiTheme="minorEastAsia" w:hAnsiTheme="minorEastAsia" w:eastAsiaTheme="minorEastAsia" w:cstheme="minorEastAsia"/>
          <w:szCs w:val="21"/>
        </w:rPr>
      </w:pPr>
      <w:bookmarkStart w:id="29" w:name="_Toc334539189"/>
      <w:bookmarkStart w:id="30" w:name="_Toc318643462"/>
      <w:bookmarkStart w:id="31" w:name="_Toc317262253"/>
      <w:bookmarkStart w:id="32" w:name="_Toc259028279"/>
      <w:r>
        <w:rPr>
          <w:rFonts w:hint="eastAsia" w:asciiTheme="minorEastAsia" w:hAnsiTheme="minorEastAsia" w:eastAsiaTheme="minorEastAsia" w:cstheme="minorEastAsia"/>
          <w:szCs w:val="21"/>
        </w:rPr>
        <w:t xml:space="preserve">代理机构：中经国际招标集团有限公司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址：武昌区中北路岳家嘴</w:t>
      </w:r>
      <w:r>
        <w:rPr>
          <w:rFonts w:hint="eastAsia" w:asciiTheme="minorEastAsia" w:hAnsiTheme="minorEastAsia" w:eastAsiaTheme="minorEastAsia" w:cstheme="minorEastAsia"/>
          <w:szCs w:val="21"/>
          <w:lang w:val="en-US" w:eastAsia="zh-CN"/>
        </w:rPr>
        <w:t>立交</w:t>
      </w:r>
      <w:r>
        <w:rPr>
          <w:rFonts w:hint="eastAsia" w:asciiTheme="minorEastAsia" w:hAnsiTheme="minorEastAsia" w:eastAsiaTheme="minorEastAsia" w:cstheme="minorEastAsia"/>
          <w:szCs w:val="21"/>
        </w:rPr>
        <w:t>山河企业大厦4805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4806</w:t>
      </w:r>
      <w:r>
        <w:rPr>
          <w:rFonts w:hint="eastAsia" w:asciiTheme="minorEastAsia" w:hAnsiTheme="minorEastAsia" w:eastAsiaTheme="minorEastAsia" w:cstheme="minorEastAsia"/>
          <w:szCs w:val="21"/>
        </w:rPr>
        <w:t>室</w:t>
      </w:r>
    </w:p>
    <w:bookmarkEnd w:id="29"/>
    <w:bookmarkEnd w:id="30"/>
    <w:bookmarkEnd w:id="31"/>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 系 人：张梦</w:t>
      </w:r>
      <w:r>
        <w:rPr>
          <w:rFonts w:hint="eastAsia" w:asciiTheme="minorEastAsia" w:hAnsiTheme="minorEastAsia" w:eastAsiaTheme="minorEastAsia" w:cstheme="minorEastAsia"/>
          <w:szCs w:val="21"/>
          <w:lang w:eastAsia="zh-CN"/>
        </w:rPr>
        <w:t>、叶汪笛</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    机：027-87820788</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    箱：2102252595@qq.com</w:t>
      </w:r>
    </w:p>
    <w:bookmarkEnd w:id="32"/>
    <w:p>
      <w:pPr>
        <w:pStyle w:val="4"/>
        <w:numPr>
          <w:ilvl w:val="0"/>
          <w:numId w:val="5"/>
        </w:numPr>
        <w:spacing w:line="240" w:lineRule="auto"/>
        <w:rPr>
          <w:rFonts w:hint="eastAsia" w:asciiTheme="minorEastAsia" w:hAnsiTheme="minorEastAsia" w:eastAsiaTheme="minorEastAsia" w:cstheme="minorEastAsia"/>
          <w:sz w:val="21"/>
          <w:szCs w:val="21"/>
        </w:rPr>
      </w:pPr>
      <w:bookmarkStart w:id="33" w:name="_Toc14150"/>
      <w:bookmarkStart w:id="34" w:name="_Toc10673372"/>
      <w:bookmarkStart w:id="35" w:name="_Toc334539190"/>
      <w:bookmarkStart w:id="36" w:name="_Toc12832"/>
      <w:r>
        <w:rPr>
          <w:rFonts w:hint="eastAsia" w:asciiTheme="minorEastAsia" w:hAnsiTheme="minorEastAsia" w:eastAsiaTheme="minorEastAsia" w:cstheme="minorEastAsia"/>
          <w:sz w:val="21"/>
          <w:szCs w:val="21"/>
        </w:rPr>
        <w:t>信息发布媒体</w:t>
      </w:r>
      <w:bookmarkEnd w:id="33"/>
      <w:bookmarkEnd w:id="34"/>
      <w:bookmarkEnd w:id="35"/>
      <w:r>
        <w:rPr>
          <w:rFonts w:hint="eastAsia" w:asciiTheme="minorEastAsia" w:hAnsiTheme="minorEastAsia" w:eastAsiaTheme="minorEastAsia" w:cstheme="minorEastAsia"/>
          <w:sz w:val="21"/>
          <w:szCs w:val="21"/>
          <w:lang w:val="en-US" w:eastAsia="zh-CN"/>
        </w:rPr>
        <w:t>及时间</w:t>
      </w:r>
      <w:bookmarkEnd w:id="36"/>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（一）《中国政府采购网》（网址：</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"http://www.ccgp-hubei.gov.cn/）"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http://www.ccgp.gov.cn/）</w:t>
      </w:r>
      <w:r>
        <w:rPr>
          <w:rFonts w:hint="eastAsia" w:asciiTheme="minorEastAsia" w:hAnsiTheme="minorEastAsia" w:eastAsiaTheme="minorEastAsia" w:cstheme="minorEastAsia"/>
          <w:szCs w:val="21"/>
        </w:rPr>
        <w:fldChar w:fldCharType="end"/>
      </w:r>
    </w:p>
    <w:p>
      <w:pPr>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（二）《中经国际招标集团有限公司官网》（网址：</w:t>
      </w:r>
      <w:r>
        <w:fldChar w:fldCharType="begin"/>
      </w:r>
      <w:r>
        <w:instrText xml:space="preserve"> HYPERLINK "http://www.ccgp-hubei.gov.cn/）" </w:instrText>
      </w:r>
      <w:r>
        <w:fldChar w:fldCharType="separate"/>
      </w:r>
      <w:r>
        <w:rPr>
          <w:rFonts w:hint="eastAsia" w:asciiTheme="minorEastAsia" w:hAnsiTheme="minorEastAsia" w:eastAsiaTheme="minorEastAsia" w:cstheme="minorEastAsia"/>
          <w:szCs w:val="21"/>
        </w:rPr>
        <w:t>http://www.ceitcl.com/）</w:t>
      </w:r>
      <w:r>
        <w:rPr>
          <w:rFonts w:hint="eastAsia" w:asciiTheme="minorEastAsia" w:hAnsiTheme="minorEastAsia" w:eastAsiaTheme="minorEastAsia" w:cstheme="minorEastAsia"/>
          <w:szCs w:val="21"/>
        </w:rPr>
        <w:fldChar w:fldCharType="end"/>
      </w:r>
    </w:p>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en-US" w:eastAsia="zh-CN"/>
        </w:rPr>
        <w:t>采购公告期限：自以上网站发布公告次日起</w:t>
      </w:r>
      <w:r>
        <w:rPr>
          <w:rFonts w:hint="eastAsia" w:asciiTheme="minorEastAsia" w:hAnsiTheme="minorEastAsia" w:eastAsiaTheme="minorEastAsia" w:cstheme="minorEastAsia"/>
          <w:szCs w:val="21"/>
          <w:u w:val="single"/>
          <w:lang w:val="en-US" w:eastAsia="zh-CN"/>
        </w:rPr>
        <w:t>5</w:t>
      </w:r>
      <w:r>
        <w:rPr>
          <w:rFonts w:hint="eastAsia" w:asciiTheme="minorEastAsia" w:hAnsiTheme="minorEastAsia" w:eastAsiaTheme="minorEastAsia" w:cstheme="minorEastAsia"/>
          <w:szCs w:val="21"/>
          <w:lang w:val="en-US" w:eastAsia="zh-CN"/>
        </w:rPr>
        <w:t>个工作日，本项目将在以上网站发布所有信</w:t>
      </w:r>
      <w:r>
        <w:rPr>
          <w:rFonts w:hint="eastAsia" w:asciiTheme="minorEastAsia" w:hAnsiTheme="minorEastAsia" w:eastAsiaTheme="minorEastAsia" w:cstheme="minorEastAsia"/>
          <w:szCs w:val="21"/>
        </w:rPr>
        <w:t>息，请参加本项目</w:t>
      </w:r>
      <w:r>
        <w:rPr>
          <w:rFonts w:hint="eastAsia" w:asciiTheme="minorEastAsia" w:hAnsiTheme="minorEastAsia" w:eastAsiaTheme="minorEastAsia" w:cstheme="minorEastAsia"/>
          <w:szCs w:val="21"/>
          <w:lang w:val="en-US" w:eastAsia="zh-CN"/>
        </w:rPr>
        <w:t>竞</w:t>
      </w:r>
      <w:r>
        <w:rPr>
          <w:rFonts w:hint="eastAsia" w:asciiTheme="minorEastAsia" w:hAnsiTheme="minorEastAsia" w:eastAsiaTheme="minorEastAsia" w:cstheme="minorEastAsia"/>
          <w:szCs w:val="21"/>
        </w:rPr>
        <w:t>标的供应商</w:t>
      </w:r>
      <w:r>
        <w:rPr>
          <w:rFonts w:hint="eastAsia" w:asciiTheme="minorEastAsia" w:hAnsiTheme="minorEastAsia" w:eastAsiaTheme="minorEastAsia" w:cstheme="minorEastAsia"/>
          <w:color w:val="000000"/>
          <w:szCs w:val="21"/>
        </w:rPr>
        <w:t>密切关注。</w:t>
      </w:r>
    </w:p>
    <w:p>
      <w:pPr>
        <w:pStyle w:val="4"/>
        <w:numPr>
          <w:ilvl w:val="0"/>
          <w:numId w:val="5"/>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7" w:name="_Toc24714"/>
      <w:r>
        <w:rPr>
          <w:rFonts w:hint="eastAsia" w:asciiTheme="minorEastAsia" w:hAnsiTheme="minorEastAsia" w:eastAsiaTheme="minorEastAsia" w:cstheme="minorEastAsia"/>
          <w:sz w:val="21"/>
          <w:szCs w:val="21"/>
        </w:rPr>
        <w:t>注意事项</w:t>
      </w:r>
      <w:bookmarkEnd w:id="37"/>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rPr>
          <w:rFonts w:hint="eastAsia" w:asciiTheme="minorEastAsia" w:hAnsiTheme="minorEastAsia" w:eastAsiaTheme="minorEastAsia" w:cstheme="minorEastAsia"/>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w:t>
      </w:r>
    </w:p>
    <w:p>
      <w:pPr>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0"/>
        <w:rPr>
          <w:rFonts w:hint="eastAsia" w:asciiTheme="minorEastAsia" w:hAnsiTheme="minorEastAsia" w:eastAsiaTheme="minorEastAsia" w:cstheme="minorEastAsia"/>
        </w:rPr>
      </w:pPr>
    </w:p>
    <w:p>
      <w:pPr>
        <w:pStyle w:val="3"/>
        <w:numPr>
          <w:ilvl w:val="0"/>
          <w:numId w:val="4"/>
        </w:num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bookmarkStart w:id="38" w:name="_Toc15142"/>
      <w:r>
        <w:rPr>
          <w:rFonts w:hint="eastAsia" w:asciiTheme="minorEastAsia" w:hAnsiTheme="minorEastAsia" w:eastAsiaTheme="minorEastAsia" w:cstheme="minorEastAsia"/>
          <w:sz w:val="36"/>
          <w:szCs w:val="36"/>
        </w:rPr>
        <w:t>供应商须知</w:t>
      </w:r>
      <w:bookmarkEnd w:id="38"/>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39" w:name="_Toc23028"/>
      <w:r>
        <w:rPr>
          <w:rFonts w:hint="eastAsia" w:asciiTheme="minorEastAsia" w:hAnsiTheme="minorEastAsia" w:eastAsiaTheme="minorEastAsia" w:cstheme="minorEastAsia"/>
          <w:b/>
          <w:szCs w:val="21"/>
        </w:rPr>
        <w:t>《供应商须知前附表》</w:t>
      </w:r>
      <w:bookmarkEnd w:id="39"/>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条款号</w:t>
            </w:r>
          </w:p>
        </w:tc>
        <w:tc>
          <w:tcPr>
            <w:tcW w:w="2127" w:type="dxa"/>
            <w:shd w:val="clear" w:color="auto" w:fill="F1F1F1"/>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中华人民共和国财政部政府采购管理办公室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tcPr>
          <w:p>
            <w:pPr>
              <w:pStyle w:val="24"/>
              <w:widowControl w:val="0"/>
              <w:autoSpaceDE w:val="0"/>
              <w:autoSpaceDN w:val="0"/>
              <w:adjustRightInd w:val="0"/>
              <w:spacing w:before="31" w:beforeLines="10" w:beforeAutospacing="0" w:after="31" w:afterLines="10" w:afterAutospacing="0"/>
              <w:ind w:left="21" w:leftChars="10"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eastAsia="zh-CN"/>
              </w:rPr>
              <w:t>招标代理服务费</w:t>
            </w:r>
          </w:p>
        </w:tc>
        <w:tc>
          <w:tcPr>
            <w:tcW w:w="6130" w:type="dxa"/>
            <w:vAlign w:val="center"/>
          </w:tcPr>
          <w:p>
            <w:pPr>
              <w:autoSpaceDE w:val="0"/>
              <w:autoSpaceDN w:val="0"/>
              <w:adjustRightIn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根据国家发展与改革委员会办公厅发改办价格【2003】857号文的规定，经与采购人协商，由成交供应商按国家发展计划委员会计价格【2002】1980号文规定</w:t>
            </w:r>
            <w:r>
              <w:rPr>
                <w:rFonts w:hint="eastAsia" w:asciiTheme="minorEastAsia" w:hAnsiTheme="minorEastAsia" w:eastAsiaTheme="minorEastAsia" w:cstheme="minorEastAsia"/>
                <w:color w:val="auto"/>
                <w:szCs w:val="21"/>
                <w:lang w:val="en-US" w:eastAsia="zh-CN"/>
              </w:rPr>
              <w:t>货物</w:t>
            </w:r>
            <w:r>
              <w:rPr>
                <w:rFonts w:hint="eastAsia" w:asciiTheme="minorEastAsia" w:hAnsiTheme="minorEastAsia" w:eastAsiaTheme="minorEastAsia" w:cstheme="minorEastAsia"/>
                <w:color w:val="auto"/>
                <w:szCs w:val="21"/>
                <w:lang w:val="zh-CN"/>
              </w:rPr>
              <w:t>类取费标准</w:t>
            </w:r>
            <w:r>
              <w:rPr>
                <w:rFonts w:hint="eastAsia" w:asciiTheme="minorEastAsia" w:hAnsiTheme="minorEastAsia" w:eastAsiaTheme="minorEastAsia" w:cstheme="minorEastAsia"/>
                <w:color w:val="auto"/>
                <w:szCs w:val="21"/>
              </w:rPr>
              <w:t>70%</w:t>
            </w:r>
            <w:r>
              <w:rPr>
                <w:rFonts w:hint="eastAsia" w:asciiTheme="minorEastAsia" w:hAnsiTheme="minorEastAsia" w:eastAsiaTheme="minorEastAsia" w:cstheme="minorEastAsia"/>
                <w:color w:val="auto"/>
                <w:szCs w:val="21"/>
                <w:lang w:val="zh-CN"/>
              </w:rPr>
              <w:t>向采购代理机构支付招标代理服务费</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招标</w:t>
            </w:r>
            <w:r>
              <w:rPr>
                <w:rFonts w:hint="eastAsia" w:asciiTheme="minorEastAsia" w:hAnsiTheme="minorEastAsia" w:eastAsiaTheme="minorEastAsia" w:cstheme="minorEastAsia"/>
                <w:color w:val="auto"/>
                <w:szCs w:val="21"/>
              </w:rPr>
              <w:t>代理服务费由成交供应商在领取</w:t>
            </w:r>
            <w:r>
              <w:rPr>
                <w:rFonts w:hint="eastAsia" w:asciiTheme="minorEastAsia" w:hAnsiTheme="minorEastAsia" w:eastAsiaTheme="minorEastAsia" w:cstheme="minorEastAsia"/>
                <w:color w:val="auto"/>
                <w:szCs w:val="21"/>
                <w:lang w:val="en-US" w:eastAsia="zh-CN"/>
              </w:rPr>
              <w:t>成交</w:t>
            </w:r>
            <w:r>
              <w:rPr>
                <w:rFonts w:hint="eastAsia" w:asciiTheme="minorEastAsia" w:hAnsiTheme="minorEastAsia" w:eastAsiaTheme="minorEastAsia" w:cstheme="minorEastAsia"/>
                <w:color w:val="auto"/>
                <w:szCs w:val="21"/>
              </w:rPr>
              <w:t>通知书的同时，向</w:t>
            </w:r>
            <w:r>
              <w:rPr>
                <w:rFonts w:hint="eastAsia" w:asciiTheme="minorEastAsia" w:hAnsiTheme="minorEastAsia" w:eastAsiaTheme="minorEastAsia" w:cstheme="minorEastAsia"/>
                <w:color w:val="auto"/>
                <w:szCs w:val="21"/>
                <w:lang w:val="en-US" w:eastAsia="zh-CN"/>
              </w:rPr>
              <w:t>采购</w:t>
            </w:r>
            <w:r>
              <w:rPr>
                <w:rFonts w:hint="eastAsia" w:asciiTheme="minorEastAsia" w:hAnsiTheme="minorEastAsia" w:eastAsiaTheme="minorEastAsia" w:cstheme="minorEastAsia"/>
                <w:color w:val="auto"/>
                <w:szCs w:val="21"/>
              </w:rPr>
              <w:t>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napToGrid w:val="0"/>
                <w:kern w:val="0"/>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19</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供应商确认收到磋商</w:t>
            </w:r>
          </w:p>
          <w:p>
            <w:pPr>
              <w:autoSpaceDE w:val="0"/>
              <w:autoSpaceDN w:val="0"/>
              <w:adjustRightInd w:val="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文件澄清或者修改的</w:t>
            </w:r>
          </w:p>
          <w:p>
            <w:pPr>
              <w:autoSpaceDE w:val="0"/>
              <w:autoSpaceDN w:val="0"/>
              <w:adjustRightInd w:val="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ind w:right="21" w:rightChars="1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27" w:type="dxa"/>
            <w:vAlign w:val="center"/>
          </w:tcPr>
          <w:p>
            <w:pPr>
              <w:autoSpaceDE w:val="0"/>
              <w:autoSpaceDN w:val="0"/>
              <w:adjustRightInd w:val="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对多</w:t>
            </w:r>
            <w:r>
              <w:rPr>
                <w:rFonts w:hint="eastAsia" w:asciiTheme="minorEastAsia" w:hAnsiTheme="minorEastAsia" w:eastAsiaTheme="minorEastAsia" w:cstheme="minorEastAsia"/>
                <w:snapToGrid w:val="0"/>
                <w:kern w:val="0"/>
                <w:szCs w:val="21"/>
                <w:lang w:val="en-US" w:eastAsia="zh-CN"/>
              </w:rPr>
              <w:t>包</w:t>
            </w:r>
            <w:r>
              <w:rPr>
                <w:rFonts w:hint="eastAsia" w:asciiTheme="minorEastAsia" w:hAnsiTheme="minorEastAsia" w:eastAsiaTheme="minorEastAsia" w:cstheme="minorEastAsia"/>
                <w:snapToGrid w:val="0"/>
                <w:kern w:val="0"/>
                <w:szCs w:val="21"/>
                <w:lang w:val="zh-CN"/>
              </w:rPr>
              <w:t>采购的规定</w:t>
            </w:r>
          </w:p>
        </w:tc>
        <w:tc>
          <w:tcPr>
            <w:tcW w:w="6130" w:type="dxa"/>
          </w:tcPr>
          <w:p>
            <w:pPr>
              <w:autoSpaceDE w:val="0"/>
              <w:autoSpaceDN w:val="0"/>
              <w:adjustRightInd w:val="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详见</w:t>
            </w:r>
            <w:r>
              <w:rPr>
                <w:rFonts w:hint="eastAsia" w:asciiTheme="minorEastAsia" w:hAnsiTheme="minorEastAsia" w:eastAsiaTheme="minorEastAsia" w:cstheme="minorEastAsia"/>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备选方案</w:t>
            </w:r>
          </w:p>
        </w:tc>
        <w:tc>
          <w:tcPr>
            <w:tcW w:w="6130" w:type="dxa"/>
            <w:vAlign w:val="center"/>
          </w:tcPr>
          <w:p>
            <w:pPr>
              <w:autoSpaceDE w:val="0"/>
              <w:autoSpaceDN w:val="0"/>
              <w:adjustRightInd w:val="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联合体磋商</w:t>
            </w:r>
          </w:p>
        </w:tc>
        <w:tc>
          <w:tcPr>
            <w:tcW w:w="6130" w:type="dxa"/>
            <w:vAlign w:val="center"/>
          </w:tcPr>
          <w:p>
            <w:pPr>
              <w:autoSpaceDE w:val="0"/>
              <w:autoSpaceDN w:val="0"/>
              <w:adjustRightInd w:val="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color w:val="auto"/>
                <w:szCs w:val="21"/>
                <w:lang w:val="zh-CN"/>
              </w:rPr>
              <w:t xml:space="preserve"> </w:t>
            </w:r>
            <w:r>
              <w:rPr>
                <w:rFonts w:hint="eastAsia" w:asciiTheme="minorEastAsia" w:hAnsiTheme="minorEastAsia" w:eastAsiaTheme="minorEastAsia" w:cstheme="minorEastAsia"/>
                <w:color w:val="auto"/>
                <w:szCs w:val="21"/>
                <w:u w:val="single"/>
                <w:lang w:val="zh-CN"/>
              </w:rPr>
              <w:t>不接受</w:t>
            </w:r>
            <w:r>
              <w:rPr>
                <w:rFonts w:hint="eastAsia" w:asciiTheme="minorEastAsia" w:hAnsiTheme="minorEastAsia" w:eastAsiaTheme="minorEastAsia" w:cstheme="minorEastAsia"/>
                <w:color w:val="auto"/>
                <w:szCs w:val="21"/>
                <w:lang w:val="zh-CN"/>
              </w:rPr>
              <w:t xml:space="preserve"> 联合</w:t>
            </w:r>
            <w:r>
              <w:rPr>
                <w:rFonts w:hint="eastAsia" w:asciiTheme="minorEastAsia" w:hAnsiTheme="minorEastAsia" w:eastAsiaTheme="minorEastAsia" w:cstheme="minorEastAsia"/>
                <w:szCs w:val="21"/>
                <w:lang w:val="zh-CN"/>
              </w:rPr>
              <w:t>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127" w:type="dxa"/>
            <w:vAlign w:val="center"/>
          </w:tcPr>
          <w:p>
            <w:pPr>
              <w:autoSpaceDE w:val="0"/>
              <w:autoSpaceDN w:val="0"/>
              <w:adjustRightInd w:val="0"/>
              <w:spacing w:beforeLines="10" w:afterLines="10"/>
              <w:ind w:left="21" w:leftChars="10" w:right="21" w:rightChars="10"/>
              <w:jc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2"/>
              </w:rPr>
              <w:t>应提交的资格证明文件（实质性要求）</w:t>
            </w:r>
          </w:p>
        </w:tc>
        <w:tc>
          <w:tcPr>
            <w:tcW w:w="6130" w:type="dxa"/>
            <w:vAlign w:val="center"/>
          </w:tcPr>
          <w:p>
            <w:pPr>
              <w:autoSpaceDE w:val="0"/>
              <w:autoSpaceDN w:val="0"/>
              <w:adjustRightInd w:val="0"/>
              <w:snapToGrid w:val="0"/>
              <w:spacing w:beforeLines="10" w:afterLines="10"/>
              <w:ind w:right="21" w:rightChars="10"/>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详见第一章《竞争性磋商采购公告》第</w:t>
            </w:r>
            <w:r>
              <w:rPr>
                <w:rFonts w:hint="eastAsia" w:asciiTheme="minorEastAsia" w:hAnsiTheme="minorEastAsia" w:eastAsiaTheme="minorEastAsia" w:cstheme="minorEastAsia"/>
                <w:lang w:val="en-US" w:eastAsia="zh-CN"/>
              </w:rPr>
              <w:t>二款</w:t>
            </w:r>
            <w:r>
              <w:rPr>
                <w:rFonts w:hint="eastAsia" w:asciiTheme="minorEastAsia" w:hAnsiTheme="minorEastAsia" w:eastAsiaTheme="minorEastAsia" w:cstheme="minorEastAsia"/>
              </w:rPr>
              <w:t xml:space="preserve">“资格要求”，须提供的证明文件包括但不限于： </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、具有独立承担民事责任的能力；</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营业执照等证明文件或自然人的身份证明（如供应商是企业 （包括合伙企业），应提供在工商部门注册的有效“企业法人营业执照”或“营业执照”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如供应商是事业单位，应提供有效的“事业单位法人证书”；供应商是非企业专业</w:t>
            </w:r>
            <w:r>
              <w:rPr>
                <w:rFonts w:hint="eastAsia" w:asciiTheme="minorEastAsia" w:hAnsiTheme="minorEastAsia" w:eastAsiaTheme="minorEastAsia" w:cstheme="minorEastAsia"/>
                <w:szCs w:val="21"/>
              </w:rPr>
              <w:t>服务机构的，应提供执业许可证等证明文件；如供应商是个体工商户，应提供有效的“个体工商户营业执照”</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如供应商是自然人，应提供有效的自然人身份证明）。</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具有良好的商业信誉和健全的财务会计制度</w:t>
            </w:r>
            <w:r>
              <w:rPr>
                <w:rFonts w:hint="eastAsia" w:asciiTheme="minorEastAsia" w:hAnsiTheme="minorEastAsia" w:eastAsiaTheme="minorEastAsia" w:cstheme="minorEastAsia"/>
                <w:szCs w:val="21"/>
                <w:lang w:eastAsia="zh-CN"/>
              </w:rPr>
              <w:t>；</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szCs w:val="21"/>
              </w:rPr>
              <w:t>良好的商业信誉</w:t>
            </w:r>
            <w:r>
              <w:rPr>
                <w:rFonts w:hint="eastAsia" w:asciiTheme="minorEastAsia" w:hAnsiTheme="minorEastAsia" w:eastAsiaTheme="minorEastAsia" w:cstheme="minorEastAsia"/>
                <w:szCs w:val="21"/>
                <w:lang w:val="en-US" w:eastAsia="zh-CN"/>
              </w:rPr>
              <w:t>证明材料（自拟），</w:t>
            </w:r>
            <w:r>
              <w:rPr>
                <w:rFonts w:hint="eastAsia" w:asciiTheme="minorEastAsia" w:hAnsiTheme="minorEastAsia" w:eastAsiaTheme="minorEastAsia" w:cstheme="minorEastAsia"/>
                <w:szCs w:val="21"/>
              </w:rPr>
              <w:t>财务状况报告（供应商是法人的，</w:t>
            </w:r>
            <w:r>
              <w:rPr>
                <w:rFonts w:hint="eastAsia" w:asciiTheme="minorEastAsia" w:hAnsiTheme="minorEastAsia" w:eastAsiaTheme="minorEastAsia" w:cstheme="minorEastAsia"/>
                <w:color w:val="auto"/>
                <w:szCs w:val="21"/>
              </w:rPr>
              <w:t>应提供</w:t>
            </w:r>
            <w:r>
              <w:rPr>
                <w:rFonts w:hint="eastAsia" w:asciiTheme="minorEastAsia" w:hAnsiTheme="minorEastAsia" w:eastAsiaTheme="minorEastAsia" w:cstheme="minorEastAsia"/>
                <w:color w:val="auto"/>
                <w:szCs w:val="21"/>
                <w:lang w:eastAsia="zh-CN"/>
              </w:rPr>
              <w:t>近前一</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rPr>
              <w:t>度经审计的财务报告，或其基本开户银行出具的资信证明（银行资信证明应能说明该供应商与银行之间业务往来正常</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企业信誉良好等。银行出具的单纯的存款证明不能视作银行资信证明。下同）</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 xml:space="preserve">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具</w:t>
            </w:r>
            <w:r>
              <w:rPr>
                <w:rFonts w:hint="eastAsia" w:asciiTheme="minorEastAsia" w:hAnsiTheme="minorEastAsia" w:eastAsiaTheme="minorEastAsia" w:cstheme="minorEastAsia"/>
                <w:color w:val="auto"/>
                <w:lang w:val="en-US" w:eastAsia="zh-CN"/>
              </w:rPr>
              <w:t>有</w:t>
            </w:r>
            <w:r>
              <w:rPr>
                <w:rFonts w:hint="eastAsia" w:asciiTheme="minorEastAsia" w:hAnsiTheme="minorEastAsia" w:eastAsiaTheme="minorEastAsia" w:cstheme="minorEastAsia"/>
                <w:color w:val="auto"/>
              </w:rPr>
              <w:t>履行合同所必需的设备和专业技术能力的证明材料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（自拟）</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具</w:t>
            </w:r>
            <w:r>
              <w:rPr>
                <w:rFonts w:hint="eastAsia" w:asciiTheme="minorEastAsia" w:hAnsiTheme="minorEastAsia" w:eastAsiaTheme="minorEastAsia" w:cstheme="minorEastAsia"/>
                <w:color w:val="auto"/>
              </w:rPr>
              <w:t>有依法缴纳税收和社会保障资金的良好记录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（1）供应商依法缴纳税收的证明材料：竞标截止时间前</w:t>
            </w:r>
            <w:r>
              <w:rPr>
                <w:rFonts w:hint="eastAsia" w:asciiTheme="minorEastAsia" w:hAnsiTheme="minorEastAsia" w:eastAsiaTheme="minorEastAsia" w:cstheme="minorEastAsia"/>
                <w:color w:val="auto"/>
                <w:lang w:eastAsia="zh-CN"/>
              </w:rPr>
              <w:t>一段时间</w:t>
            </w:r>
            <w:r>
              <w:rPr>
                <w:rFonts w:hint="eastAsia" w:asciiTheme="minorEastAsia" w:hAnsiTheme="minorEastAsia" w:eastAsiaTheme="minorEastAsia" w:cstheme="minorEastAsia"/>
                <w:color w:val="auto"/>
              </w:rPr>
              <w:t>（至少提供</w:t>
            </w:r>
            <w:r>
              <w:rPr>
                <w:rFonts w:hint="eastAsia" w:asciiTheme="minorEastAsia" w:hAnsiTheme="minorEastAsia" w:eastAsiaTheme="minorEastAsia" w:cstheme="minorEastAsia"/>
                <w:color w:val="auto"/>
                <w:lang w:eastAsia="zh-CN"/>
              </w:rPr>
              <w:t>一</w:t>
            </w:r>
            <w:r>
              <w:rPr>
                <w:rFonts w:hint="eastAsia" w:asciiTheme="minorEastAsia" w:hAnsiTheme="minorEastAsia" w:eastAsiaTheme="minorEastAsia" w:cstheme="minorEastAsia"/>
                <w:color w:val="auto"/>
              </w:rPr>
              <w:t>个月）缴纳税收的凭据（</w:t>
            </w:r>
            <w:r>
              <w:rPr>
                <w:rFonts w:hint="eastAsia" w:asciiTheme="minorEastAsia" w:hAnsiTheme="minorEastAsia" w:eastAsiaTheme="minorEastAsia" w:cstheme="minorEastAsia"/>
                <w:color w:val="auto"/>
                <w:lang w:eastAsia="zh-CN"/>
              </w:rPr>
              <w:t>完税证明</w:t>
            </w:r>
            <w:r>
              <w:rPr>
                <w:rFonts w:hint="eastAsia" w:asciiTheme="minorEastAsia" w:hAnsiTheme="minorEastAsia" w:eastAsiaTheme="minorEastAsia" w:cstheme="minorEastAsia"/>
                <w:color w:val="auto"/>
              </w:rPr>
              <w:t>、缴款书、银行代扣（代缴）转账凭证等均可）；（2）供应商依法缴纳社会保障资金的证明材料：竞标截止时间前</w:t>
            </w:r>
            <w:r>
              <w:rPr>
                <w:rFonts w:hint="eastAsia" w:asciiTheme="minorEastAsia" w:hAnsiTheme="minorEastAsia" w:eastAsiaTheme="minorEastAsia" w:cstheme="minorEastAsia"/>
                <w:color w:val="auto"/>
                <w:lang w:eastAsia="zh-CN"/>
              </w:rPr>
              <w:t>一段时间</w:t>
            </w:r>
            <w:r>
              <w:rPr>
                <w:rFonts w:hint="eastAsia" w:asciiTheme="minorEastAsia" w:hAnsiTheme="minorEastAsia" w:eastAsiaTheme="minorEastAsia" w:cstheme="minorEastAsia"/>
                <w:color w:val="auto"/>
              </w:rPr>
              <w:t>（至少提供</w:t>
            </w: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rPr>
              <w:t>个月）缴纳社会保险的凭据（专用发票或社会保险</w:t>
            </w:r>
            <w:r>
              <w:rPr>
                <w:rFonts w:hint="eastAsia" w:asciiTheme="minorEastAsia" w:hAnsiTheme="minorEastAsia" w:eastAsiaTheme="minorEastAsia" w:cstheme="minorEastAsia"/>
                <w:color w:val="auto"/>
                <w:lang w:val="en-US" w:eastAsia="zh-CN"/>
              </w:rPr>
              <w:t>缴</w:t>
            </w:r>
            <w:r>
              <w:rPr>
                <w:rFonts w:hint="eastAsia" w:asciiTheme="minorEastAsia" w:hAnsiTheme="minorEastAsia" w:eastAsiaTheme="minorEastAsia" w:cstheme="minorEastAsia"/>
                <w:color w:val="auto"/>
              </w:rPr>
              <w:t>纳清单</w:t>
            </w:r>
            <w:r>
              <w:rPr>
                <w:rFonts w:hint="eastAsia" w:asciiTheme="minorEastAsia" w:hAnsiTheme="minorEastAsia" w:eastAsiaTheme="minorEastAsia" w:cstheme="minorEastAsia"/>
                <w:color w:val="auto"/>
                <w:lang w:eastAsia="zh-CN"/>
              </w:rPr>
              <w:t>或转账凭证等均可</w:t>
            </w:r>
            <w:r>
              <w:rPr>
                <w:rFonts w:hint="eastAsia" w:asciiTheme="minorEastAsia" w:hAnsiTheme="minorEastAsia" w:eastAsiaTheme="minorEastAsia" w:cstheme="minorEastAsia"/>
                <w:color w:val="auto"/>
              </w:rPr>
              <w:t>）；（3）供应商为其他组织或自然人的，也需要按此项规定提供缴纳税收</w:t>
            </w:r>
            <w:r>
              <w:rPr>
                <w:rFonts w:hint="eastAsia" w:asciiTheme="minorEastAsia" w:hAnsiTheme="minorEastAsia" w:eastAsiaTheme="minorEastAsia" w:cstheme="minorEastAsia"/>
              </w:rPr>
              <w:t>的凭据和</w:t>
            </w:r>
            <w:r>
              <w:rPr>
                <w:rFonts w:hint="eastAsia" w:asciiTheme="minorEastAsia" w:hAnsiTheme="minorEastAsia" w:eastAsiaTheme="minorEastAsia" w:cstheme="minorEastAsia"/>
                <w:lang w:eastAsia="zh-CN"/>
              </w:rPr>
              <w:t>缴纳</w:t>
            </w:r>
            <w:r>
              <w:rPr>
                <w:rFonts w:hint="eastAsia" w:asciiTheme="minorEastAsia" w:hAnsiTheme="minorEastAsia" w:eastAsiaTheme="minorEastAsia" w:cstheme="minorEastAsia"/>
              </w:rPr>
              <w:t>社会保险的凭据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（4）递交响应文件截止时间的当月成立但因税务机关原因导致其尚未依法缴纳税收的供应商，提供依法缴纳税收承诺书原件（格式自拟），该承诺书视同税收缴纳凭据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w:t>
            </w:r>
            <w:r>
              <w:rPr>
                <w:rFonts w:hint="eastAsia" w:asciiTheme="minorEastAsia" w:hAnsiTheme="minorEastAsia" w:eastAsiaTheme="minorEastAsia" w:cstheme="minorEastAsia"/>
                <w:lang w:eastAsia="zh-CN"/>
              </w:rPr>
              <w:t>缴纳</w:t>
            </w:r>
            <w:r>
              <w:rPr>
                <w:rFonts w:hint="eastAsia" w:asciiTheme="minorEastAsia" w:hAnsiTheme="minorEastAsia" w:eastAsiaTheme="minorEastAsia" w:cstheme="minorEastAsia"/>
              </w:rPr>
              <w:t xml:space="preserve">社会保障资金。 </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参加政府采购活动前三年内（不足3年按公司成立时间起算），在经营活动中没有重大违法记录（提供书面声明，格式见磋商文件第六章）； </w:t>
            </w:r>
          </w:p>
          <w:p>
            <w:pPr>
              <w:autoSpaceDE w:val="0"/>
              <w:autoSpaceDN w:val="0"/>
              <w:adjustRightInd w:val="0"/>
              <w:snapToGrid w:val="0"/>
              <w:spacing w:beforeLines="10" w:afterLines="10"/>
              <w:ind w:left="21" w:leftChars="10" w:right="21" w:rightChars="1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6、</w:t>
            </w:r>
            <w:r>
              <w:rPr>
                <w:rFonts w:hint="eastAsia" w:asciiTheme="minorEastAsia" w:hAnsiTheme="minorEastAsia" w:eastAsiaTheme="minorEastAsia" w:cstheme="minorEastAsia"/>
                <w:b/>
                <w:bCs/>
              </w:rPr>
              <w:t>符合本文件第一章第二</w:t>
            </w:r>
            <w:r>
              <w:rPr>
                <w:rFonts w:hint="eastAsia" w:asciiTheme="minorEastAsia" w:hAnsiTheme="minorEastAsia" w:eastAsiaTheme="minorEastAsia" w:cstheme="minorEastAsia"/>
                <w:b/>
                <w:bCs/>
                <w:lang w:val="en-US" w:eastAsia="zh-CN"/>
              </w:rPr>
              <w:t>款</w:t>
            </w:r>
            <w:r>
              <w:rPr>
                <w:rFonts w:hint="eastAsia" w:asciiTheme="minorEastAsia" w:hAnsiTheme="minorEastAsia" w:eastAsiaTheme="minorEastAsia" w:cstheme="minorEastAsia"/>
                <w:b/>
                <w:bCs/>
              </w:rPr>
              <w:t>资格要求的</w:t>
            </w:r>
            <w:r>
              <w:rPr>
                <w:rFonts w:hint="eastAsia" w:asciiTheme="minorEastAsia" w:hAnsiTheme="minorEastAsia" w:eastAsiaTheme="minorEastAsia" w:cstheme="minorEastAsia"/>
                <w:b/>
                <w:bCs/>
                <w:lang w:val="en-US" w:eastAsia="zh-CN"/>
              </w:rPr>
              <w:t>所有</w:t>
            </w:r>
            <w:r>
              <w:rPr>
                <w:rFonts w:hint="eastAsia" w:asciiTheme="minorEastAsia" w:hAnsiTheme="minorEastAsia" w:eastAsiaTheme="minorEastAsia" w:cstheme="minorEastAsia"/>
                <w:b/>
                <w:bCs/>
              </w:rPr>
              <w:t xml:space="preserve">证明资料。 </w:t>
            </w:r>
          </w:p>
          <w:p>
            <w:pPr>
              <w:rPr>
                <w:rFonts w:hint="eastAsia"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lang w:val="en-US" w:eastAsia="zh-CN"/>
              </w:rPr>
              <w:t>注：</w:t>
            </w:r>
            <w:r>
              <w:rPr>
                <w:rFonts w:hint="eastAsia" w:asciiTheme="minorEastAsia" w:hAnsiTheme="minorEastAsia" w:eastAsiaTheme="minorEastAsia" w:cstheme="minorEastAsia"/>
                <w:b/>
                <w:bCs/>
              </w:rPr>
              <w:t>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w:t>
            </w:r>
            <w:r>
              <w:rPr>
                <w:rFonts w:hint="eastAsia" w:asciiTheme="minorEastAsia" w:hAnsiTheme="minorEastAsia" w:eastAsiaTheme="minorEastAsia" w:cstheme="minorEastAsia"/>
                <w:b/>
                <w:bCs/>
                <w:lang w:val="en-US" w:eastAsia="zh-CN"/>
              </w:rPr>
              <w:t>竞标</w:t>
            </w:r>
            <w:r>
              <w:rPr>
                <w:rFonts w:hint="eastAsia" w:asciiTheme="minorEastAsia" w:hAnsiTheme="minorEastAsia" w:eastAsiaTheme="minorEastAsia" w:cstheme="minorEastAsia"/>
                <w:b/>
                <w:bCs/>
              </w:rPr>
              <w:t>单位本身，参股或控股单位及独立法人子公司的材料不能作为证明材料，但</w:t>
            </w:r>
            <w:r>
              <w:rPr>
                <w:rFonts w:hint="eastAsia" w:asciiTheme="minorEastAsia" w:hAnsiTheme="minorEastAsia" w:eastAsiaTheme="minorEastAsia" w:cstheme="minorEastAsia"/>
                <w:b/>
                <w:bCs/>
                <w:lang w:val="en-US" w:eastAsia="zh-CN"/>
              </w:rPr>
              <w:t>竞标</w:t>
            </w:r>
            <w:r>
              <w:rPr>
                <w:rFonts w:hint="eastAsia" w:asciiTheme="minorEastAsia" w:hAnsiTheme="minorEastAsia" w:eastAsiaTheme="minorEastAsia" w:cstheme="minorEastAsia"/>
                <w:b/>
                <w:bCs/>
              </w:rPr>
              <w:t>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14.4</w:t>
            </w:r>
          </w:p>
        </w:tc>
        <w:tc>
          <w:tcPr>
            <w:tcW w:w="2127" w:type="dxa"/>
            <w:vAlign w:val="center"/>
          </w:tcPr>
          <w:p>
            <w:pPr>
              <w:autoSpaceDE w:val="0"/>
              <w:autoSpaceDN w:val="0"/>
              <w:adjustRightInd w:val="0"/>
              <w:spacing w:beforeLines="10" w:afterLines="10"/>
              <w:ind w:left="21" w:leftChars="10" w:right="21" w:rightChars="10"/>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供应商不得存在的其他情形</w:t>
            </w:r>
          </w:p>
        </w:tc>
        <w:tc>
          <w:tcPr>
            <w:tcW w:w="6130" w:type="dxa"/>
            <w:vAlign w:val="center"/>
          </w:tcPr>
          <w:p>
            <w:pPr>
              <w:numPr>
                <w:ilvl w:val="0"/>
                <w:numId w:val="8"/>
              </w:numPr>
              <w:rPr>
                <w:rFonts w:hint="eastAsia"/>
              </w:rPr>
            </w:pPr>
            <w:r>
              <w:rPr>
                <w:rFonts w:hint="eastAsia"/>
              </w:rPr>
              <w:t>与采购人存在利害关系可能影响</w:t>
            </w:r>
            <w:r>
              <w:rPr>
                <w:rFonts w:hint="eastAsia"/>
                <w:lang w:val="en-US" w:eastAsia="zh-CN"/>
              </w:rPr>
              <w:t>采购</w:t>
            </w:r>
            <w:r>
              <w:rPr>
                <w:rFonts w:hint="eastAsia"/>
              </w:rPr>
              <w:t>公正性的法人、其他组织或者个人，不得参与本项目；单位负责人为同一人或存在控股、管理关系的不同单位只能有一家单位报名(按在采购代理机构处获取文件登记的先后顺序)。</w:t>
            </w:r>
          </w:p>
          <w:p>
            <w:pPr>
              <w:numPr>
                <w:ilvl w:val="0"/>
                <w:numId w:val="8"/>
              </w:numPr>
              <w:rPr>
                <w:rFonts w:hint="eastAsia"/>
                <w:lang w:val="en-US" w:eastAsia="zh-CN"/>
              </w:rPr>
            </w:pPr>
            <w:r>
              <w:rPr>
                <w:rFonts w:hint="eastAsia"/>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证明响应内容符合竞争性磋商采购文件要求的文件和竞争性磋商采购文件规定的其他资料</w:t>
            </w:r>
          </w:p>
        </w:tc>
        <w:tc>
          <w:tcPr>
            <w:tcW w:w="6130" w:type="dxa"/>
            <w:vAlign w:val="center"/>
          </w:tcPr>
          <w:p>
            <w:pPr>
              <w:numPr>
                <w:ilvl w:val="0"/>
                <w:numId w:val="0"/>
              </w:numPr>
              <w:rPr>
                <w:rFonts w:hint="eastAsia"/>
              </w:rPr>
            </w:pPr>
            <w:r>
              <w:rPr>
                <w:rFonts w:hint="eastAsia"/>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磋商保证金金额、递交方式、时间及接受磋商保证金的帐户信息</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金    额：</w:t>
            </w:r>
            <w:r>
              <w:rPr>
                <w:rFonts w:hint="eastAsia" w:asciiTheme="minorEastAsia" w:hAnsiTheme="minorEastAsia" w:eastAsiaTheme="minorEastAsia" w:cstheme="minorEastAsia"/>
                <w:sz w:val="21"/>
                <w:szCs w:val="21"/>
                <w:lang w:val="en-US" w:eastAsia="zh-CN"/>
              </w:rPr>
              <w:t xml:space="preserve">（包一）人民币壹万元整(￥10000.00) </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（包二）人民币伍仟元整(￥5000.00)</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号：17053001040009288</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投标保证金必须从</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sz w:val="21"/>
                <w:szCs w:val="21"/>
                <w:lang w:val="en-US" w:eastAsia="zh-CN"/>
              </w:rPr>
              <w:t>递交响应文件截止时间</w:t>
            </w:r>
            <w:r>
              <w:rPr>
                <w:rFonts w:hint="eastAsia" w:asciiTheme="minorEastAsia" w:hAnsiTheme="minorEastAsia" w:eastAsiaTheme="minorEastAsia" w:cstheme="minorEastAsia"/>
                <w:sz w:val="21"/>
                <w:szCs w:val="21"/>
                <w:lang w:eastAsia="zh-CN"/>
              </w:rPr>
              <w:t>，以采购代理公司银行到账信息为准。</w:t>
            </w: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签订合同后须将合同扫描件（PDF版）发送至2102252595@qq.com邮箱备案后方可退还保证金。</w:t>
            </w:r>
            <w:r>
              <w:rPr>
                <w:rFonts w:hint="eastAsia" w:asciiTheme="minorEastAsia" w:hAnsiTheme="minorEastAsia" w:eastAsiaTheme="minorEastAsia" w:cstheme="minorEastAsia"/>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竞争性磋商响应文件正、副本数量</w:t>
            </w:r>
          </w:p>
        </w:tc>
        <w:tc>
          <w:tcPr>
            <w:tcW w:w="6130" w:type="dxa"/>
            <w:vAlign w:val="center"/>
          </w:tcPr>
          <w:p>
            <w:pPr>
              <w:autoSpaceDE w:val="0"/>
              <w:autoSpaceDN w:val="0"/>
              <w:snapToGri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w:t>
            </w:r>
            <w:r>
              <w:rPr>
                <w:rFonts w:hint="eastAsia" w:asciiTheme="minorEastAsia" w:hAnsiTheme="minorEastAsia" w:eastAsiaTheme="minorEastAsia" w:cstheme="minorEastAsia"/>
                <w:b/>
                <w:bCs/>
                <w:color w:val="auto"/>
                <w:sz w:val="21"/>
                <w:szCs w:val="21"/>
              </w:rPr>
              <w:t>需为</w:t>
            </w:r>
            <w:r>
              <w:rPr>
                <w:rFonts w:hint="eastAsia" w:asciiTheme="minorEastAsia" w:hAnsiTheme="minorEastAsia" w:eastAsiaTheme="minorEastAsia" w:cstheme="minorEastAsia"/>
                <w:b/>
                <w:bCs/>
                <w:color w:val="auto"/>
                <w:sz w:val="21"/>
                <w:szCs w:val="21"/>
                <w:lang w:val="en-US" w:eastAsia="zh-CN"/>
              </w:rPr>
              <w:t>彩色打印</w:t>
            </w:r>
            <w:r>
              <w:rPr>
                <w:rFonts w:hint="eastAsia" w:asciiTheme="minorEastAsia" w:hAnsiTheme="minorEastAsia" w:eastAsiaTheme="minorEastAsia" w:cstheme="minorEastAsia"/>
                <w:b/>
                <w:bCs/>
                <w:color w:val="auto"/>
                <w:sz w:val="21"/>
                <w:szCs w:val="21"/>
              </w:rPr>
              <w:t>件</w:t>
            </w:r>
            <w:r>
              <w:rPr>
                <w:rFonts w:hint="eastAsia" w:asciiTheme="minorEastAsia" w:hAnsiTheme="minorEastAsia" w:eastAsiaTheme="minorEastAsia" w:cstheme="minorEastAsia"/>
                <w:color w:val="auto"/>
                <w:sz w:val="21"/>
                <w:szCs w:val="21"/>
              </w:rPr>
              <w:t>），副本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 xml:space="preserve">与正本保持一致 </w:t>
            </w:r>
          </w:p>
          <w:p>
            <w:pPr>
              <w:autoSpaceDE w:val="0"/>
              <w:autoSpaceDN w:val="0"/>
              <w:snapToGrid w:val="0"/>
              <w:spacing w:line="240" w:lineRule="auto"/>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rPr>
              <w:t>WORD格式</w:t>
            </w:r>
            <w:r>
              <w:rPr>
                <w:rFonts w:hint="eastAsia" w:asciiTheme="minorEastAsia" w:hAnsiTheme="minorEastAsia" w:eastAsiaTheme="minorEastAsia" w:cstheme="minorEastAsia"/>
                <w:color w:val="auto"/>
                <w:sz w:val="21"/>
                <w:szCs w:val="21"/>
                <w:u w:val="single"/>
                <w:lang w:val="en-US" w:eastAsia="zh-CN"/>
              </w:rPr>
              <w:t>和加盖公章后的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投标文件电子版形式：</w:t>
            </w:r>
            <w:r>
              <w:rPr>
                <w:rFonts w:hint="eastAsia" w:asciiTheme="minorEastAsia" w:hAnsiTheme="minorEastAsia" w:eastAsiaTheme="minorEastAsia" w:cstheme="minorEastAsia"/>
                <w:color w:val="auto"/>
                <w:sz w:val="21"/>
                <w:szCs w:val="21"/>
                <w:u w:val="single"/>
              </w:rPr>
              <w:t xml:space="preserve"> U盘1份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u w:val="none"/>
                <w:lang w:val="en-US" w:eastAsia="zh-CN"/>
              </w:rPr>
              <w:t>3、手持</w:t>
            </w:r>
            <w:r>
              <w:rPr>
                <w:rFonts w:hint="eastAsia" w:asciiTheme="minorEastAsia" w:hAnsiTheme="minorEastAsia" w:eastAsiaTheme="minorEastAsia" w:cstheme="minorEastAsia"/>
                <w:b/>
                <w:bCs/>
                <w:color w:val="auto"/>
                <w:sz w:val="21"/>
                <w:szCs w:val="21"/>
                <w:u w:val="none"/>
              </w:rPr>
              <w:t>法定代表人授权委托书（或法定代表人身份证明书）、单独</w:t>
            </w:r>
            <w:r>
              <w:rPr>
                <w:rFonts w:hint="eastAsia" w:asciiTheme="minorEastAsia" w:hAnsiTheme="minorEastAsia" w:eastAsiaTheme="minorEastAsia" w:cstheme="minorEastAsia"/>
                <w:b/>
                <w:bCs/>
                <w:color w:val="auto"/>
                <w:sz w:val="21"/>
                <w:szCs w:val="21"/>
                <w:u w:val="none"/>
                <w:lang w:val="en-US" w:eastAsia="zh-CN"/>
              </w:rPr>
              <w:t>密封</w:t>
            </w:r>
            <w:r>
              <w:rPr>
                <w:rFonts w:hint="eastAsia" w:asciiTheme="minorEastAsia" w:hAnsiTheme="minorEastAsia" w:eastAsiaTheme="minorEastAsia" w:cstheme="minorEastAsia"/>
                <w:b/>
                <w:bCs/>
                <w:color w:val="auto"/>
                <w:sz w:val="21"/>
                <w:szCs w:val="21"/>
                <w:u w:val="none"/>
              </w:rPr>
              <w:t>提供的报价一览表、优惠声明（如有）</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竞争性磋商响应文件的密封和标记</w:t>
            </w:r>
          </w:p>
        </w:tc>
        <w:tc>
          <w:tcPr>
            <w:tcW w:w="6130" w:type="dxa"/>
            <w:vAlign w:val="center"/>
          </w:tcPr>
          <w:p>
            <w:pPr>
              <w:autoSpaceDE w:val="0"/>
              <w:autoSpaceDN w:val="0"/>
              <w:adjustRightIn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本条款细化为：</w:t>
            </w:r>
          </w:p>
          <w:p>
            <w:pPr>
              <w:autoSpaceDE w:val="0"/>
              <w:autoSpaceDN w:val="0"/>
              <w:adjustRightIn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0"/>
                <w:szCs w:val="21"/>
              </w:rPr>
              <w:t>响应文件应逐页加盖供应商单位公章（本页正文内容已加盖单位公章的可不加盖），</w:t>
            </w:r>
            <w:r>
              <w:rPr>
                <w:rFonts w:hint="eastAsia" w:asciiTheme="minorEastAsia" w:hAnsiTheme="minorEastAsia" w:eastAsiaTheme="minorEastAsia" w:cstheme="minorEastAsia"/>
                <w:b/>
                <w:bCs/>
                <w:kern w:val="0"/>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19.4</w:t>
            </w:r>
          </w:p>
        </w:tc>
        <w:tc>
          <w:tcPr>
            <w:tcW w:w="2127" w:type="dxa"/>
            <w:vAlign w:val="center"/>
          </w:tcPr>
          <w:p>
            <w:pPr>
              <w:autoSpaceDE w:val="0"/>
              <w:autoSpaceDN w:val="0"/>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样品</w:t>
            </w:r>
          </w:p>
        </w:tc>
        <w:tc>
          <w:tcPr>
            <w:tcW w:w="6130" w:type="dxa"/>
            <w:vAlign w:val="center"/>
          </w:tcPr>
          <w:p>
            <w:pPr>
              <w:autoSpaceDE w:val="0"/>
              <w:autoSpaceDN w:val="0"/>
              <w:adjustRightInd w:val="0"/>
              <w:rPr>
                <w:rFonts w:hint="eastAsia"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Cs w:val="21"/>
                <w:lang w:val="zh-CN"/>
              </w:rPr>
              <w:br w:type="textWrapping"/>
            </w:r>
            <w:r>
              <w:rPr>
                <w:rFonts w:hint="eastAsia" w:asciiTheme="minorEastAsia" w:hAnsiTheme="minorEastAsia" w:eastAsiaTheme="minorEastAsia" w:cstheme="minorEastAsia"/>
                <w:color w:val="auto"/>
                <w:kern w:val="0"/>
                <w:szCs w:val="21"/>
                <w:lang w:val="zh-CN"/>
              </w:rPr>
              <w:t>退还样品的相关规定：</w:t>
            </w:r>
            <w:r>
              <w:rPr>
                <w:rFonts w:hint="eastAsia" w:asciiTheme="minorEastAsia" w:hAnsiTheme="minorEastAsia" w:eastAsiaTheme="minorEastAsia" w:cstheme="minorEastAsia"/>
                <w:color w:val="auto"/>
                <w:kern w:val="0"/>
                <w:szCs w:val="21"/>
                <w:lang w:val="en-US" w:eastAsia="zh-CN"/>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响应文件送达地点及递交截止时间</w:t>
            </w:r>
          </w:p>
        </w:tc>
        <w:tc>
          <w:tcPr>
            <w:tcW w:w="6130" w:type="dxa"/>
            <w:vAlign w:val="center"/>
          </w:tcPr>
          <w:p>
            <w:pPr>
              <w:autoSpaceDE w:val="0"/>
              <w:autoSpaceDN w:val="0"/>
              <w:adjustRightInd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磋商小组人数</w:t>
            </w:r>
          </w:p>
        </w:tc>
        <w:tc>
          <w:tcPr>
            <w:tcW w:w="6130" w:type="dxa"/>
            <w:vAlign w:val="center"/>
          </w:tcPr>
          <w:p>
            <w:pPr>
              <w:autoSpaceDE w:val="0"/>
              <w:autoSpaceDN w:val="0"/>
              <w:adjustRightInd w:val="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bCs/>
                <w:snapToGrid w:val="0"/>
                <w:kern w:val="0"/>
                <w:szCs w:val="21"/>
                <w:lang w:val="en-US" w:eastAsia="zh-CN"/>
              </w:rPr>
            </w:pPr>
            <w:r>
              <w:rPr>
                <w:rFonts w:hint="eastAsia" w:asciiTheme="minorEastAsia" w:hAnsiTheme="minorEastAsia" w:eastAsiaTheme="minorEastAsia" w:cstheme="minorEastAsia"/>
                <w:b/>
                <w:bCs/>
                <w:snapToGrid w:val="0"/>
                <w:kern w:val="0"/>
                <w:szCs w:val="21"/>
                <w:lang w:val="en-US" w:eastAsia="zh-CN"/>
              </w:rPr>
              <w:t>磋商代表</w:t>
            </w:r>
          </w:p>
        </w:tc>
        <w:tc>
          <w:tcPr>
            <w:tcW w:w="6130" w:type="dxa"/>
            <w:vAlign w:val="center"/>
          </w:tcPr>
          <w:p>
            <w:pPr>
              <w:autoSpaceDE w:val="0"/>
              <w:autoSpaceDN w:val="0"/>
              <w:adjustRightInd w:val="0"/>
              <w:jc w:val="left"/>
              <w:rPr>
                <w:rFonts w:hint="eastAsia"/>
                <w:b/>
                <w:bCs/>
                <w:lang w:val="en-US" w:eastAsia="zh-CN"/>
              </w:rPr>
            </w:pPr>
            <w:r>
              <w:rPr>
                <w:rFonts w:hint="eastAsia"/>
                <w:b/>
                <w:bCs/>
                <w:lang w:val="zh-CN" w:eastAsia="zh-CN"/>
              </w:rPr>
              <w:t>建议供应商拟派出席磋商会议的磋商代表为熟知本项目的技术人员或商务负责人等能</w:t>
            </w:r>
            <w:r>
              <w:rPr>
                <w:rFonts w:hint="eastAsia"/>
                <w:b/>
                <w:bCs/>
                <w:lang w:val="en-US" w:eastAsia="zh-CN"/>
              </w:rPr>
              <w:t>为磋商小组详细介绍供应商公司实际情况的</w:t>
            </w:r>
          </w:p>
          <w:p>
            <w:pPr>
              <w:autoSpaceDE w:val="0"/>
              <w:autoSpaceDN w:val="0"/>
              <w:adjustRightInd w:val="0"/>
              <w:jc w:val="left"/>
              <w:rPr>
                <w:rFonts w:hint="eastAsia"/>
                <w:b/>
                <w:bCs/>
                <w:lang w:val="zh-CN"/>
              </w:rPr>
            </w:pPr>
            <w:r>
              <w:rPr>
                <w:rFonts w:hint="eastAsia"/>
                <w:b/>
                <w:bCs/>
                <w:lang w:val="zh-CN" w:eastAsia="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26.4</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提交最后报价供应商的确定方式</w:t>
            </w:r>
          </w:p>
        </w:tc>
        <w:tc>
          <w:tcPr>
            <w:tcW w:w="6130" w:type="dxa"/>
            <w:vAlign w:val="center"/>
          </w:tcPr>
          <w:p>
            <w:pPr>
              <w:autoSpaceDE w:val="0"/>
              <w:autoSpaceDN w:val="0"/>
              <w:adjustRightInd w:val="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Cs w:val="21"/>
                <w:lang w:val="en-US" w:eastAsia="zh-CN"/>
              </w:rPr>
              <w:t>在指定地点以</w:t>
            </w:r>
            <w:r>
              <w:rPr>
                <w:rFonts w:hint="eastAsia" w:asciiTheme="minorEastAsia" w:hAnsiTheme="minorEastAsia" w:eastAsiaTheme="minorEastAsia" w:cstheme="minorEastAsia"/>
                <w:snapToGrid w:val="0"/>
                <w:kern w:val="0"/>
                <w:szCs w:val="21"/>
                <w:lang w:val="zh-CN"/>
              </w:rPr>
              <w:t>密封</w:t>
            </w:r>
            <w:r>
              <w:rPr>
                <w:rFonts w:hint="eastAsia" w:asciiTheme="minorEastAsia" w:hAnsiTheme="minorEastAsia" w:eastAsiaTheme="minorEastAsia" w:cstheme="minorEastAsia"/>
                <w:snapToGrid w:val="0"/>
                <w:kern w:val="0"/>
                <w:szCs w:val="21"/>
                <w:lang w:val="en-US" w:eastAsia="zh-CN"/>
              </w:rPr>
              <w:t>等形式</w:t>
            </w:r>
            <w:r>
              <w:rPr>
                <w:rFonts w:hint="eastAsia" w:asciiTheme="minorEastAsia" w:hAnsiTheme="minorEastAsia" w:eastAsiaTheme="minorEastAsia" w:cstheme="minorEastAsia"/>
                <w:snapToGrid w:val="0"/>
                <w:kern w:val="0"/>
                <w:szCs w:val="21"/>
                <w:lang w:val="zh-CN"/>
              </w:rPr>
              <w:t>递交</w:t>
            </w:r>
            <w:r>
              <w:rPr>
                <w:rFonts w:hint="eastAsia" w:asciiTheme="minorEastAsia" w:hAnsiTheme="minorEastAsia" w:eastAsiaTheme="minorEastAsia" w:cstheme="minorEastAsia"/>
                <w:snapToGrid w:val="0"/>
                <w:kern w:val="0"/>
                <w:szCs w:val="21"/>
                <w:lang w:val="en-US" w:eastAsia="zh-CN"/>
              </w:rPr>
              <w:t>给采购代理机构指定现场工作人员或</w:t>
            </w:r>
            <w:r>
              <w:rPr>
                <w:rFonts w:hint="eastAsia" w:asciiTheme="minorEastAsia" w:hAnsiTheme="minorEastAsia" w:eastAsiaTheme="minorEastAsia" w:cstheme="minorEastAsia"/>
                <w:snapToGrid w:val="0"/>
                <w:kern w:val="0"/>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27.3</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推荐成交候选</w:t>
            </w:r>
            <w:r>
              <w:rPr>
                <w:rFonts w:hint="eastAsia" w:asciiTheme="minorEastAsia" w:hAnsiTheme="minorEastAsia" w:eastAsiaTheme="minorEastAsia" w:cstheme="minorEastAsia"/>
                <w:snapToGrid w:val="0"/>
                <w:kern w:val="0"/>
                <w:szCs w:val="21"/>
                <w:lang w:val="en-US" w:eastAsia="zh-CN"/>
              </w:rPr>
              <w:t>供应商</w:t>
            </w:r>
            <w:r>
              <w:rPr>
                <w:rFonts w:hint="eastAsia" w:asciiTheme="minorEastAsia" w:hAnsiTheme="minorEastAsia" w:eastAsiaTheme="minorEastAsia" w:cstheme="minorEastAsia"/>
                <w:snapToGrid w:val="0"/>
                <w:kern w:val="0"/>
                <w:szCs w:val="21"/>
                <w:lang w:val="zh-CN"/>
              </w:rPr>
              <w:t>数量</w:t>
            </w:r>
          </w:p>
        </w:tc>
        <w:tc>
          <w:tcPr>
            <w:tcW w:w="6130" w:type="dxa"/>
            <w:vAlign w:val="center"/>
          </w:tcPr>
          <w:p>
            <w:pPr>
              <w:autoSpaceDE w:val="0"/>
              <w:autoSpaceDN w:val="0"/>
              <w:adjustRightInd w:val="0"/>
              <w:jc w:val="left"/>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本项目推荐</w:t>
            </w:r>
            <w:r>
              <w:rPr>
                <w:rFonts w:hint="eastAsia" w:asciiTheme="minorEastAsia" w:hAnsiTheme="minorEastAsia" w:eastAsiaTheme="minorEastAsia" w:cstheme="minorEastAsia"/>
                <w:bCs/>
                <w:kern w:val="44"/>
                <w:szCs w:val="21"/>
                <w:u w:val="single"/>
                <w:lang w:val="en-US" w:eastAsia="zh-CN"/>
              </w:rPr>
              <w:t>3</w:t>
            </w:r>
            <w:r>
              <w:rPr>
                <w:rFonts w:hint="eastAsia" w:asciiTheme="minorEastAsia" w:hAnsiTheme="minorEastAsia" w:eastAsiaTheme="minorEastAsia" w:cstheme="minorEastAsia"/>
                <w:bCs/>
                <w:kern w:val="44"/>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28.5</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成交通知书的领</w:t>
            </w:r>
            <w:r>
              <w:rPr>
                <w:rFonts w:hint="eastAsia" w:asciiTheme="minorEastAsia" w:hAnsiTheme="minorEastAsia" w:eastAsiaTheme="minorEastAsia" w:cstheme="minorEastAsia"/>
                <w:snapToGrid w:val="0"/>
                <w:kern w:val="0"/>
                <w:szCs w:val="21"/>
                <w:lang w:val="en-US" w:eastAsia="zh-CN"/>
              </w:rPr>
              <w:t>时</w:t>
            </w:r>
            <w:r>
              <w:rPr>
                <w:rFonts w:hint="eastAsia" w:asciiTheme="minorEastAsia" w:hAnsiTheme="minorEastAsia" w:eastAsiaTheme="minorEastAsia" w:cstheme="minorEastAsia"/>
                <w:snapToGrid w:val="0"/>
                <w:kern w:val="0"/>
                <w:szCs w:val="21"/>
                <w:lang w:val="zh-CN"/>
              </w:rPr>
              <w:t>间</w:t>
            </w:r>
          </w:p>
        </w:tc>
        <w:tc>
          <w:tcPr>
            <w:tcW w:w="6130" w:type="dxa"/>
            <w:vAlign w:val="center"/>
          </w:tcPr>
          <w:p>
            <w:pPr>
              <w:autoSpaceDE w:val="0"/>
              <w:autoSpaceDN w:val="0"/>
              <w:adjustRightInd w:val="0"/>
              <w:jc w:val="left"/>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成交通知书与成交结果公告同时发出，成交供应商在成交结果公告</w:t>
            </w:r>
          </w:p>
          <w:p>
            <w:pPr>
              <w:autoSpaceDE w:val="0"/>
              <w:autoSpaceDN w:val="0"/>
              <w:adjustRightInd w:val="0"/>
              <w:jc w:val="left"/>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发布以后即可</w:t>
            </w:r>
            <w:r>
              <w:rPr>
                <w:rFonts w:hint="eastAsia" w:asciiTheme="minorEastAsia" w:hAnsiTheme="minorEastAsia" w:eastAsiaTheme="minorEastAsia" w:cstheme="minorEastAsia"/>
                <w:bCs/>
                <w:kern w:val="44"/>
                <w:szCs w:val="21"/>
                <w:lang w:val="en-US" w:eastAsia="zh-CN"/>
              </w:rPr>
              <w:t>联系采购代理机构</w:t>
            </w:r>
            <w:r>
              <w:rPr>
                <w:rFonts w:hint="eastAsia" w:asciiTheme="minorEastAsia" w:hAnsiTheme="minorEastAsia" w:eastAsiaTheme="minorEastAsia" w:cstheme="minorEastAsia"/>
                <w:bCs/>
                <w:kern w:val="44"/>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ind w:right="21" w:rightChars="10"/>
              <w:jc w:val="center"/>
              <w:rPr>
                <w:rFonts w:hint="eastAsia"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报价方式</w:t>
            </w:r>
          </w:p>
        </w:tc>
        <w:tc>
          <w:tcPr>
            <w:tcW w:w="6130" w:type="dxa"/>
            <w:vAlign w:val="center"/>
          </w:tcPr>
          <w:p>
            <w:pPr>
              <w:autoSpaceDE w:val="0"/>
              <w:autoSpaceDN w:val="0"/>
              <w:adjustRightInd w:val="0"/>
              <w:snapToGrid w:val="0"/>
              <w:spacing w:before="31" w:beforeLines="10" w:after="31" w:afterLines="10"/>
              <w:ind w:right="21" w:rightChars="10"/>
              <w:jc w:val="left"/>
              <w:rPr>
                <w:rFonts w:hint="eastAsia"/>
                <w:color w:val="auto"/>
                <w:lang w:val="zh-CN"/>
              </w:rPr>
            </w:pPr>
            <w:r>
              <w:rPr>
                <w:rFonts w:hint="eastAsia"/>
                <w:color w:val="auto"/>
                <w:lang w:val="zh-CN"/>
              </w:rPr>
              <w:t>本项目竞标报价为“交钥匙”价。竞标报价应包括完成该项目的货物</w:t>
            </w:r>
            <w:r>
              <w:rPr>
                <w:rFonts w:hint="eastAsia"/>
                <w:color w:val="auto"/>
                <w:lang w:val="en-US" w:eastAsia="zh-CN"/>
              </w:rPr>
              <w:t>本身</w:t>
            </w:r>
            <w:r>
              <w:rPr>
                <w:rFonts w:hint="eastAsia"/>
                <w:color w:val="auto"/>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ind w:right="21" w:rightChars="10"/>
              <w:jc w:val="left"/>
              <w:rPr>
                <w:rFonts w:hint="eastAsia"/>
                <w:color w:val="auto"/>
                <w:lang w:val="zh-CN"/>
              </w:rPr>
            </w:pPr>
            <w:r>
              <w:rPr>
                <w:rFonts w:hint="eastAsia"/>
                <w:color w:val="auto"/>
                <w:lang w:val="zh-CN"/>
              </w:rPr>
              <w:t>各供应商按此要求进行报价，同时在合同实施过程中还将发生的其它费用</w:t>
            </w:r>
            <w:r>
              <w:rPr>
                <w:rFonts w:hint="eastAsia"/>
                <w:color w:val="auto"/>
                <w:lang w:val="en-US" w:eastAsia="zh-CN"/>
              </w:rPr>
              <w:t>也</w:t>
            </w:r>
            <w:r>
              <w:rPr>
                <w:rFonts w:hint="eastAsia"/>
                <w:color w:val="auto"/>
                <w:lang w:val="zh-CN"/>
              </w:rPr>
              <w:t>应包含在总价中，对在合同实施过程中可能发生的其它费用（如：增加耗材、材料涨价、人工、运输成本增加等因素），</w:t>
            </w:r>
            <w:r>
              <w:rPr>
                <w:rFonts w:hint="eastAsia"/>
                <w:color w:val="auto"/>
                <w:lang w:val="en-US" w:eastAsia="zh-CN"/>
              </w:rPr>
              <w:t>采购人</w:t>
            </w:r>
            <w:r>
              <w:rPr>
                <w:rFonts w:hint="eastAsia"/>
                <w:color w:val="auto"/>
                <w:lang w:val="zh-CN"/>
              </w:rPr>
              <w:t>概不负责。</w:t>
            </w:r>
          </w:p>
          <w:p>
            <w:pPr>
              <w:autoSpaceDE w:val="0"/>
              <w:autoSpaceDN w:val="0"/>
              <w:adjustRightInd w:val="0"/>
              <w:snapToGrid w:val="0"/>
              <w:spacing w:before="31" w:beforeLines="10" w:after="31" w:afterLines="10"/>
              <w:ind w:right="21" w:rightChars="10"/>
              <w:jc w:val="left"/>
              <w:rPr>
                <w:rFonts w:hint="eastAsia"/>
                <w:color w:val="auto"/>
              </w:rPr>
            </w:pPr>
            <w:r>
              <w:rPr>
                <w:rFonts w:hint="eastAsia"/>
                <w:color w:val="auto"/>
                <w:lang w:val="zh-CN"/>
              </w:rPr>
              <w:t>对于</w:t>
            </w:r>
            <w:r>
              <w:rPr>
                <w:rFonts w:hint="eastAsia"/>
                <w:color w:val="auto"/>
                <w:lang w:val="en-US" w:eastAsia="zh-CN"/>
              </w:rPr>
              <w:t>磋商</w:t>
            </w:r>
            <w:r>
              <w:rPr>
                <w:rFonts w:hint="eastAsia"/>
                <w:color w:val="auto"/>
                <w:lang w:val="zh-CN"/>
              </w:rPr>
              <w:t>文件未列明，而</w:t>
            </w:r>
            <w:r>
              <w:rPr>
                <w:rFonts w:hint="eastAsia"/>
                <w:color w:val="auto"/>
                <w:lang w:val="en-US" w:eastAsia="zh-CN"/>
              </w:rPr>
              <w:t>磋商</w:t>
            </w:r>
            <w:r>
              <w:rPr>
                <w:rFonts w:hint="eastAsia"/>
                <w:color w:val="auto"/>
                <w:lang w:val="zh-CN"/>
              </w:rPr>
              <w:t>供应商认为</w:t>
            </w:r>
            <w:r>
              <w:rPr>
                <w:rFonts w:hint="eastAsia"/>
                <w:color w:val="auto"/>
                <w:lang w:val="en-US" w:eastAsia="zh-CN"/>
              </w:rPr>
              <w:t>必须</w:t>
            </w:r>
            <w:r>
              <w:rPr>
                <w:rFonts w:hint="eastAsia"/>
                <w:color w:val="auto"/>
                <w:lang w:val="zh-CN"/>
              </w:rPr>
              <w:t>的费用也需列入总报价。在合同实施时，采购人将不予支付</w:t>
            </w:r>
            <w:r>
              <w:rPr>
                <w:rFonts w:hint="eastAsia"/>
                <w:color w:val="auto"/>
                <w:lang w:val="en-US" w:eastAsia="zh-CN"/>
              </w:rPr>
              <w:t>成交</w:t>
            </w:r>
            <w:r>
              <w:rPr>
                <w:rFonts w:hint="eastAsia"/>
                <w:color w:val="auto"/>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核心产品</w:t>
            </w:r>
          </w:p>
        </w:tc>
        <w:tc>
          <w:tcPr>
            <w:tcW w:w="6130" w:type="dxa"/>
            <w:vAlign w:val="center"/>
          </w:tcPr>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本项目核心产品：</w:t>
            </w:r>
            <w:r>
              <w:rPr>
                <w:rFonts w:hint="eastAsia" w:asciiTheme="minorEastAsia" w:hAnsiTheme="minorEastAsia" w:eastAsiaTheme="minorEastAsia" w:cstheme="minorEastAsia"/>
                <w:color w:val="auto"/>
                <w:u w:val="single"/>
              </w:rPr>
              <w:t>/</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1.提供相同品牌产品且通过资格审查、符合性审查的不同供应商参</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加同一合同项下投标的，按一家供应商计算，评审后得分最高的同</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品牌供应商获得成交供应商推荐资格；评审得分相同的，采取随机</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抽取方式确定，其他同品牌供应商不作为中标候选人。</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2.若核心产品不止 1 个，各供应商所投任一核心产品的品牌相同，</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则按一家供应商计算。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w:t>
            </w:r>
          </w:p>
        </w:tc>
        <w:tc>
          <w:tcPr>
            <w:tcW w:w="2127" w:type="dxa"/>
            <w:vAlign w:val="center"/>
          </w:tcPr>
          <w:p>
            <w:pPr>
              <w:autoSpaceDE w:val="0"/>
              <w:autoSpaceDN w:val="0"/>
              <w:adjustRightInd w:val="0"/>
              <w:spacing w:before="31" w:beforeLines="10" w:after="31" w:afterLines="10"/>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ind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采购人不组织统一踏勘，</w:t>
            </w:r>
            <w:r>
              <w:rPr>
                <w:rFonts w:hint="eastAsia" w:asciiTheme="minorEastAsia" w:hAnsiTheme="minorEastAsia" w:eastAsiaTheme="minorEastAsia" w:cstheme="minorEastAsia"/>
                <w:color w:val="auto"/>
              </w:rPr>
              <w:t>请各供应商自行踏勘现场；</w:t>
            </w:r>
          </w:p>
          <w:p>
            <w:pPr>
              <w:autoSpaceDE w:val="0"/>
              <w:autoSpaceDN w:val="0"/>
              <w:adjustRightInd w:val="0"/>
              <w:snapToGrid w:val="0"/>
              <w:spacing w:before="31" w:beforeLines="10" w:after="31" w:afterLines="10"/>
              <w:ind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□组织，踏勘时间：                            </w:t>
            </w:r>
          </w:p>
          <w:p>
            <w:pPr>
              <w:autoSpaceDE w:val="0"/>
              <w:autoSpaceDN w:val="0"/>
              <w:adjustRightInd w:val="0"/>
              <w:snapToGrid w:val="0"/>
              <w:spacing w:before="31" w:beforeLines="10" w:after="31" w:afterLines="10"/>
              <w:ind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踏勘集中地点：</w:t>
            </w:r>
          </w:p>
          <w:p>
            <w:pPr>
              <w:autoSpaceDE w:val="0"/>
              <w:autoSpaceDN w:val="0"/>
              <w:adjustRightInd w:val="0"/>
              <w:snapToGrid w:val="0"/>
              <w:spacing w:before="31" w:beforeLines="10" w:after="31" w:afterLines="10"/>
              <w:ind w:right="21" w:rightChars="10" w:firstLine="840" w:firstLineChars="4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踏勘联系人：</w:t>
            </w:r>
            <w:r>
              <w:rPr>
                <w:rFonts w:hint="eastAsia" w:asciiTheme="minorEastAsia" w:hAnsiTheme="minorEastAsia" w:eastAsiaTheme="minorEastAsia" w:cstheme="minorEastAsia"/>
                <w:color w:val="auto"/>
              </w:rPr>
              <w:t xml:space="preserve">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注：1、</w:t>
            </w:r>
            <w:r>
              <w:rPr>
                <w:rFonts w:hint="eastAsia" w:asciiTheme="minorEastAsia" w:hAnsiTheme="minorEastAsia" w:eastAsiaTheme="minorEastAsia" w:cstheme="minorEastAsia"/>
                <w:color w:val="auto"/>
              </w:rPr>
              <w:t>供应商承担踏勘现场所发生的自身费用；</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供应商应承担踏勘现场的责任和风险。</w:t>
            </w:r>
          </w:p>
          <w:p>
            <w:pPr>
              <w:numPr>
                <w:ilvl w:val="0"/>
                <w:numId w:val="0"/>
              </w:numPr>
              <w:autoSpaceDE w:val="0"/>
              <w:autoSpaceDN w:val="0"/>
              <w:adjustRightInd w:val="0"/>
              <w:snapToGrid w:val="0"/>
              <w:spacing w:before="31" w:beforeLines="10" w:after="31" w:afterLines="10"/>
              <w:ind w:left="0" w:leftChars="0" w:right="21" w:rightChars="10" w:firstLine="0" w:firstLineChars="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采购人在踏勘现场中介绍的项目</w:t>
            </w:r>
            <w:r>
              <w:rPr>
                <w:rFonts w:hint="eastAsia" w:asciiTheme="minorEastAsia" w:hAnsiTheme="minorEastAsia" w:eastAsiaTheme="minorEastAsia" w:cstheme="minorEastAsia"/>
                <w:color w:val="auto"/>
                <w:lang w:val="en-US" w:eastAsia="zh-CN"/>
              </w:rPr>
              <w:t>背景及项目现场</w:t>
            </w:r>
            <w:r>
              <w:rPr>
                <w:rFonts w:hint="eastAsia" w:asciiTheme="minorEastAsia" w:hAnsiTheme="minorEastAsia" w:eastAsiaTheme="minorEastAsia" w:cstheme="minorEastAsia"/>
                <w:color w:val="auto"/>
              </w:rPr>
              <w:t xml:space="preserve">和相关的周边环境情况，供应商在编制响应文件时参考，采购人和采购代理机构不对供应商据此作出的判断和决策负责。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w:t>
            </w:r>
          </w:p>
        </w:tc>
        <w:tc>
          <w:tcPr>
            <w:tcW w:w="2127" w:type="dxa"/>
            <w:vAlign w:val="center"/>
          </w:tcPr>
          <w:p>
            <w:pPr>
              <w:autoSpaceDE w:val="0"/>
              <w:autoSpaceDN w:val="0"/>
              <w:adjustRightInd w:val="0"/>
              <w:spacing w:before="31" w:beforeLines="10" w:after="31" w:afterLines="10" w:line="36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olor w:val="auto"/>
                <w:szCs w:val="21"/>
                <w:lang w:val="zh-CN"/>
              </w:rPr>
              <w:t>付款方式</w:t>
            </w:r>
          </w:p>
        </w:tc>
        <w:tc>
          <w:tcPr>
            <w:tcW w:w="6130" w:type="dxa"/>
            <w:vAlign w:val="center"/>
          </w:tcPr>
          <w:p>
            <w:pPr>
              <w:autoSpaceDE w:val="0"/>
              <w:autoSpaceDN w:val="0"/>
              <w:adjustRightInd w:val="0"/>
              <w:snapToGrid w:val="0"/>
              <w:spacing w:before="31" w:beforeLines="10" w:after="31" w:afterLines="10" w:line="360" w:lineRule="auto"/>
              <w:ind w:right="21" w:rightChars="10"/>
              <w:jc w:val="left"/>
              <w:rPr>
                <w:rFonts w:hint="eastAsia" w:asciiTheme="minorEastAsia" w:hAnsiTheme="minorEastAsia" w:eastAsiaTheme="minorEastAsia" w:cstheme="minorEastAsia"/>
                <w:color w:val="auto"/>
                <w:lang w:val="en-US" w:eastAsia="zh-CN"/>
              </w:rPr>
            </w:pPr>
            <w:r>
              <w:rPr>
                <w:rFonts w:hint="eastAsia" w:ascii="宋体" w:hAnsi="宋体"/>
                <w:color w:val="auto"/>
                <w:szCs w:val="21"/>
                <w:lang w:val="zh-CN"/>
              </w:rPr>
              <w:t>经甲方验收合格并收到乙方发票后</w:t>
            </w:r>
            <w:r>
              <w:rPr>
                <w:rFonts w:ascii="宋体" w:hAnsi="宋体"/>
                <w:color w:val="auto"/>
                <w:szCs w:val="21"/>
                <w:lang w:val="zh-CN"/>
              </w:rPr>
              <w:t>10天内，甲方向乙方支付合同总金额的100%；履约保证金自动转为质保金，货物验收合格后安全运行一年（自验收合格之日起计算），如无质量及售后服务等其他违约事项，甲方向乙方无息退还质量保证金。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5</w:t>
            </w:r>
          </w:p>
        </w:tc>
        <w:tc>
          <w:tcPr>
            <w:tcW w:w="2127" w:type="dxa"/>
            <w:vAlign w:val="center"/>
          </w:tcPr>
          <w:p>
            <w:pPr>
              <w:autoSpaceDE w:val="0"/>
              <w:autoSpaceDN w:val="0"/>
              <w:adjustRightInd w:val="0"/>
              <w:spacing w:before="31" w:beforeLines="10" w:after="31" w:afterLines="10" w:line="36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olor w:val="auto"/>
                <w:szCs w:val="21"/>
                <w:lang w:val="zh-CN"/>
              </w:rPr>
              <w:t>履约保证金</w:t>
            </w:r>
          </w:p>
        </w:tc>
        <w:tc>
          <w:tcPr>
            <w:tcW w:w="6130" w:type="dxa"/>
            <w:vAlign w:val="center"/>
          </w:tcPr>
          <w:p>
            <w:pPr>
              <w:autoSpaceDE w:val="0"/>
              <w:autoSpaceDN w:val="0"/>
              <w:adjustRightInd w:val="0"/>
              <w:snapToGrid w:val="0"/>
              <w:spacing w:before="31" w:beforeLines="10" w:after="31" w:afterLines="10" w:line="360" w:lineRule="auto"/>
              <w:ind w:right="21" w:rightChars="10"/>
              <w:jc w:val="left"/>
              <w:rPr>
                <w:rFonts w:hint="eastAsia" w:asciiTheme="minorEastAsia" w:hAnsiTheme="minorEastAsia" w:eastAsiaTheme="minorEastAsia" w:cstheme="minorEastAsia"/>
                <w:color w:val="auto"/>
                <w:lang w:val="en-US" w:eastAsia="zh-CN"/>
              </w:rPr>
            </w:pPr>
            <w:r>
              <w:rPr>
                <w:rFonts w:hint="eastAsia" w:ascii="宋体" w:hAnsi="宋体"/>
                <w:color w:val="auto"/>
                <w:szCs w:val="21"/>
                <w:lang w:val="zh-CN"/>
              </w:rPr>
              <w:t>合同总金额的</w:t>
            </w:r>
            <w:r>
              <w:rPr>
                <w:rFonts w:ascii="宋体" w:hAnsi="宋体"/>
                <w:color w:val="auto"/>
                <w:szCs w:val="21"/>
                <w:lang w:val="zh-CN"/>
              </w:rPr>
              <w:t>5%；签订合同前5个工作日递交，以支票、汇票、本票等非现金形式提交。</w:t>
            </w:r>
          </w:p>
        </w:tc>
      </w:tr>
    </w:tbl>
    <w:p>
      <w:pPr>
        <w:spacing w:line="360" w:lineRule="auto"/>
        <w:outlineLvl w:val="1"/>
        <w:rPr>
          <w:rFonts w:hint="eastAsia" w:asciiTheme="minorEastAsia" w:hAnsiTheme="minorEastAsia" w:eastAsiaTheme="minorEastAsia" w:cstheme="minorEastAsia"/>
          <w:b/>
          <w:szCs w:val="21"/>
        </w:rPr>
      </w:pPr>
      <w:bookmarkStart w:id="40" w:name="_Toc4374"/>
      <w:r>
        <w:rPr>
          <w:rFonts w:hint="eastAsia" w:asciiTheme="minorEastAsia" w:hAnsiTheme="minorEastAsia" w:eastAsiaTheme="minorEastAsia" w:cstheme="minorEastAsia"/>
          <w:b/>
          <w:szCs w:val="21"/>
        </w:rPr>
        <w:t>供应商须知</w:t>
      </w:r>
      <w:bookmarkEnd w:id="40"/>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1" w:name="_Toc4795"/>
      <w:r>
        <w:rPr>
          <w:rFonts w:hint="eastAsia" w:asciiTheme="minorEastAsia" w:hAnsiTheme="minorEastAsia" w:eastAsiaTheme="minorEastAsia" w:cstheme="minorEastAsia"/>
          <w:b/>
          <w:szCs w:val="21"/>
        </w:rPr>
        <w:t>总则</w:t>
      </w:r>
      <w:bookmarkEnd w:id="41"/>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2" w:name="_Toc13216"/>
      <w:bookmarkStart w:id="43" w:name="_Toc27243"/>
      <w:r>
        <w:rPr>
          <w:rFonts w:hint="eastAsia" w:asciiTheme="minorEastAsia" w:hAnsiTheme="minorEastAsia" w:eastAsiaTheme="minorEastAsia" w:cstheme="minorEastAsia"/>
          <w:b/>
          <w:szCs w:val="21"/>
        </w:rPr>
        <w:t>适用法律及范围</w:t>
      </w:r>
      <w:bookmarkEnd w:id="42"/>
      <w:bookmarkEnd w:id="43"/>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4" w:name="_Toc20138"/>
      <w:bookmarkStart w:id="45" w:name="_Toc30547"/>
      <w:r>
        <w:rPr>
          <w:rFonts w:hint="eastAsia" w:asciiTheme="minorEastAsia" w:hAnsiTheme="minorEastAsia" w:eastAsiaTheme="minorEastAsia" w:cstheme="minorEastAsia"/>
          <w:b/>
          <w:szCs w:val="21"/>
        </w:rPr>
        <w:t>定义</w:t>
      </w:r>
      <w:bookmarkEnd w:id="44"/>
      <w:bookmarkEnd w:id="45"/>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6" w:name="_Toc30413"/>
      <w:bookmarkStart w:id="47" w:name="_Toc30503"/>
      <w:r>
        <w:rPr>
          <w:rFonts w:hint="eastAsia" w:asciiTheme="minorEastAsia" w:hAnsiTheme="minorEastAsia" w:eastAsiaTheme="minorEastAsia" w:cstheme="minorEastAsia"/>
          <w:b/>
          <w:snapToGrid w:val="0"/>
          <w:kern w:val="0"/>
          <w:szCs w:val="21"/>
          <w:lang w:val="zh-CN"/>
        </w:rPr>
        <w:t>工程、货物及服务</w:t>
      </w:r>
      <w:bookmarkEnd w:id="46"/>
      <w:bookmarkEnd w:id="47"/>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8" w:name="_Toc9974"/>
      <w:bookmarkStart w:id="49" w:name="_Toc31566"/>
      <w:r>
        <w:rPr>
          <w:rFonts w:hint="eastAsia" w:asciiTheme="minorEastAsia" w:hAnsiTheme="minorEastAsia" w:eastAsiaTheme="minorEastAsia" w:cstheme="minorEastAsia"/>
          <w:b/>
          <w:szCs w:val="21"/>
        </w:rPr>
        <w:t>费用</w:t>
      </w:r>
      <w:bookmarkEnd w:id="48"/>
      <w:bookmarkEnd w:id="49"/>
      <w:r>
        <w:rPr>
          <w:rFonts w:hint="eastAsia" w:asciiTheme="minorEastAsia" w:hAnsiTheme="minorEastAsia" w:eastAsiaTheme="minorEastAsia" w:cstheme="minorEastAsia"/>
          <w:b/>
          <w:szCs w:val="21"/>
        </w:rPr>
        <w:t xml:space="preserve">  </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合计收费=324000.000元</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0" w:name="_Toc31999"/>
      <w:r>
        <w:rPr>
          <w:rFonts w:hint="eastAsia" w:asciiTheme="minorEastAsia" w:hAnsiTheme="minorEastAsia" w:eastAsiaTheme="minorEastAsia" w:cstheme="minorEastAsia"/>
          <w:b/>
          <w:szCs w:val="21"/>
        </w:rPr>
        <w:t>竞争性磋商采购文件</w:t>
      </w:r>
      <w:bookmarkEnd w:id="50"/>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51" w:name="_Toc4547"/>
      <w:bookmarkStart w:id="52" w:name="_Toc30845"/>
      <w:r>
        <w:rPr>
          <w:rFonts w:hint="eastAsia" w:asciiTheme="minorEastAsia" w:hAnsiTheme="minorEastAsia" w:eastAsiaTheme="minorEastAsia" w:cstheme="minorEastAsia"/>
          <w:b/>
          <w:szCs w:val="21"/>
        </w:rPr>
        <w:t>竞争性磋商采购文件的构成</w:t>
      </w:r>
      <w:bookmarkEnd w:id="51"/>
      <w:bookmarkEnd w:id="52"/>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磋商公告（代磋商邀请函）</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14791"/>
      <w:bookmarkStart w:id="54" w:name="_Toc29700"/>
      <w:r>
        <w:rPr>
          <w:rFonts w:hint="eastAsia" w:asciiTheme="minorEastAsia" w:hAnsiTheme="minorEastAsia" w:eastAsiaTheme="minorEastAsia" w:cstheme="minorEastAsia"/>
          <w:b/>
          <w:snapToGrid w:val="0"/>
          <w:kern w:val="0"/>
          <w:szCs w:val="21"/>
          <w:lang w:val="zh-CN"/>
        </w:rPr>
        <w:t>竞争性磋商采购文件的澄清</w:t>
      </w:r>
      <w:bookmarkEnd w:id="53"/>
      <w:bookmarkEnd w:id="54"/>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31761"/>
      <w:bookmarkStart w:id="56" w:name="_Toc31307"/>
      <w:r>
        <w:rPr>
          <w:rFonts w:hint="eastAsia" w:asciiTheme="minorEastAsia" w:hAnsiTheme="minorEastAsia" w:eastAsiaTheme="minorEastAsia" w:cstheme="minorEastAsia"/>
          <w:b/>
          <w:snapToGrid w:val="0"/>
          <w:kern w:val="0"/>
          <w:szCs w:val="21"/>
          <w:lang w:val="zh-CN"/>
        </w:rPr>
        <w:t>竞争性磋商采购文件的修改</w:t>
      </w:r>
      <w:bookmarkEnd w:id="55"/>
      <w:bookmarkEnd w:id="56"/>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7"/>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7" w:name="_Toc3204"/>
      <w:r>
        <w:rPr>
          <w:rFonts w:hint="eastAsia" w:asciiTheme="minorEastAsia" w:hAnsiTheme="minorEastAsia" w:eastAsiaTheme="minorEastAsia" w:cstheme="minorEastAsia"/>
          <w:b/>
          <w:szCs w:val="21"/>
        </w:rPr>
        <w:t>竞争性磋商响应文件</w:t>
      </w:r>
      <w:bookmarkEnd w:id="57"/>
    </w:p>
    <w:p>
      <w:pPr>
        <w:numPr>
          <w:ilvl w:val="0"/>
          <w:numId w:val="10"/>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58" w:name="_Toc30987"/>
      <w:bookmarkStart w:id="59" w:name="_Toc30649"/>
      <w:r>
        <w:rPr>
          <w:rFonts w:hint="eastAsia" w:asciiTheme="minorEastAsia" w:hAnsiTheme="minorEastAsia" w:eastAsiaTheme="minorEastAsia" w:cstheme="minorEastAsia"/>
          <w:b/>
          <w:snapToGrid w:val="0"/>
          <w:kern w:val="0"/>
          <w:szCs w:val="21"/>
          <w:lang w:val="zh-CN"/>
        </w:rPr>
        <w:t>语言和计量单位</w:t>
      </w:r>
      <w:bookmarkEnd w:id="58"/>
      <w:bookmarkEnd w:id="59"/>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0" w:name="_Toc14572"/>
      <w:bookmarkStart w:id="61" w:name="_Toc32272"/>
      <w:r>
        <w:rPr>
          <w:rFonts w:hint="eastAsia" w:asciiTheme="minorEastAsia" w:hAnsiTheme="minorEastAsia" w:eastAsiaTheme="minorEastAsia" w:cstheme="minorEastAsia"/>
          <w:b/>
          <w:snapToGrid w:val="0"/>
          <w:kern w:val="0"/>
          <w:szCs w:val="21"/>
          <w:lang w:val="zh-CN"/>
        </w:rPr>
        <w:t>竞争性磋商响应文件的构成</w:t>
      </w:r>
      <w:bookmarkEnd w:id="60"/>
      <w:bookmarkEnd w:id="61"/>
    </w:p>
    <w:p>
      <w:pPr>
        <w:numPr>
          <w:ilvl w:val="1"/>
          <w:numId w:val="19"/>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2" w:name="_Toc29580"/>
      <w:bookmarkStart w:id="63" w:name="_Toc25217"/>
      <w:r>
        <w:rPr>
          <w:rFonts w:hint="eastAsia" w:asciiTheme="minorEastAsia" w:hAnsiTheme="minorEastAsia" w:eastAsiaTheme="minorEastAsia" w:cstheme="minorEastAsia"/>
          <w:b/>
          <w:snapToGrid w:val="0"/>
          <w:kern w:val="0"/>
          <w:szCs w:val="21"/>
          <w:lang w:val="zh-CN"/>
        </w:rPr>
        <w:t>竞争性磋商响应文件的编制</w:t>
      </w:r>
      <w:bookmarkEnd w:id="62"/>
      <w:bookmarkEnd w:id="63"/>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24544"/>
      <w:bookmarkStart w:id="65" w:name="_Toc29934"/>
      <w:r>
        <w:rPr>
          <w:rFonts w:hint="eastAsia" w:asciiTheme="minorEastAsia" w:hAnsiTheme="minorEastAsia" w:eastAsiaTheme="minorEastAsia" w:cstheme="minorEastAsia"/>
          <w:b/>
          <w:snapToGrid w:val="0"/>
          <w:kern w:val="0"/>
          <w:szCs w:val="21"/>
          <w:lang w:val="zh-CN"/>
        </w:rPr>
        <w:t>磋商报价</w:t>
      </w:r>
      <w:bookmarkEnd w:id="64"/>
      <w:bookmarkEnd w:id="65"/>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6176"/>
      <w:bookmarkStart w:id="67" w:name="_Toc6453"/>
      <w:r>
        <w:rPr>
          <w:rFonts w:hint="eastAsia" w:asciiTheme="minorEastAsia" w:hAnsiTheme="minorEastAsia" w:eastAsiaTheme="minorEastAsia" w:cstheme="minorEastAsia"/>
          <w:b/>
          <w:snapToGrid w:val="0"/>
          <w:kern w:val="0"/>
          <w:szCs w:val="21"/>
          <w:lang w:val="zh-CN"/>
        </w:rPr>
        <w:t>备选方案</w:t>
      </w:r>
      <w:bookmarkEnd w:id="66"/>
      <w:bookmarkEnd w:id="67"/>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3324"/>
      <w:bookmarkStart w:id="69" w:name="_Toc16011"/>
      <w:r>
        <w:rPr>
          <w:rFonts w:hint="eastAsia" w:asciiTheme="minorEastAsia" w:hAnsiTheme="minorEastAsia" w:eastAsiaTheme="minorEastAsia" w:cstheme="minorEastAsia"/>
          <w:b/>
          <w:snapToGrid w:val="0"/>
          <w:kern w:val="0"/>
          <w:szCs w:val="21"/>
          <w:lang w:val="zh-CN"/>
        </w:rPr>
        <w:t>联合体</w:t>
      </w:r>
      <w:bookmarkEnd w:id="68"/>
      <w:bookmarkEnd w:id="69"/>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2434"/>
      <w:bookmarkStart w:id="71" w:name="_Toc13751"/>
      <w:r>
        <w:rPr>
          <w:rFonts w:hint="eastAsia" w:asciiTheme="minorEastAsia" w:hAnsiTheme="minorEastAsia" w:eastAsiaTheme="minorEastAsia" w:cstheme="minorEastAsia"/>
          <w:b/>
          <w:snapToGrid w:val="0"/>
          <w:kern w:val="0"/>
          <w:szCs w:val="21"/>
          <w:lang w:val="zh-CN"/>
        </w:rPr>
        <w:t>供应商资格证明文件</w:t>
      </w:r>
      <w:bookmarkEnd w:id="70"/>
      <w:bookmarkEnd w:id="71"/>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5"/>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4"/>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9935"/>
      <w:bookmarkStart w:id="73" w:name="_Toc411"/>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72"/>
      <w:bookmarkEnd w:id="73"/>
    </w:p>
    <w:p>
      <w:pPr>
        <w:numPr>
          <w:ilvl w:val="1"/>
          <w:numId w:val="26"/>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27068"/>
      <w:bookmarkStart w:id="75" w:name="_Toc5348"/>
      <w:r>
        <w:rPr>
          <w:rFonts w:hint="eastAsia" w:asciiTheme="minorEastAsia" w:hAnsiTheme="minorEastAsia" w:eastAsiaTheme="minorEastAsia" w:cstheme="minorEastAsia"/>
          <w:b/>
          <w:snapToGrid w:val="0"/>
          <w:color w:val="auto"/>
          <w:kern w:val="0"/>
          <w:szCs w:val="21"/>
          <w:lang w:val="zh-CN"/>
        </w:rPr>
        <w:t>磋商保证金</w:t>
      </w:r>
      <w:bookmarkEnd w:id="74"/>
      <w:bookmarkEnd w:id="75"/>
    </w:p>
    <w:p>
      <w:pPr>
        <w:numPr>
          <w:ilvl w:val="1"/>
          <w:numId w:val="27"/>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6" w:name="_Toc5668"/>
      <w:bookmarkStart w:id="77" w:name="_Toc5276"/>
      <w:r>
        <w:rPr>
          <w:rFonts w:hint="eastAsia" w:asciiTheme="minorEastAsia" w:hAnsiTheme="minorEastAsia" w:eastAsiaTheme="minorEastAsia" w:cstheme="minorEastAsia"/>
          <w:b/>
          <w:snapToGrid w:val="0"/>
          <w:kern w:val="0"/>
          <w:szCs w:val="21"/>
          <w:lang w:val="zh-CN"/>
        </w:rPr>
        <w:t>磋商有效期</w:t>
      </w:r>
      <w:bookmarkEnd w:id="76"/>
      <w:bookmarkEnd w:id="77"/>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8" w:name="_Toc8272"/>
      <w:bookmarkStart w:id="79" w:name="_Toc19824"/>
      <w:r>
        <w:rPr>
          <w:rFonts w:hint="eastAsia" w:asciiTheme="minorEastAsia" w:hAnsiTheme="minorEastAsia" w:eastAsiaTheme="minorEastAsia" w:cstheme="minorEastAsia"/>
          <w:b/>
          <w:snapToGrid w:val="0"/>
          <w:kern w:val="0"/>
          <w:szCs w:val="21"/>
          <w:lang w:val="zh-CN"/>
        </w:rPr>
        <w:t>竞争性磋商响应文件的装订、签署和数量</w:t>
      </w:r>
      <w:bookmarkEnd w:id="78"/>
      <w:bookmarkEnd w:id="79"/>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0" w:name="_Toc3313"/>
      <w:r>
        <w:rPr>
          <w:rFonts w:hint="eastAsia" w:asciiTheme="minorEastAsia" w:hAnsiTheme="minorEastAsia" w:eastAsiaTheme="minorEastAsia" w:cstheme="minorEastAsia"/>
          <w:b/>
          <w:szCs w:val="21"/>
        </w:rPr>
        <w:t>竞争性磋商响应文件的递交</w:t>
      </w:r>
      <w:bookmarkEnd w:id="80"/>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1" w:name="_Toc27305"/>
      <w:bookmarkStart w:id="82" w:name="_Toc6823"/>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81"/>
      <w:bookmarkEnd w:id="82"/>
    </w:p>
    <w:p>
      <w:pPr>
        <w:numPr>
          <w:ilvl w:val="1"/>
          <w:numId w:val="3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3" w:name="_Toc11848"/>
      <w:bookmarkStart w:id="84"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83"/>
      <w:bookmarkEnd w:id="84"/>
    </w:p>
    <w:p>
      <w:pPr>
        <w:shd w:val="clear"/>
        <w:autoSpaceDE w:val="0"/>
        <w:autoSpaceDN w:val="0"/>
        <w:adjustRightInd w:val="0"/>
        <w:spacing w:line="360" w:lineRule="auto"/>
        <w:jc w:val="left"/>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5" w:name="_Toc31376"/>
      <w:bookmarkStart w:id="86" w:name="_Toc6348"/>
      <w:r>
        <w:rPr>
          <w:rFonts w:hint="eastAsia" w:asciiTheme="minorEastAsia" w:hAnsiTheme="minorEastAsia" w:eastAsiaTheme="minorEastAsia" w:cstheme="minorEastAsia"/>
          <w:b/>
          <w:snapToGrid w:val="0"/>
          <w:kern w:val="0"/>
          <w:szCs w:val="21"/>
          <w:lang w:val="zh-CN"/>
        </w:rPr>
        <w:t>迟交的竞争性磋商响应文件</w:t>
      </w:r>
      <w:bookmarkEnd w:id="85"/>
      <w:bookmarkEnd w:id="86"/>
    </w:p>
    <w:p>
      <w:pPr>
        <w:numPr>
          <w:ilvl w:val="1"/>
          <w:numId w:val="32"/>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7" w:name="_Toc5628"/>
      <w:bookmarkStart w:id="88"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87"/>
      <w:bookmarkEnd w:id="88"/>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9" w:name="_Toc8549"/>
      <w:r>
        <w:rPr>
          <w:rFonts w:hint="eastAsia" w:asciiTheme="minorEastAsia" w:hAnsiTheme="minorEastAsia" w:eastAsiaTheme="minorEastAsia" w:cstheme="minorEastAsia"/>
          <w:b/>
          <w:szCs w:val="21"/>
        </w:rPr>
        <w:t>磋商程序及步骤</w:t>
      </w:r>
      <w:bookmarkEnd w:id="8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0" w:name="_Toc22624"/>
      <w:bookmarkStart w:id="91" w:name="_Toc2731"/>
      <w:r>
        <w:rPr>
          <w:rFonts w:hint="eastAsia" w:asciiTheme="minorEastAsia" w:hAnsiTheme="minorEastAsia" w:eastAsiaTheme="minorEastAsia" w:cstheme="minorEastAsia"/>
          <w:b/>
        </w:rPr>
        <w:t>竞争性磋商小组</w:t>
      </w:r>
      <w:bookmarkEnd w:id="90"/>
      <w:bookmarkEnd w:id="91"/>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2" w:name="_Toc21483"/>
      <w:bookmarkStart w:id="93" w:name="_Toc12040"/>
      <w:r>
        <w:rPr>
          <w:rFonts w:hint="eastAsia" w:asciiTheme="minorEastAsia" w:hAnsiTheme="minorEastAsia" w:eastAsiaTheme="minorEastAsia" w:cstheme="minorEastAsia"/>
          <w:b/>
        </w:rPr>
        <w:t>磋商代表</w:t>
      </w:r>
      <w:bookmarkEnd w:id="92"/>
      <w:bookmarkEnd w:id="93"/>
    </w:p>
    <w:p>
      <w:pPr>
        <w:tabs>
          <w:tab w:val="left" w:pos="864"/>
          <w:tab w:val="left" w:pos="1080"/>
        </w:tabs>
        <w:spacing w:line="360" w:lineRule="auto"/>
        <w:rPr>
          <w:rFonts w:hint="eastAsia" w:asciiTheme="minorEastAsia" w:hAnsiTheme="minorEastAsia" w:eastAsiaTheme="minorEastAsia" w:cstheme="minorEastAsia"/>
          <w:szCs w:val="21"/>
          <w:lang w:val="en-US" w:eastAsia="zh-CN"/>
        </w:rPr>
      </w:pPr>
      <w:bookmarkStart w:id="94" w:name="_Toc9967"/>
      <w:bookmarkStart w:id="95"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94"/>
      <w:bookmarkEnd w:id="95"/>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6" w:name="_Toc22872"/>
      <w:r>
        <w:rPr>
          <w:rFonts w:hint="eastAsia" w:asciiTheme="minorEastAsia" w:hAnsiTheme="minorEastAsia" w:eastAsiaTheme="minorEastAsia" w:cstheme="minorEastAsia"/>
          <w:b/>
        </w:rPr>
        <w:t>资格审查和符合性审查</w:t>
      </w:r>
      <w:bookmarkEnd w:id="96"/>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7" w:name="_Toc11358"/>
      <w:r>
        <w:rPr>
          <w:rFonts w:hint="eastAsia" w:asciiTheme="minorEastAsia" w:hAnsiTheme="minorEastAsia" w:eastAsiaTheme="minorEastAsia" w:cstheme="minorEastAsia"/>
          <w:b/>
        </w:rPr>
        <w:t>磋商</w:t>
      </w:r>
      <w:bookmarkEnd w:id="97"/>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8" w:name="_Toc13528"/>
      <w:r>
        <w:rPr>
          <w:rFonts w:hint="eastAsia" w:asciiTheme="minorEastAsia" w:hAnsiTheme="minorEastAsia" w:eastAsiaTheme="minorEastAsia" w:cstheme="minorEastAsia"/>
          <w:b/>
          <w:lang w:val="zh-CN"/>
        </w:rPr>
        <w:t>保密</w:t>
      </w:r>
      <w:bookmarkEnd w:id="98"/>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4"/>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99" w:name="_Toc28795"/>
      <w:r>
        <w:rPr>
          <w:rFonts w:hint="eastAsia" w:asciiTheme="minorEastAsia" w:hAnsiTheme="minorEastAsia" w:eastAsiaTheme="minorEastAsia" w:cstheme="minorEastAsia"/>
          <w:b/>
          <w:szCs w:val="21"/>
        </w:rPr>
        <w:t>成交与签订合同</w:t>
      </w:r>
      <w:bookmarkEnd w:id="9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0" w:name="_Toc29010"/>
      <w:r>
        <w:rPr>
          <w:rFonts w:hint="eastAsia" w:asciiTheme="minorEastAsia" w:hAnsiTheme="minorEastAsia" w:eastAsiaTheme="minorEastAsia" w:cstheme="minorEastAsia"/>
          <w:b/>
          <w:lang w:val="zh-CN"/>
        </w:rPr>
        <w:t>合同授予标准</w:t>
      </w:r>
      <w:bookmarkEnd w:id="100"/>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1" w:name="_Toc31420"/>
      <w:r>
        <w:rPr>
          <w:rFonts w:hint="eastAsia" w:asciiTheme="minorEastAsia" w:hAnsiTheme="minorEastAsia" w:eastAsiaTheme="minorEastAsia" w:cstheme="minorEastAsia"/>
          <w:b/>
          <w:lang w:val="zh-CN"/>
        </w:rPr>
        <w:t>签订合同</w:t>
      </w:r>
      <w:bookmarkEnd w:id="101"/>
    </w:p>
    <w:p>
      <w:pPr>
        <w:tabs>
          <w:tab w:val="left" w:pos="426"/>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1309"/>
      <w:bookmarkStart w:id="103" w:name="_Toc4883"/>
      <w:bookmarkStart w:id="104" w:name="_Toc13988"/>
      <w:bookmarkStart w:id="105" w:name="_Toc14510"/>
      <w:r>
        <w:rPr>
          <w:rFonts w:hint="eastAsia" w:asciiTheme="minorEastAsia" w:hAnsiTheme="minorEastAsia" w:eastAsiaTheme="minorEastAsia" w:cstheme="minorEastAsia"/>
          <w:b/>
          <w:szCs w:val="21"/>
          <w:lang w:val="zh-CN"/>
        </w:rPr>
        <w:t>质疑和投诉</w:t>
      </w:r>
      <w:bookmarkEnd w:id="102"/>
      <w:bookmarkEnd w:id="103"/>
      <w:bookmarkEnd w:id="104"/>
      <w:bookmarkEnd w:id="105"/>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6" w:name="_Toc21193"/>
      <w:r>
        <w:rPr>
          <w:rFonts w:hint="eastAsia" w:asciiTheme="minorEastAsia" w:hAnsiTheme="minorEastAsia" w:eastAsiaTheme="minorEastAsia" w:cstheme="minorEastAsia"/>
          <w:b/>
          <w:lang w:val="zh-CN"/>
        </w:rPr>
        <w:t>质疑</w:t>
      </w:r>
      <w:bookmarkEnd w:id="106"/>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7" w:name="_Toc16714"/>
      <w:r>
        <w:rPr>
          <w:rFonts w:hint="eastAsia" w:asciiTheme="minorEastAsia" w:hAnsiTheme="minorEastAsia" w:eastAsiaTheme="minorEastAsia" w:cstheme="minorEastAsia"/>
          <w:b/>
          <w:lang w:val="zh-CN"/>
        </w:rPr>
        <w:t>质疑回复</w:t>
      </w:r>
      <w:bookmarkEnd w:id="107"/>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8" w:name="_Toc21867"/>
      <w:r>
        <w:rPr>
          <w:rFonts w:hint="eastAsia" w:asciiTheme="minorEastAsia" w:hAnsiTheme="minorEastAsia" w:eastAsiaTheme="minorEastAsia" w:cstheme="minorEastAsia"/>
          <w:b/>
          <w:lang w:val="zh-CN"/>
        </w:rPr>
        <w:t>投诉</w:t>
      </w:r>
      <w:bookmarkEnd w:id="108"/>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9" w:name="_Toc28705"/>
      <w:bookmarkStart w:id="110" w:name="_Toc1929"/>
      <w:bookmarkStart w:id="111" w:name="_Toc5571"/>
      <w:bookmarkStart w:id="112" w:name="_Toc14767"/>
      <w:r>
        <w:rPr>
          <w:rFonts w:hint="eastAsia" w:asciiTheme="minorEastAsia" w:hAnsiTheme="minorEastAsia" w:eastAsiaTheme="minorEastAsia" w:cstheme="minorEastAsia"/>
          <w:b/>
          <w:szCs w:val="21"/>
          <w:lang w:val="zh-CN"/>
        </w:rPr>
        <w:t>政策</w:t>
      </w:r>
      <w:bookmarkEnd w:id="109"/>
      <w:bookmarkEnd w:id="110"/>
      <w:bookmarkEnd w:id="111"/>
      <w:bookmarkEnd w:id="112"/>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13" w:name="_Toc15706"/>
      <w:r>
        <w:rPr>
          <w:rFonts w:hint="eastAsia" w:asciiTheme="minorEastAsia" w:hAnsiTheme="minorEastAsia" w:eastAsiaTheme="minorEastAsia" w:cstheme="minorEastAsia"/>
          <w:b/>
          <w:lang w:val="en-US" w:eastAsia="zh-CN"/>
        </w:rPr>
        <w:t>政府采购政策</w:t>
      </w:r>
      <w:bookmarkEnd w:id="113"/>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hint="eastAsia"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rFonts w:hint="eastAsia"/>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4" w:name="_Toc12380"/>
      <w:r>
        <w:rPr>
          <w:rFonts w:hint="eastAsia" w:asciiTheme="minorEastAsia" w:hAnsiTheme="minorEastAsia" w:eastAsiaTheme="minorEastAsia" w:cstheme="minorEastAsia"/>
          <w:b/>
          <w:szCs w:val="21"/>
          <w:lang w:val="zh-CN"/>
        </w:rPr>
        <w:t>其他要求</w:t>
      </w:r>
      <w:bookmarkEnd w:id="11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5" w:name="_Toc28459"/>
      <w:r>
        <w:rPr>
          <w:rFonts w:hint="eastAsia" w:asciiTheme="minorEastAsia" w:hAnsiTheme="minorEastAsia" w:eastAsiaTheme="minorEastAsia" w:cstheme="minorEastAsia"/>
          <w:b/>
          <w:szCs w:val="21"/>
          <w:lang w:val="zh-CN"/>
        </w:rPr>
        <w:t>适用法律</w:t>
      </w:r>
      <w:bookmarkEnd w:id="115"/>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16" w:name="_Toc11180"/>
      <w:r>
        <w:rPr>
          <w:rFonts w:hint="eastAsia" w:asciiTheme="minorEastAsia" w:hAnsiTheme="minorEastAsia" w:eastAsiaTheme="minorEastAsia" w:cstheme="minorEastAsia"/>
          <w:b/>
          <w:bCs/>
          <w:sz w:val="36"/>
          <w:szCs w:val="36"/>
        </w:rPr>
        <w:t>采购需求</w:t>
      </w:r>
      <w:bookmarkEnd w:id="116"/>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7" w:name="_Toc2570"/>
      <w:r>
        <w:rPr>
          <w:rFonts w:hint="eastAsia" w:asciiTheme="minorEastAsia" w:hAnsiTheme="minorEastAsia" w:eastAsiaTheme="minorEastAsia" w:cstheme="minorEastAsia"/>
          <w:b/>
          <w:bCs/>
          <w:color w:val="auto"/>
          <w:sz w:val="24"/>
          <w:szCs w:val="24"/>
          <w:lang w:val="en-US" w:eastAsia="zh-CN"/>
        </w:rPr>
        <w:t>一、技术需求</w:t>
      </w:r>
      <w:bookmarkEnd w:id="117"/>
    </w:p>
    <w:p>
      <w:pPr>
        <w:jc w:val="left"/>
        <w:rPr>
          <w:rFonts w:hint="eastAsia" w:ascii="Times New Roman" w:hAnsi="Times New Roman" w:cs="Times New Roman"/>
          <w:b/>
          <w:bCs/>
          <w:sz w:val="24"/>
          <w:lang w:val="en-US" w:eastAsia="zh-CN"/>
        </w:rPr>
      </w:pPr>
    </w:p>
    <w:p>
      <w:pPr>
        <w:jc w:val="left"/>
        <w:rPr>
          <w:rFonts w:hint="eastAsia" w:ascii="Times New Roman" w:hAnsi="Times New Roman" w:cs="Times New Roman"/>
          <w:sz w:val="21"/>
          <w:szCs w:val="21"/>
        </w:rPr>
      </w:pPr>
      <w:r>
        <w:rPr>
          <w:rFonts w:hint="eastAsia" w:ascii="Times New Roman" w:hAnsi="Times New Roman" w:cs="Times New Roman"/>
          <w:b/>
          <w:bCs/>
          <w:sz w:val="28"/>
          <w:szCs w:val="28"/>
          <w:lang w:val="en-US" w:eastAsia="zh-CN"/>
        </w:rPr>
        <w:t>01包：肥料生产线</w:t>
      </w:r>
    </w:p>
    <w:p>
      <w:pPr>
        <w:spacing w:line="360" w:lineRule="auto"/>
        <w:jc w:val="left"/>
        <w:rPr>
          <w:b/>
          <w:bCs/>
          <w:szCs w:val="21"/>
        </w:rPr>
      </w:pPr>
      <w:r>
        <w:rPr>
          <w:rFonts w:hint="eastAsia"/>
          <w:b/>
          <w:bCs/>
          <w:szCs w:val="21"/>
        </w:rPr>
        <w:t>水溶肥</w:t>
      </w:r>
      <w:r>
        <w:rPr>
          <w:b/>
          <w:bCs/>
          <w:szCs w:val="21"/>
        </w:rPr>
        <w:t>生产线技术参数</w:t>
      </w:r>
    </w:p>
    <w:p>
      <w:pPr>
        <w:pStyle w:val="92"/>
        <w:numPr>
          <w:ilvl w:val="0"/>
          <w:numId w:val="35"/>
        </w:numPr>
        <w:spacing w:line="360" w:lineRule="auto"/>
        <w:ind w:firstLineChars="0"/>
        <w:jc w:val="left"/>
        <w:rPr>
          <w:sz w:val="21"/>
          <w:szCs w:val="21"/>
        </w:rPr>
      </w:pPr>
      <w:r>
        <w:rPr>
          <w:sz w:val="21"/>
          <w:szCs w:val="21"/>
        </w:rPr>
        <w:t>进</w:t>
      </w:r>
      <w:r>
        <w:rPr>
          <w:rFonts w:hint="eastAsia"/>
          <w:sz w:val="21"/>
          <w:szCs w:val="21"/>
        </w:rPr>
        <w:t>液流量</w:t>
      </w:r>
      <w:r>
        <w:rPr>
          <w:sz w:val="21"/>
          <w:szCs w:val="21"/>
        </w:rPr>
        <w:t>控制系统</w:t>
      </w:r>
      <w:r>
        <w:rPr>
          <w:rFonts w:hint="eastAsia"/>
          <w:sz w:val="21"/>
          <w:szCs w:val="21"/>
        </w:rPr>
        <w:t>（</w:t>
      </w:r>
      <w:r>
        <w:rPr>
          <w:sz w:val="21"/>
          <w:szCs w:val="21"/>
        </w:rPr>
        <w:t>每个罐体</w:t>
      </w:r>
      <w:r>
        <w:rPr>
          <w:rFonts w:hint="eastAsia"/>
          <w:sz w:val="21"/>
          <w:szCs w:val="21"/>
        </w:rPr>
        <w:t>独立</w:t>
      </w:r>
      <w:r>
        <w:rPr>
          <w:sz w:val="21"/>
          <w:szCs w:val="21"/>
        </w:rPr>
        <w:t>控制</w:t>
      </w:r>
      <w:r>
        <w:rPr>
          <w:rFonts w:hint="eastAsia"/>
          <w:sz w:val="21"/>
          <w:szCs w:val="21"/>
        </w:rPr>
        <w:t>）</w:t>
      </w:r>
    </w:p>
    <w:p>
      <w:pPr>
        <w:pStyle w:val="92"/>
        <w:numPr>
          <w:ilvl w:val="0"/>
          <w:numId w:val="35"/>
        </w:numPr>
        <w:spacing w:line="360" w:lineRule="auto"/>
        <w:ind w:firstLineChars="0"/>
        <w:jc w:val="left"/>
        <w:rPr>
          <w:sz w:val="21"/>
          <w:szCs w:val="21"/>
        </w:rPr>
      </w:pPr>
      <w:r>
        <w:rPr>
          <w:sz w:val="21"/>
          <w:szCs w:val="21"/>
        </w:rPr>
        <w:t>配制罐1：</w:t>
      </w:r>
      <w:r>
        <w:rPr>
          <w:rFonts w:hint="eastAsia"/>
          <w:sz w:val="21"/>
          <w:szCs w:val="21"/>
        </w:rPr>
        <w:t>≥</w:t>
      </w:r>
      <w:r>
        <w:rPr>
          <w:sz w:val="21"/>
          <w:szCs w:val="21"/>
        </w:rPr>
        <w:t>200 L，</w:t>
      </w:r>
      <w:r>
        <w:rPr>
          <w:rFonts w:hint="eastAsia"/>
          <w:sz w:val="21"/>
          <w:szCs w:val="21"/>
        </w:rPr>
        <w:t>SUS</w:t>
      </w:r>
      <w:r>
        <w:rPr>
          <w:sz w:val="21"/>
          <w:szCs w:val="21"/>
        </w:rPr>
        <w:t>304</w:t>
      </w:r>
      <w:r>
        <w:rPr>
          <w:rFonts w:hint="eastAsia"/>
          <w:sz w:val="21"/>
          <w:szCs w:val="21"/>
        </w:rPr>
        <w:t>材质</w:t>
      </w:r>
      <w:r>
        <w:rPr>
          <w:sz w:val="21"/>
          <w:szCs w:val="21"/>
        </w:rPr>
        <w:t>，可搅拌，可控温加热</w:t>
      </w:r>
      <w:r>
        <w:rPr>
          <w:rFonts w:hint="eastAsia"/>
          <w:sz w:val="21"/>
          <w:szCs w:val="21"/>
        </w:rPr>
        <w:t>，</w:t>
      </w:r>
      <w:r>
        <w:rPr>
          <w:sz w:val="21"/>
          <w:szCs w:val="21"/>
        </w:rPr>
        <w:t>至少含液体和固体进料口各一个</w:t>
      </w:r>
    </w:p>
    <w:p>
      <w:pPr>
        <w:pStyle w:val="92"/>
        <w:numPr>
          <w:ilvl w:val="0"/>
          <w:numId w:val="35"/>
        </w:numPr>
        <w:spacing w:line="360" w:lineRule="auto"/>
        <w:ind w:firstLineChars="0"/>
        <w:jc w:val="left"/>
        <w:rPr>
          <w:sz w:val="21"/>
          <w:szCs w:val="21"/>
        </w:rPr>
      </w:pPr>
      <w:r>
        <w:rPr>
          <w:sz w:val="21"/>
          <w:szCs w:val="21"/>
        </w:rPr>
        <w:t>配制罐2：</w:t>
      </w:r>
      <w:r>
        <w:rPr>
          <w:rFonts w:hint="eastAsia"/>
          <w:sz w:val="21"/>
          <w:szCs w:val="21"/>
        </w:rPr>
        <w:t>≥</w:t>
      </w:r>
      <w:r>
        <w:rPr>
          <w:sz w:val="21"/>
          <w:szCs w:val="21"/>
        </w:rPr>
        <w:t>200 L，PP</w:t>
      </w:r>
      <w:r>
        <w:rPr>
          <w:rFonts w:hint="eastAsia"/>
          <w:sz w:val="21"/>
          <w:szCs w:val="21"/>
        </w:rPr>
        <w:t>材质或SUS</w:t>
      </w:r>
      <w:r>
        <w:rPr>
          <w:sz w:val="21"/>
          <w:szCs w:val="21"/>
        </w:rPr>
        <w:t>304</w:t>
      </w:r>
      <w:r>
        <w:rPr>
          <w:rFonts w:hint="eastAsia"/>
          <w:sz w:val="21"/>
          <w:szCs w:val="21"/>
        </w:rPr>
        <w:t>材质（内喷耐酸碱涂层）</w:t>
      </w:r>
      <w:r>
        <w:rPr>
          <w:sz w:val="21"/>
          <w:szCs w:val="21"/>
        </w:rPr>
        <w:t>，可搅拌</w:t>
      </w:r>
      <w:r>
        <w:rPr>
          <w:rFonts w:hint="eastAsia"/>
          <w:sz w:val="21"/>
          <w:szCs w:val="21"/>
        </w:rPr>
        <w:t>，</w:t>
      </w:r>
      <w:r>
        <w:rPr>
          <w:sz w:val="21"/>
          <w:szCs w:val="21"/>
        </w:rPr>
        <w:t>至少含液体和固体进料口各一个</w:t>
      </w:r>
    </w:p>
    <w:p>
      <w:pPr>
        <w:pStyle w:val="92"/>
        <w:numPr>
          <w:ilvl w:val="0"/>
          <w:numId w:val="35"/>
        </w:numPr>
        <w:spacing w:line="360" w:lineRule="auto"/>
        <w:ind w:firstLineChars="0"/>
        <w:jc w:val="left"/>
        <w:rPr>
          <w:sz w:val="21"/>
          <w:szCs w:val="21"/>
        </w:rPr>
      </w:pPr>
      <w:r>
        <w:rPr>
          <w:sz w:val="21"/>
          <w:szCs w:val="21"/>
        </w:rPr>
        <w:t>配制罐3：</w:t>
      </w:r>
      <w:r>
        <w:rPr>
          <w:rFonts w:hint="eastAsia"/>
          <w:sz w:val="21"/>
          <w:szCs w:val="21"/>
        </w:rPr>
        <w:t>≥</w:t>
      </w:r>
      <w:r>
        <w:rPr>
          <w:sz w:val="21"/>
          <w:szCs w:val="21"/>
        </w:rPr>
        <w:t>200 L，</w:t>
      </w:r>
      <w:r>
        <w:rPr>
          <w:rFonts w:hint="eastAsia"/>
          <w:sz w:val="21"/>
          <w:szCs w:val="21"/>
        </w:rPr>
        <w:t>搪瓷材质或SUS</w:t>
      </w:r>
      <w:r>
        <w:rPr>
          <w:sz w:val="21"/>
          <w:szCs w:val="21"/>
        </w:rPr>
        <w:t>304</w:t>
      </w:r>
      <w:r>
        <w:rPr>
          <w:rFonts w:hint="eastAsia"/>
          <w:sz w:val="21"/>
          <w:szCs w:val="21"/>
        </w:rPr>
        <w:t>材质（内喷耐酸碱涂层）</w:t>
      </w:r>
      <w:r>
        <w:rPr>
          <w:sz w:val="21"/>
          <w:szCs w:val="21"/>
        </w:rPr>
        <w:t>，可搅拌</w:t>
      </w:r>
      <w:r>
        <w:rPr>
          <w:rFonts w:hint="eastAsia"/>
          <w:sz w:val="21"/>
          <w:szCs w:val="21"/>
        </w:rPr>
        <w:t>，</w:t>
      </w:r>
      <w:r>
        <w:rPr>
          <w:sz w:val="21"/>
          <w:szCs w:val="21"/>
        </w:rPr>
        <w:t>至少含液体和固体进料口各一个</w:t>
      </w:r>
    </w:p>
    <w:p>
      <w:pPr>
        <w:pStyle w:val="92"/>
        <w:numPr>
          <w:ilvl w:val="0"/>
          <w:numId w:val="35"/>
        </w:numPr>
        <w:spacing w:line="360" w:lineRule="auto"/>
        <w:ind w:firstLineChars="0"/>
        <w:jc w:val="left"/>
        <w:rPr>
          <w:sz w:val="21"/>
          <w:szCs w:val="21"/>
        </w:rPr>
      </w:pPr>
      <w:r>
        <w:rPr>
          <w:rFonts w:hint="eastAsia"/>
          <w:sz w:val="21"/>
          <w:szCs w:val="21"/>
        </w:rPr>
        <w:t>反应釜</w:t>
      </w:r>
      <w:r>
        <w:rPr>
          <w:sz w:val="21"/>
          <w:szCs w:val="21"/>
        </w:rPr>
        <w:t>：</w:t>
      </w:r>
      <w:r>
        <w:rPr>
          <w:rFonts w:hint="eastAsia"/>
          <w:sz w:val="21"/>
          <w:szCs w:val="21"/>
        </w:rPr>
        <w:t>≥</w:t>
      </w:r>
      <w:r>
        <w:rPr>
          <w:sz w:val="21"/>
          <w:szCs w:val="21"/>
        </w:rPr>
        <w:t>1000 L，</w:t>
      </w:r>
      <w:r>
        <w:rPr>
          <w:rFonts w:hint="eastAsia"/>
          <w:sz w:val="21"/>
          <w:szCs w:val="21"/>
        </w:rPr>
        <w:t>SUS</w:t>
      </w:r>
      <w:r>
        <w:rPr>
          <w:sz w:val="21"/>
          <w:szCs w:val="21"/>
        </w:rPr>
        <w:t>304</w:t>
      </w:r>
      <w:r>
        <w:rPr>
          <w:rFonts w:hint="eastAsia"/>
          <w:sz w:val="21"/>
          <w:szCs w:val="21"/>
        </w:rPr>
        <w:t>材质</w:t>
      </w:r>
      <w:r>
        <w:rPr>
          <w:sz w:val="21"/>
          <w:szCs w:val="21"/>
        </w:rPr>
        <w:t>，可搅拌，可控温加热</w:t>
      </w:r>
    </w:p>
    <w:p>
      <w:pPr>
        <w:pStyle w:val="92"/>
        <w:numPr>
          <w:ilvl w:val="0"/>
          <w:numId w:val="35"/>
        </w:numPr>
        <w:spacing w:line="360" w:lineRule="auto"/>
        <w:ind w:firstLineChars="0"/>
        <w:jc w:val="left"/>
        <w:rPr>
          <w:sz w:val="21"/>
          <w:szCs w:val="21"/>
        </w:rPr>
      </w:pPr>
      <w:r>
        <w:rPr>
          <w:rFonts w:hint="eastAsia"/>
          <w:sz w:val="21"/>
          <w:szCs w:val="21"/>
        </w:rPr>
        <w:t>隔膜泵</w:t>
      </w:r>
    </w:p>
    <w:p>
      <w:pPr>
        <w:pStyle w:val="92"/>
        <w:numPr>
          <w:ilvl w:val="0"/>
          <w:numId w:val="35"/>
        </w:numPr>
        <w:spacing w:line="360" w:lineRule="auto"/>
        <w:ind w:firstLineChars="0"/>
        <w:jc w:val="left"/>
        <w:rPr>
          <w:sz w:val="21"/>
          <w:szCs w:val="21"/>
        </w:rPr>
      </w:pPr>
      <w:r>
        <w:rPr>
          <w:rFonts w:hint="eastAsia"/>
          <w:sz w:val="21"/>
          <w:szCs w:val="21"/>
        </w:rPr>
        <w:t>过滤器</w:t>
      </w:r>
    </w:p>
    <w:p>
      <w:pPr>
        <w:pStyle w:val="92"/>
        <w:numPr>
          <w:ilvl w:val="0"/>
          <w:numId w:val="35"/>
        </w:numPr>
        <w:spacing w:line="360" w:lineRule="auto"/>
        <w:ind w:firstLineChars="0"/>
        <w:jc w:val="left"/>
        <w:rPr>
          <w:sz w:val="21"/>
          <w:szCs w:val="21"/>
        </w:rPr>
      </w:pPr>
      <w:r>
        <w:rPr>
          <w:rFonts w:hint="eastAsia"/>
          <w:sz w:val="21"/>
          <w:szCs w:val="21"/>
        </w:rPr>
        <w:t>储料罐：≥</w:t>
      </w:r>
      <w:r>
        <w:rPr>
          <w:sz w:val="21"/>
          <w:szCs w:val="21"/>
        </w:rPr>
        <w:t>1000 L，</w:t>
      </w:r>
      <w:r>
        <w:rPr>
          <w:rFonts w:hint="eastAsia"/>
          <w:sz w:val="21"/>
          <w:szCs w:val="21"/>
        </w:rPr>
        <w:t>SUS</w:t>
      </w:r>
      <w:r>
        <w:rPr>
          <w:sz w:val="21"/>
          <w:szCs w:val="21"/>
        </w:rPr>
        <w:t>304</w:t>
      </w:r>
      <w:r>
        <w:rPr>
          <w:rFonts w:hint="eastAsia"/>
          <w:sz w:val="21"/>
          <w:szCs w:val="21"/>
        </w:rPr>
        <w:t>材质</w:t>
      </w:r>
      <w:r>
        <w:rPr>
          <w:sz w:val="21"/>
          <w:szCs w:val="21"/>
        </w:rPr>
        <w:t>，</w:t>
      </w:r>
    </w:p>
    <w:p>
      <w:pPr>
        <w:pStyle w:val="92"/>
        <w:numPr>
          <w:ilvl w:val="0"/>
          <w:numId w:val="35"/>
        </w:numPr>
        <w:spacing w:line="360" w:lineRule="auto"/>
        <w:ind w:firstLineChars="0"/>
        <w:jc w:val="left"/>
        <w:rPr>
          <w:sz w:val="21"/>
          <w:szCs w:val="21"/>
        </w:rPr>
      </w:pPr>
      <w:r>
        <w:rPr>
          <w:rFonts w:hint="eastAsia"/>
          <w:sz w:val="21"/>
          <w:szCs w:val="21"/>
        </w:rPr>
        <w:t>泵</w:t>
      </w:r>
      <w:r>
        <w:rPr>
          <w:sz w:val="21"/>
          <w:szCs w:val="21"/>
        </w:rPr>
        <w:t>及管道：</w:t>
      </w:r>
      <w:r>
        <w:rPr>
          <w:rFonts w:hint="eastAsia"/>
          <w:sz w:val="21"/>
          <w:szCs w:val="21"/>
        </w:rPr>
        <w:t>耐腐蚀</w:t>
      </w:r>
      <w:r>
        <w:rPr>
          <w:sz w:val="21"/>
          <w:szCs w:val="21"/>
        </w:rPr>
        <w:t>材质</w:t>
      </w:r>
    </w:p>
    <w:p>
      <w:pPr>
        <w:pStyle w:val="92"/>
        <w:numPr>
          <w:ilvl w:val="0"/>
          <w:numId w:val="35"/>
        </w:numPr>
        <w:spacing w:line="360" w:lineRule="auto"/>
        <w:ind w:firstLineChars="0"/>
        <w:jc w:val="left"/>
        <w:rPr>
          <w:color w:val="auto"/>
          <w:sz w:val="21"/>
          <w:szCs w:val="21"/>
        </w:rPr>
      </w:pPr>
      <w:r>
        <w:rPr>
          <w:rFonts w:hint="eastAsia"/>
          <w:sz w:val="21"/>
          <w:szCs w:val="21"/>
        </w:rPr>
        <w:t>旋灌</w:t>
      </w:r>
      <w:r>
        <w:rPr>
          <w:sz w:val="21"/>
          <w:szCs w:val="21"/>
        </w:rPr>
        <w:t>一体机</w:t>
      </w:r>
      <w:r>
        <w:rPr>
          <w:rFonts w:hint="eastAsia"/>
          <w:sz w:val="21"/>
          <w:szCs w:val="21"/>
        </w:rPr>
        <w:t>（自动包装设备）</w:t>
      </w:r>
      <w:r>
        <w:rPr>
          <w:rFonts w:hint="eastAsia"/>
          <w:color w:val="auto"/>
          <w:sz w:val="21"/>
          <w:szCs w:val="21"/>
        </w:rPr>
        <w:t>10-50瓶（根据瓶子尺寸），100 mL-2500 mL；</w:t>
      </w:r>
    </w:p>
    <w:p>
      <w:pPr>
        <w:pStyle w:val="92"/>
        <w:numPr>
          <w:ilvl w:val="0"/>
          <w:numId w:val="35"/>
        </w:numPr>
        <w:spacing w:line="360" w:lineRule="auto"/>
        <w:ind w:firstLineChars="0"/>
        <w:jc w:val="left"/>
        <w:rPr>
          <w:sz w:val="21"/>
          <w:szCs w:val="21"/>
        </w:rPr>
      </w:pPr>
      <w:r>
        <w:rPr>
          <w:rFonts w:hint="eastAsia"/>
          <w:sz w:val="21"/>
          <w:szCs w:val="21"/>
        </w:rPr>
        <w:t>控制系统</w:t>
      </w:r>
    </w:p>
    <w:p>
      <w:pPr>
        <w:spacing w:line="360" w:lineRule="auto"/>
        <w:jc w:val="left"/>
        <w:rPr>
          <w:rFonts w:hint="eastAsia" w:eastAsia="宋体"/>
          <w:b/>
          <w:bCs/>
          <w:color w:val="auto"/>
          <w:szCs w:val="21"/>
          <w:lang w:val="en-US" w:eastAsia="zh-CN"/>
        </w:rPr>
      </w:pPr>
      <w:r>
        <w:rPr>
          <w:rFonts w:hint="eastAsia"/>
          <w:b/>
          <w:bCs/>
          <w:szCs w:val="21"/>
        </w:rPr>
        <w:t>掺混肥</w:t>
      </w:r>
      <w:r>
        <w:rPr>
          <w:b/>
          <w:bCs/>
          <w:szCs w:val="21"/>
        </w:rPr>
        <w:t>生产线</w:t>
      </w:r>
      <w:r>
        <w:rPr>
          <w:rFonts w:hint="eastAsia"/>
          <w:b/>
          <w:bCs/>
          <w:color w:val="auto"/>
          <w:szCs w:val="21"/>
          <w:lang w:eastAsia="zh-CN"/>
        </w:rPr>
        <w:t>（最好颗粒，粉料都可以）</w:t>
      </w:r>
    </w:p>
    <w:p>
      <w:pPr>
        <w:pStyle w:val="92"/>
        <w:numPr>
          <w:ilvl w:val="0"/>
          <w:numId w:val="36"/>
        </w:numPr>
        <w:spacing w:line="360" w:lineRule="auto"/>
        <w:ind w:firstLineChars="0"/>
        <w:jc w:val="left"/>
        <w:rPr>
          <w:sz w:val="21"/>
          <w:szCs w:val="21"/>
        </w:rPr>
      </w:pPr>
      <w:r>
        <w:rPr>
          <w:rFonts w:hint="eastAsia"/>
          <w:sz w:val="21"/>
          <w:szCs w:val="21"/>
        </w:rPr>
        <w:t>斗</w:t>
      </w:r>
      <w:r>
        <w:rPr>
          <w:sz w:val="21"/>
          <w:szCs w:val="21"/>
        </w:rPr>
        <w:t>式提升机</w:t>
      </w:r>
      <w:r>
        <w:rPr>
          <w:rFonts w:hint="eastAsia"/>
          <w:sz w:val="21"/>
          <w:szCs w:val="21"/>
        </w:rPr>
        <w:t>（进原料）</w:t>
      </w:r>
    </w:p>
    <w:p>
      <w:pPr>
        <w:pStyle w:val="92"/>
        <w:numPr>
          <w:ilvl w:val="0"/>
          <w:numId w:val="36"/>
        </w:numPr>
        <w:spacing w:line="360" w:lineRule="auto"/>
        <w:ind w:firstLineChars="0"/>
        <w:jc w:val="left"/>
        <w:rPr>
          <w:sz w:val="21"/>
          <w:szCs w:val="21"/>
        </w:rPr>
      </w:pPr>
      <w:r>
        <w:rPr>
          <w:rFonts w:hint="eastAsia"/>
          <w:sz w:val="21"/>
          <w:szCs w:val="21"/>
        </w:rPr>
        <w:t>立方仓</w:t>
      </w:r>
      <w:r>
        <w:rPr>
          <w:sz w:val="21"/>
          <w:szCs w:val="21"/>
        </w:rPr>
        <w:t>3-4</w:t>
      </w:r>
      <w:r>
        <w:rPr>
          <w:rFonts w:hint="eastAsia"/>
          <w:sz w:val="21"/>
          <w:szCs w:val="21"/>
        </w:rPr>
        <w:t>个</w:t>
      </w:r>
      <w:r>
        <w:rPr>
          <w:sz w:val="21"/>
          <w:szCs w:val="21"/>
        </w:rPr>
        <w:t>：</w:t>
      </w:r>
      <w:r>
        <w:rPr>
          <w:rFonts w:hint="eastAsia"/>
          <w:sz w:val="21"/>
          <w:szCs w:val="21"/>
        </w:rPr>
        <w:t>≥</w:t>
      </w:r>
      <w:r>
        <w:rPr>
          <w:sz w:val="21"/>
          <w:szCs w:val="21"/>
        </w:rPr>
        <w:t>500 L，304</w:t>
      </w:r>
      <w:r>
        <w:rPr>
          <w:rFonts w:hint="eastAsia"/>
          <w:sz w:val="21"/>
          <w:szCs w:val="21"/>
        </w:rPr>
        <w:t>材质</w:t>
      </w:r>
    </w:p>
    <w:p>
      <w:pPr>
        <w:pStyle w:val="92"/>
        <w:numPr>
          <w:ilvl w:val="0"/>
          <w:numId w:val="36"/>
        </w:numPr>
        <w:spacing w:line="360" w:lineRule="auto"/>
        <w:ind w:firstLineChars="0"/>
        <w:jc w:val="left"/>
        <w:rPr>
          <w:sz w:val="21"/>
          <w:szCs w:val="21"/>
        </w:rPr>
      </w:pPr>
      <w:r>
        <w:rPr>
          <w:rFonts w:hint="eastAsia"/>
          <w:sz w:val="21"/>
          <w:szCs w:val="21"/>
        </w:rPr>
        <w:t>自动配料装置（每个</w:t>
      </w:r>
      <w:r>
        <w:rPr>
          <w:sz w:val="21"/>
          <w:szCs w:val="21"/>
        </w:rPr>
        <w:t>立方仓</w:t>
      </w:r>
      <w:r>
        <w:rPr>
          <w:rFonts w:hint="eastAsia"/>
          <w:sz w:val="21"/>
          <w:szCs w:val="21"/>
        </w:rPr>
        <w:t>独立控制）</w:t>
      </w:r>
    </w:p>
    <w:p>
      <w:pPr>
        <w:pStyle w:val="92"/>
        <w:numPr>
          <w:ilvl w:val="0"/>
          <w:numId w:val="36"/>
        </w:numPr>
        <w:spacing w:line="360" w:lineRule="auto"/>
        <w:ind w:firstLineChars="0"/>
        <w:jc w:val="left"/>
        <w:rPr>
          <w:sz w:val="21"/>
          <w:szCs w:val="21"/>
        </w:rPr>
      </w:pPr>
      <w:r>
        <w:rPr>
          <w:rFonts w:hint="eastAsia"/>
          <w:sz w:val="21"/>
          <w:szCs w:val="21"/>
        </w:rPr>
        <w:t>混合机</w:t>
      </w:r>
      <w:r>
        <w:rPr>
          <w:sz w:val="21"/>
          <w:szCs w:val="21"/>
        </w:rPr>
        <w:t>：</w:t>
      </w:r>
      <w:r>
        <w:rPr>
          <w:rFonts w:hint="eastAsia"/>
          <w:sz w:val="21"/>
          <w:szCs w:val="21"/>
        </w:rPr>
        <w:t>≥</w:t>
      </w:r>
      <w:r>
        <w:rPr>
          <w:sz w:val="21"/>
          <w:szCs w:val="21"/>
        </w:rPr>
        <w:t>300 L左右，</w:t>
      </w:r>
      <w:r>
        <w:rPr>
          <w:rFonts w:hint="eastAsia"/>
          <w:sz w:val="21"/>
          <w:szCs w:val="21"/>
        </w:rPr>
        <w:t>SUS</w:t>
      </w:r>
      <w:r>
        <w:rPr>
          <w:sz w:val="21"/>
          <w:szCs w:val="21"/>
        </w:rPr>
        <w:t>304</w:t>
      </w:r>
      <w:r>
        <w:rPr>
          <w:rFonts w:hint="eastAsia"/>
          <w:sz w:val="21"/>
          <w:szCs w:val="21"/>
        </w:rPr>
        <w:t>材质</w:t>
      </w:r>
      <w:r>
        <w:rPr>
          <w:sz w:val="21"/>
          <w:szCs w:val="21"/>
        </w:rPr>
        <w:t xml:space="preserve"> </w:t>
      </w:r>
    </w:p>
    <w:p>
      <w:pPr>
        <w:pStyle w:val="92"/>
        <w:numPr>
          <w:ilvl w:val="0"/>
          <w:numId w:val="36"/>
        </w:numPr>
        <w:spacing w:line="360" w:lineRule="auto"/>
        <w:ind w:firstLineChars="0"/>
        <w:jc w:val="left"/>
        <w:rPr>
          <w:sz w:val="21"/>
          <w:szCs w:val="21"/>
        </w:rPr>
      </w:pPr>
      <w:r>
        <w:rPr>
          <w:rFonts w:hint="eastAsia"/>
          <w:sz w:val="21"/>
          <w:szCs w:val="21"/>
        </w:rPr>
        <w:t>提升机</w:t>
      </w:r>
    </w:p>
    <w:p>
      <w:pPr>
        <w:pStyle w:val="92"/>
        <w:numPr>
          <w:ilvl w:val="0"/>
          <w:numId w:val="36"/>
        </w:numPr>
        <w:spacing w:line="360" w:lineRule="auto"/>
        <w:ind w:firstLineChars="0"/>
        <w:jc w:val="left"/>
        <w:rPr>
          <w:color w:val="auto"/>
          <w:sz w:val="21"/>
          <w:szCs w:val="21"/>
        </w:rPr>
      </w:pPr>
      <w:r>
        <w:rPr>
          <w:rFonts w:hint="eastAsia"/>
          <w:sz w:val="21"/>
          <w:szCs w:val="21"/>
        </w:rPr>
        <w:t>包</w:t>
      </w:r>
      <w:bookmarkStart w:id="243" w:name="_GoBack"/>
      <w:r>
        <w:rPr>
          <w:rFonts w:hint="eastAsia"/>
          <w:color w:val="auto"/>
          <w:sz w:val="21"/>
          <w:szCs w:val="21"/>
        </w:rPr>
        <w:t>装料仓</w:t>
      </w:r>
      <w:r>
        <w:rPr>
          <w:rFonts w:hint="eastAsia"/>
          <w:color w:val="auto"/>
          <w:sz w:val="21"/>
          <w:szCs w:val="21"/>
          <w:lang w:eastAsia="zh-CN"/>
        </w:rPr>
        <w:t>：包装5-25 kg</w:t>
      </w:r>
    </w:p>
    <w:p>
      <w:pPr>
        <w:pStyle w:val="92"/>
        <w:numPr>
          <w:ilvl w:val="0"/>
          <w:numId w:val="36"/>
        </w:numPr>
        <w:spacing w:line="360" w:lineRule="auto"/>
        <w:ind w:firstLineChars="0"/>
        <w:jc w:val="left"/>
        <w:rPr>
          <w:color w:val="auto"/>
          <w:sz w:val="21"/>
          <w:szCs w:val="21"/>
        </w:rPr>
      </w:pPr>
      <w:r>
        <w:rPr>
          <w:rFonts w:hint="eastAsia"/>
          <w:color w:val="auto"/>
          <w:sz w:val="21"/>
          <w:szCs w:val="21"/>
        </w:rPr>
        <w:t>自动称重</w:t>
      </w:r>
      <w:r>
        <w:rPr>
          <w:color w:val="auto"/>
          <w:sz w:val="21"/>
          <w:szCs w:val="21"/>
        </w:rPr>
        <w:t>包装系统</w:t>
      </w:r>
      <w:r>
        <w:rPr>
          <w:rFonts w:hint="eastAsia"/>
          <w:color w:val="auto"/>
          <w:sz w:val="21"/>
          <w:szCs w:val="21"/>
          <w:lang w:eastAsia="zh-CN"/>
        </w:rPr>
        <w:t>（每小时5-15吨）</w:t>
      </w:r>
    </w:p>
    <w:bookmarkEnd w:id="243"/>
    <w:p>
      <w:pPr>
        <w:pStyle w:val="92"/>
        <w:numPr>
          <w:ilvl w:val="0"/>
          <w:numId w:val="36"/>
        </w:numPr>
        <w:spacing w:line="360" w:lineRule="auto"/>
        <w:ind w:firstLineChars="0"/>
        <w:jc w:val="left"/>
        <w:rPr>
          <w:sz w:val="21"/>
          <w:szCs w:val="21"/>
        </w:rPr>
      </w:pPr>
      <w:r>
        <w:rPr>
          <w:rFonts w:hint="eastAsia"/>
          <w:sz w:val="21"/>
          <w:szCs w:val="21"/>
        </w:rPr>
        <w:t>封包</w:t>
      </w:r>
      <w:r>
        <w:rPr>
          <w:sz w:val="21"/>
          <w:szCs w:val="21"/>
        </w:rPr>
        <w:t>机</w:t>
      </w:r>
    </w:p>
    <w:p>
      <w:pPr>
        <w:pStyle w:val="92"/>
        <w:numPr>
          <w:ilvl w:val="0"/>
          <w:numId w:val="36"/>
        </w:numPr>
        <w:spacing w:line="360" w:lineRule="auto"/>
        <w:ind w:firstLineChars="0"/>
        <w:jc w:val="left"/>
        <w:rPr>
          <w:sz w:val="21"/>
          <w:szCs w:val="21"/>
        </w:rPr>
      </w:pPr>
      <w:r>
        <w:rPr>
          <w:rFonts w:hint="eastAsia"/>
          <w:sz w:val="21"/>
          <w:szCs w:val="21"/>
        </w:rPr>
        <w:t>输送机</w:t>
      </w:r>
    </w:p>
    <w:p>
      <w:pPr>
        <w:pStyle w:val="92"/>
        <w:numPr>
          <w:ilvl w:val="0"/>
          <w:numId w:val="37"/>
        </w:numPr>
        <w:spacing w:line="360" w:lineRule="auto"/>
        <w:ind w:firstLineChars="0"/>
        <w:jc w:val="left"/>
        <w:rPr>
          <w:sz w:val="21"/>
          <w:szCs w:val="21"/>
        </w:rPr>
      </w:pPr>
      <w:r>
        <w:rPr>
          <w:rFonts w:hint="eastAsia"/>
          <w:sz w:val="21"/>
          <w:szCs w:val="21"/>
        </w:rPr>
        <w:t>控制系统</w:t>
      </w:r>
    </w:p>
    <w:p>
      <w:pPr>
        <w:spacing w:line="360" w:lineRule="auto"/>
        <w:jc w:val="left"/>
        <w:rPr>
          <w:bCs/>
          <w:szCs w:val="21"/>
        </w:rPr>
      </w:pPr>
      <w:r>
        <w:rPr>
          <w:rFonts w:hint="eastAsia"/>
          <w:szCs w:val="21"/>
        </w:rPr>
        <w:t>注</w:t>
      </w:r>
      <w:r>
        <w:rPr>
          <w:szCs w:val="21"/>
        </w:rPr>
        <w:t>：</w:t>
      </w:r>
      <w:r>
        <w:rPr>
          <w:rFonts w:hint="eastAsia"/>
          <w:bCs/>
          <w:szCs w:val="21"/>
        </w:rPr>
        <w:t>水溶肥</w:t>
      </w:r>
      <w:r>
        <w:rPr>
          <w:bCs/>
          <w:szCs w:val="21"/>
        </w:rPr>
        <w:t>生产线</w:t>
      </w:r>
      <w:r>
        <w:rPr>
          <w:rFonts w:hint="eastAsia"/>
          <w:bCs/>
          <w:szCs w:val="21"/>
        </w:rPr>
        <w:t>和掺混肥</w:t>
      </w:r>
      <w:r>
        <w:rPr>
          <w:bCs/>
          <w:szCs w:val="21"/>
        </w:rPr>
        <w:t>生产线</w:t>
      </w:r>
      <w:r>
        <w:rPr>
          <w:rFonts w:hint="eastAsia"/>
          <w:bCs/>
          <w:szCs w:val="21"/>
        </w:rPr>
        <w:t>总占</w:t>
      </w:r>
      <w:r>
        <w:rPr>
          <w:bCs/>
          <w:szCs w:val="21"/>
        </w:rPr>
        <w:t>地</w:t>
      </w:r>
      <w:r>
        <w:rPr>
          <w:rFonts w:hint="eastAsia"/>
          <w:bCs/>
          <w:szCs w:val="21"/>
        </w:rPr>
        <w:t>面积</w:t>
      </w:r>
      <w:r>
        <w:rPr>
          <w:bCs/>
          <w:szCs w:val="21"/>
        </w:rPr>
        <w:t>≤160</w:t>
      </w:r>
      <w:r>
        <w:rPr>
          <w:rFonts w:hint="eastAsia"/>
          <w:bCs/>
          <w:szCs w:val="21"/>
        </w:rPr>
        <w:t>平方米，</w:t>
      </w:r>
      <w:r>
        <w:rPr>
          <w:bCs/>
          <w:szCs w:val="21"/>
        </w:rPr>
        <w:t>高度≤6</w:t>
      </w:r>
      <w:r>
        <w:rPr>
          <w:rFonts w:hint="eastAsia"/>
          <w:bCs/>
          <w:szCs w:val="21"/>
        </w:rPr>
        <w:t>米</w:t>
      </w:r>
    </w:p>
    <w:p>
      <w:pPr>
        <w:spacing w:line="360" w:lineRule="auto"/>
        <w:jc w:val="left"/>
        <w:rPr>
          <w:b/>
          <w:bCs/>
          <w:szCs w:val="21"/>
        </w:rPr>
      </w:pPr>
      <w:r>
        <w:rPr>
          <w:rFonts w:hint="eastAsia"/>
          <w:b/>
          <w:bCs/>
          <w:szCs w:val="21"/>
        </w:rPr>
        <w:t>复混肥</w:t>
      </w:r>
      <w:r>
        <w:rPr>
          <w:b/>
          <w:bCs/>
          <w:szCs w:val="21"/>
        </w:rPr>
        <w:t>生产</w:t>
      </w:r>
      <w:r>
        <w:rPr>
          <w:rFonts w:hint="eastAsia"/>
          <w:b/>
          <w:bCs/>
          <w:szCs w:val="21"/>
        </w:rPr>
        <w:t>模具</w:t>
      </w:r>
    </w:p>
    <w:p>
      <w:pPr>
        <w:spacing w:line="360" w:lineRule="auto"/>
        <w:ind w:firstLine="420"/>
        <w:jc w:val="left"/>
      </w:pPr>
      <w:r>
        <w:rPr>
          <w:rFonts w:hint="eastAsia"/>
          <w:szCs w:val="21"/>
        </w:rPr>
        <w:t>包含投料</w:t>
      </w:r>
      <w:r>
        <w:rPr>
          <w:szCs w:val="21"/>
        </w:rPr>
        <w:t>、混合、</w:t>
      </w:r>
      <w:r>
        <w:rPr>
          <w:rFonts w:hint="eastAsia"/>
          <w:szCs w:val="21"/>
        </w:rPr>
        <w:t>输送</w:t>
      </w:r>
      <w:r>
        <w:rPr>
          <w:szCs w:val="21"/>
        </w:rPr>
        <w:t>、造粒</w:t>
      </w:r>
      <w:r>
        <w:rPr>
          <w:rFonts w:hint="eastAsia"/>
          <w:szCs w:val="21"/>
        </w:rPr>
        <w:t>（</w:t>
      </w:r>
      <w:r>
        <w:rPr>
          <w:szCs w:val="21"/>
        </w:rPr>
        <w:t>挤压、转鼓、圆盘</w:t>
      </w:r>
      <w:r>
        <w:rPr>
          <w:rFonts w:hint="eastAsia"/>
          <w:szCs w:val="21"/>
        </w:rPr>
        <w:t>三种</w:t>
      </w:r>
      <w:r>
        <w:rPr>
          <w:szCs w:val="21"/>
        </w:rPr>
        <w:t>造粒</w:t>
      </w:r>
      <w:r>
        <w:rPr>
          <w:rFonts w:hint="eastAsia"/>
          <w:szCs w:val="21"/>
        </w:rPr>
        <w:t>）</w:t>
      </w:r>
      <w:r>
        <w:rPr>
          <w:szCs w:val="21"/>
        </w:rPr>
        <w:t>、烘干、除尘、</w:t>
      </w:r>
      <w:r>
        <w:rPr>
          <w:rFonts w:hint="eastAsia"/>
          <w:szCs w:val="21"/>
        </w:rPr>
        <w:t>冷却</w:t>
      </w:r>
      <w:r>
        <w:rPr>
          <w:szCs w:val="21"/>
        </w:rPr>
        <w:t>、筛分、返料等完整的生产工艺线模型。</w:t>
      </w:r>
      <w:r>
        <w:rPr>
          <w:rFonts w:hint="eastAsia"/>
          <w:szCs w:val="21"/>
        </w:rPr>
        <w:t>（</w:t>
      </w:r>
      <w:r>
        <w:rPr>
          <w:rFonts w:hint="eastAsia"/>
          <w:bCs/>
          <w:szCs w:val="21"/>
        </w:rPr>
        <w:t>总面积控制在</w:t>
      </w:r>
      <w:r>
        <w:rPr>
          <w:bCs/>
          <w:szCs w:val="21"/>
        </w:rPr>
        <w:t>≤</w:t>
      </w:r>
      <w:r>
        <w:rPr>
          <w:rFonts w:hint="eastAsia"/>
          <w:bCs/>
          <w:szCs w:val="21"/>
        </w:rPr>
        <w:t>5平方米</w:t>
      </w:r>
      <w:r>
        <w:rPr>
          <w:rFonts w:hint="eastAsia"/>
          <w:szCs w:val="21"/>
        </w:rPr>
        <w:t>）</w:t>
      </w:r>
    </w:p>
    <w:p>
      <w:pPr>
        <w:rPr>
          <w:rFonts w:hint="eastAsia" w:asciiTheme="minorEastAsia" w:hAnsiTheme="minorEastAsia" w:eastAsiaTheme="minorEastAsia" w:cstheme="minorEastAsia"/>
          <w:b/>
          <w:bCs/>
          <w:color w:val="auto"/>
          <w:sz w:val="28"/>
          <w:szCs w:val="28"/>
          <w:lang w:val="en-US" w:eastAsia="zh-CN"/>
        </w:rPr>
      </w:pPr>
    </w:p>
    <w:p>
      <w:pPr>
        <w:rPr>
          <w:rFonts w:hint="eastAsia" w:asciiTheme="minorEastAsia" w:hAnsiTheme="minorEastAsia" w:eastAsiaTheme="minorEastAsia" w:cstheme="minorEastAsia"/>
          <w:b/>
          <w:bCs/>
          <w:color w:val="auto"/>
          <w:sz w:val="28"/>
          <w:szCs w:val="28"/>
          <w:lang w:val="en-US" w:eastAsia="zh-CN"/>
        </w:rPr>
      </w:pPr>
    </w:p>
    <w:p>
      <w:pPr>
        <w:rPr>
          <w:rFonts w:hint="eastAsia" w:asciiTheme="minorEastAsia" w:hAnsiTheme="minorEastAsia" w:eastAsiaTheme="minorEastAsia" w:cstheme="minorEastAsia"/>
          <w:b/>
          <w:bCs/>
          <w:color w:val="auto"/>
          <w:sz w:val="28"/>
          <w:szCs w:val="28"/>
          <w:lang w:val="en-US" w:eastAsia="zh-CN"/>
        </w:rPr>
      </w:pPr>
    </w:p>
    <w:p>
      <w:pPr>
        <w:rPr>
          <w:rFonts w:hint="eastAsia" w:asciiTheme="minorEastAsia" w:hAnsiTheme="minorEastAsia" w:eastAsiaTheme="minorEastAsia" w:cstheme="minorEastAsia"/>
          <w:b/>
          <w:bCs/>
          <w:color w:val="auto"/>
          <w:sz w:val="28"/>
          <w:szCs w:val="28"/>
          <w:lang w:val="en-US" w:eastAsia="zh-CN"/>
        </w:rPr>
      </w:pP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02包：虚拟仿真</w:t>
      </w:r>
    </w:p>
    <w:p>
      <w:pPr>
        <w:numPr>
          <w:ilvl w:val="0"/>
          <w:numId w:val="38"/>
        </w:num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总体要求：</w:t>
      </w:r>
    </w:p>
    <w:p>
      <w:pPr>
        <w:numPr>
          <w:ilvl w:val="0"/>
          <w:numId w:val="0"/>
        </w:numPr>
        <w:spacing w:line="360" w:lineRule="auto"/>
        <w:ind w:firstLine="420" w:firstLineChars="200"/>
        <w:rPr>
          <w:rFonts w:asciiTheme="minorEastAsia" w:hAnsiTheme="minorEastAsia"/>
          <w:sz w:val="21"/>
          <w:szCs w:val="21"/>
        </w:rPr>
      </w:pPr>
      <w:r>
        <w:rPr>
          <w:rFonts w:hint="eastAsia" w:ascii="宋体" w:hAnsi="宋体" w:eastAsia="宋体" w:cs="宋体"/>
          <w:sz w:val="21"/>
          <w:szCs w:val="21"/>
        </w:rPr>
        <w:t>★</w:t>
      </w:r>
      <w:r>
        <w:rPr>
          <w:rFonts w:hint="eastAsia" w:asciiTheme="minorEastAsia" w:hAnsiTheme="minorEastAsia"/>
          <w:sz w:val="21"/>
          <w:szCs w:val="21"/>
        </w:rPr>
        <w:t>1</w:t>
      </w:r>
      <w:r>
        <w:rPr>
          <w:rFonts w:hint="eastAsia" w:asciiTheme="minorEastAsia" w:hAnsiTheme="minorEastAsia"/>
          <w:sz w:val="21"/>
          <w:szCs w:val="21"/>
          <w:lang w:val="en-US" w:eastAsia="zh-CN"/>
        </w:rPr>
        <w:t>.</w:t>
      </w:r>
      <w:r>
        <w:rPr>
          <w:rFonts w:hint="eastAsia" w:asciiTheme="minorEastAsia" w:hAnsiTheme="minorEastAsia"/>
          <w:sz w:val="21"/>
          <w:szCs w:val="21"/>
        </w:rPr>
        <w:t>本软件为网络版，系统采用 B/S 架构，三维内容嵌入浏览器中，用户无需安装插件，即可通过网页访问虚拟实验内容，并进行交互实验，不受节点和位置限制。</w:t>
      </w:r>
    </w:p>
    <w:p>
      <w:pPr>
        <w:spacing w:line="360" w:lineRule="auto"/>
        <w:ind w:firstLine="420" w:firstLineChars="200"/>
        <w:rPr>
          <w:rFonts w:asciiTheme="minorEastAsia" w:hAnsiTheme="minorEastAsia"/>
          <w:sz w:val="21"/>
          <w:szCs w:val="21"/>
        </w:rPr>
      </w:pPr>
      <w:r>
        <w:rPr>
          <w:rFonts w:hint="eastAsia" w:ascii="宋体" w:hAnsi="宋体" w:eastAsia="宋体" w:cs="宋体"/>
          <w:sz w:val="21"/>
          <w:szCs w:val="21"/>
        </w:rPr>
        <w:t>★</w:t>
      </w:r>
      <w:r>
        <w:rPr>
          <w:rFonts w:hint="eastAsia" w:asciiTheme="minorEastAsia" w:hAnsiTheme="minorEastAsia"/>
          <w:sz w:val="21"/>
          <w:szCs w:val="21"/>
        </w:rPr>
        <w:t>2</w:t>
      </w:r>
      <w:r>
        <w:rPr>
          <w:rFonts w:hint="eastAsia" w:asciiTheme="minorEastAsia" w:hAnsiTheme="minorEastAsia"/>
          <w:sz w:val="21"/>
          <w:szCs w:val="21"/>
          <w:lang w:val="en-US" w:eastAsia="zh-CN"/>
        </w:rPr>
        <w:t>.</w:t>
      </w:r>
      <w:r>
        <w:rPr>
          <w:rFonts w:hint="eastAsia" w:asciiTheme="minorEastAsia" w:hAnsiTheme="minorEastAsia"/>
          <w:sz w:val="21"/>
          <w:szCs w:val="21"/>
        </w:rPr>
        <w:t>支持谷歌、火狐、3</w:t>
      </w:r>
      <w:r>
        <w:rPr>
          <w:rFonts w:asciiTheme="minorEastAsia" w:hAnsiTheme="minorEastAsia"/>
          <w:sz w:val="21"/>
          <w:szCs w:val="21"/>
        </w:rPr>
        <w:t>60</w:t>
      </w:r>
      <w:r>
        <w:rPr>
          <w:rFonts w:hint="eastAsia" w:asciiTheme="minorEastAsia" w:hAnsiTheme="minorEastAsia"/>
          <w:sz w:val="21"/>
          <w:szCs w:val="21"/>
        </w:rPr>
        <w:t>、qq等主流浏览器；</w:t>
      </w:r>
    </w:p>
    <w:p>
      <w:pPr>
        <w:spacing w:line="360" w:lineRule="auto"/>
        <w:ind w:firstLine="420" w:firstLineChars="200"/>
        <w:rPr>
          <w:rFonts w:asciiTheme="minorEastAsia" w:hAnsiTheme="minorEastAsia"/>
          <w:sz w:val="21"/>
          <w:szCs w:val="21"/>
        </w:rPr>
      </w:pPr>
      <w:r>
        <w:rPr>
          <w:rFonts w:hint="eastAsia" w:ascii="宋体" w:hAnsi="宋体" w:eastAsia="宋体" w:cs="宋体"/>
          <w:sz w:val="21"/>
          <w:szCs w:val="21"/>
        </w:rPr>
        <w:t>★</w:t>
      </w:r>
      <w:r>
        <w:rPr>
          <w:rFonts w:hint="eastAsia" w:asciiTheme="minorEastAsia" w:hAnsiTheme="minorEastAsia"/>
          <w:sz w:val="21"/>
          <w:szCs w:val="21"/>
        </w:rPr>
        <w:t>3</w:t>
      </w:r>
      <w:r>
        <w:rPr>
          <w:rFonts w:hint="eastAsia" w:asciiTheme="minorEastAsia" w:hAnsiTheme="minorEastAsia"/>
          <w:sz w:val="21"/>
          <w:szCs w:val="21"/>
          <w:lang w:val="en-US" w:eastAsia="zh-CN"/>
        </w:rPr>
        <w:t>.</w:t>
      </w:r>
      <w:r>
        <w:rPr>
          <w:rFonts w:hint="eastAsia" w:asciiTheme="minorEastAsia" w:hAnsiTheme="minorEastAsia"/>
          <w:sz w:val="21"/>
          <w:szCs w:val="21"/>
        </w:rPr>
        <w:t>后台数据库支持mysql、SQL server等数据库的导入、关联和同步，软件采用通用、开放的协议、免费开放数据接口、能与学校现有信息化系统互联互通，保证系统的开放性和扩展性。</w:t>
      </w:r>
    </w:p>
    <w:p>
      <w:pPr>
        <w:spacing w:line="360" w:lineRule="auto"/>
        <w:ind w:firstLine="420" w:firstLineChars="200"/>
        <w:rPr>
          <w:rFonts w:hint="eastAsia" w:asciiTheme="minorEastAsia" w:hAnsiTheme="minorEastAsia"/>
          <w:sz w:val="21"/>
          <w:szCs w:val="21"/>
        </w:rPr>
      </w:pPr>
      <w:r>
        <w:rPr>
          <w:rFonts w:hint="eastAsia" w:ascii="宋体" w:hAnsi="宋体" w:eastAsia="宋体" w:cs="宋体"/>
          <w:sz w:val="21"/>
          <w:szCs w:val="21"/>
        </w:rPr>
        <w:t>★</w:t>
      </w:r>
      <w:r>
        <w:rPr>
          <w:rFonts w:hint="eastAsia" w:asciiTheme="minorEastAsia" w:hAnsiTheme="minorEastAsia"/>
          <w:sz w:val="21"/>
          <w:szCs w:val="21"/>
        </w:rPr>
        <w:t>4</w:t>
      </w:r>
      <w:r>
        <w:rPr>
          <w:rFonts w:hint="eastAsia" w:asciiTheme="minorEastAsia" w:hAnsiTheme="minorEastAsia"/>
          <w:sz w:val="21"/>
          <w:szCs w:val="21"/>
          <w:lang w:val="en-US" w:eastAsia="zh-CN"/>
        </w:rPr>
        <w:t>.</w:t>
      </w:r>
      <w:r>
        <w:rPr>
          <w:rFonts w:hint="eastAsia" w:asciiTheme="minorEastAsia" w:hAnsiTheme="minorEastAsia"/>
          <w:sz w:val="21"/>
          <w:szCs w:val="21"/>
        </w:rPr>
        <w:t>采用成熟、可靠的3D引擎(如unity3D、unReal等)开发，通过主流建模软件对实验室进行建模，模型格式至少包含.fbx。</w:t>
      </w:r>
    </w:p>
    <w:p>
      <w:pPr>
        <w:spacing w:line="360" w:lineRule="auto"/>
        <w:ind w:firstLine="420" w:firstLineChars="200"/>
        <w:rPr>
          <w:rFonts w:asciiTheme="minorEastAsia" w:hAnsiTheme="minorEastAsia"/>
          <w:sz w:val="21"/>
          <w:szCs w:val="21"/>
        </w:rPr>
      </w:pPr>
      <w:r>
        <w:rPr>
          <w:rFonts w:hint="eastAsia" w:ascii="等线" w:hAnsi="等线" w:cs="宋体"/>
          <w:kern w:val="0"/>
          <w:sz w:val="21"/>
          <w:szCs w:val="21"/>
        </w:rPr>
        <w:t>★</w:t>
      </w:r>
      <w:r>
        <w:rPr>
          <w:rFonts w:hint="eastAsia" w:asciiTheme="minorEastAsia" w:hAnsiTheme="minorEastAsia"/>
          <w:sz w:val="21"/>
          <w:szCs w:val="21"/>
        </w:rPr>
        <w:t>5</w:t>
      </w:r>
      <w:r>
        <w:rPr>
          <w:rFonts w:hint="eastAsia" w:asciiTheme="minorEastAsia" w:hAnsiTheme="minorEastAsia"/>
          <w:sz w:val="21"/>
          <w:szCs w:val="21"/>
          <w:lang w:val="en-US" w:eastAsia="zh-CN"/>
        </w:rPr>
        <w:t>.</w:t>
      </w:r>
      <w:r>
        <w:rPr>
          <w:rFonts w:hint="eastAsia" w:asciiTheme="minorEastAsia" w:hAnsiTheme="minorEastAsia"/>
          <w:sz w:val="21"/>
          <w:szCs w:val="21"/>
        </w:rPr>
        <w:t>以真实场景数据、仪器数据和典型设备数据为依据来设计系统的仿真环境，单场景总面数不低于20万，采用贴图技术的，贴图分辨率不低于512*512pix。模型材质要进行烘培处理，具有阴影、高光、反射等效果。</w:t>
      </w:r>
    </w:p>
    <w:p>
      <w:pPr>
        <w:spacing w:line="360" w:lineRule="auto"/>
        <w:ind w:firstLine="420" w:firstLineChars="200"/>
        <w:rPr>
          <w:rFonts w:asciiTheme="minorEastAsia" w:hAnsiTheme="minorEastAsia"/>
          <w:sz w:val="21"/>
          <w:szCs w:val="21"/>
        </w:rPr>
      </w:pPr>
      <w:r>
        <w:rPr>
          <w:rFonts w:hint="eastAsia" w:ascii="等线" w:hAnsi="等线" w:cs="宋体"/>
          <w:kern w:val="0"/>
          <w:sz w:val="21"/>
          <w:szCs w:val="21"/>
        </w:rPr>
        <w:t>★</w:t>
      </w:r>
      <w:r>
        <w:rPr>
          <w:rFonts w:hint="eastAsia" w:asciiTheme="minorEastAsia" w:hAnsiTheme="minorEastAsia"/>
          <w:sz w:val="21"/>
          <w:szCs w:val="21"/>
        </w:rPr>
        <w:t>6</w:t>
      </w:r>
      <w:r>
        <w:rPr>
          <w:rFonts w:hint="eastAsia" w:asciiTheme="minorEastAsia" w:hAnsiTheme="minorEastAsia"/>
          <w:sz w:val="21"/>
          <w:szCs w:val="21"/>
          <w:lang w:val="en-US" w:eastAsia="zh-CN"/>
        </w:rPr>
        <w:t>.</w:t>
      </w:r>
      <w:r>
        <w:rPr>
          <w:rFonts w:hint="eastAsia" w:asciiTheme="minorEastAsia" w:hAnsiTheme="minorEastAsia"/>
          <w:sz w:val="21"/>
          <w:szCs w:val="21"/>
        </w:rPr>
        <w:t>用户可多角度观察整个实验室和实验设备，画面帧数不得低于25帧/秒。</w:t>
      </w:r>
    </w:p>
    <w:p>
      <w:pPr>
        <w:spacing w:line="360" w:lineRule="auto"/>
        <w:ind w:firstLine="420" w:firstLineChars="200"/>
        <w:rPr>
          <w:rFonts w:asciiTheme="minorEastAsia" w:hAnsiTheme="minorEastAsia"/>
          <w:sz w:val="21"/>
          <w:szCs w:val="21"/>
        </w:rPr>
      </w:pPr>
      <w:r>
        <w:rPr>
          <w:rFonts w:hint="eastAsia" w:ascii="等线" w:hAnsi="等线" w:cs="宋体"/>
          <w:kern w:val="0"/>
          <w:sz w:val="21"/>
          <w:szCs w:val="21"/>
        </w:rPr>
        <w:t>★</w:t>
      </w:r>
      <w:r>
        <w:rPr>
          <w:rFonts w:hint="eastAsia" w:asciiTheme="minorEastAsia" w:hAnsiTheme="minorEastAsia"/>
          <w:sz w:val="21"/>
          <w:szCs w:val="21"/>
        </w:rPr>
        <w:t>7</w:t>
      </w:r>
      <w:r>
        <w:rPr>
          <w:rFonts w:hint="eastAsia" w:asciiTheme="minorEastAsia" w:hAnsiTheme="minorEastAsia"/>
          <w:sz w:val="21"/>
          <w:szCs w:val="21"/>
          <w:lang w:val="en-US" w:eastAsia="zh-CN"/>
        </w:rPr>
        <w:t>.</w:t>
      </w:r>
      <w:r>
        <w:rPr>
          <w:rFonts w:hint="eastAsia" w:asciiTheme="minorEastAsia" w:hAnsiTheme="minorEastAsia"/>
          <w:sz w:val="21"/>
          <w:szCs w:val="21"/>
        </w:rPr>
        <w:t>人机交互反馈时间不高于0.02秒。</w:t>
      </w:r>
    </w:p>
    <w:p>
      <w:pPr>
        <w:rPr>
          <w:rFonts w:hint="eastAsia"/>
          <w:sz w:val="20"/>
          <w:szCs w:val="22"/>
          <w:lang w:val="en-US" w:eastAsia="zh-CN"/>
        </w:rPr>
      </w:pP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二、软件内容：</w:t>
      </w:r>
    </w:p>
    <w:p>
      <w:pPr>
        <w:spacing w:line="360" w:lineRule="auto"/>
        <w:rPr>
          <w:b/>
          <w:sz w:val="21"/>
          <w:szCs w:val="21"/>
        </w:rPr>
      </w:pPr>
      <w:r>
        <w:rPr>
          <w:rFonts w:hint="eastAsia"/>
          <w:b/>
          <w:sz w:val="21"/>
          <w:szCs w:val="21"/>
        </w:rPr>
        <w:t>1</w:t>
      </w:r>
      <w:r>
        <w:rPr>
          <w:rFonts w:hint="eastAsia"/>
          <w:b/>
          <w:sz w:val="21"/>
          <w:szCs w:val="21"/>
          <w:lang w:eastAsia="zh-CN"/>
        </w:rPr>
        <w:t>、</w:t>
      </w:r>
      <w:r>
        <w:rPr>
          <w:rFonts w:hint="eastAsia"/>
          <w:b/>
          <w:sz w:val="21"/>
          <w:szCs w:val="21"/>
        </w:rPr>
        <w:t>TLC纯化虚拟仿真教学软件</w:t>
      </w:r>
    </w:p>
    <w:p>
      <w:pPr>
        <w:spacing w:line="360" w:lineRule="auto"/>
        <w:rPr>
          <w:color w:val="auto"/>
          <w:sz w:val="21"/>
          <w:szCs w:val="21"/>
        </w:rPr>
      </w:pPr>
      <w:r>
        <w:rPr>
          <w:rFonts w:hint="eastAsia"/>
          <w:color w:val="auto"/>
          <w:sz w:val="21"/>
          <w:szCs w:val="21"/>
        </w:rPr>
        <w:t>实验原理：</w:t>
      </w:r>
    </w:p>
    <w:p>
      <w:pPr>
        <w:spacing w:line="360" w:lineRule="auto"/>
        <w:ind w:firstLine="420"/>
        <w:rPr>
          <w:color w:val="auto"/>
          <w:sz w:val="21"/>
          <w:szCs w:val="21"/>
        </w:rPr>
      </w:pPr>
      <w:r>
        <w:rPr>
          <w:rFonts w:hint="eastAsia"/>
          <w:color w:val="auto"/>
          <w:sz w:val="21"/>
          <w:szCs w:val="21"/>
        </w:rPr>
        <w:t>把吸附剂铺在玻璃板上，将样品点在其上，然后用溶剂展开，使样品中各个组分相互分离的方法。这是一种简便、快捷、微量的分离分析技术，其应用范围非常广泛。</w:t>
      </w:r>
    </w:p>
    <w:p>
      <w:pPr>
        <w:spacing w:line="360" w:lineRule="auto"/>
        <w:rPr>
          <w:color w:val="auto"/>
          <w:sz w:val="21"/>
          <w:szCs w:val="21"/>
        </w:rPr>
      </w:pPr>
      <w:r>
        <w:rPr>
          <w:rFonts w:hint="eastAsia"/>
          <w:color w:val="auto"/>
          <w:sz w:val="21"/>
          <w:szCs w:val="21"/>
        </w:rPr>
        <w:t>实验目的：</w:t>
      </w:r>
    </w:p>
    <w:p>
      <w:pPr>
        <w:spacing w:line="360" w:lineRule="auto"/>
        <w:ind w:firstLine="420"/>
        <w:rPr>
          <w:color w:val="auto"/>
          <w:sz w:val="21"/>
          <w:szCs w:val="21"/>
        </w:rPr>
      </w:pPr>
      <w:r>
        <w:rPr>
          <w:rFonts w:hint="eastAsia"/>
          <w:color w:val="auto"/>
          <w:sz w:val="21"/>
          <w:szCs w:val="21"/>
        </w:rPr>
        <w:t>了解TLC纯化的用途，掌握TLC纯化的基本原理和操作步骤，利用TLC纯化原理从粗品中分离出纯品。</w:t>
      </w:r>
    </w:p>
    <w:p>
      <w:pPr>
        <w:spacing w:line="360" w:lineRule="auto"/>
        <w:rPr>
          <w:color w:val="auto"/>
          <w:sz w:val="21"/>
          <w:szCs w:val="21"/>
        </w:rPr>
      </w:pPr>
      <w:r>
        <w:rPr>
          <w:rFonts w:hint="eastAsia"/>
          <w:color w:val="auto"/>
          <w:sz w:val="21"/>
          <w:szCs w:val="21"/>
        </w:rPr>
        <w:t>实验步骤：</w:t>
      </w:r>
    </w:p>
    <w:p>
      <w:pPr>
        <w:autoSpaceDE w:val="0"/>
        <w:autoSpaceDN w:val="0"/>
        <w:adjustRightInd w:val="0"/>
        <w:spacing w:line="360" w:lineRule="auto"/>
        <w:jc w:val="left"/>
        <w:rPr>
          <w:sz w:val="21"/>
          <w:szCs w:val="21"/>
        </w:rPr>
      </w:pPr>
      <w:r>
        <w:rPr>
          <w:sz w:val="21"/>
          <w:szCs w:val="21"/>
        </w:rPr>
        <w:t>1</w:t>
      </w:r>
      <w:r>
        <w:rPr>
          <w:rFonts w:hint="eastAsia"/>
          <w:sz w:val="21"/>
          <w:szCs w:val="21"/>
          <w:lang w:val="en-US" w:eastAsia="zh-CN"/>
        </w:rPr>
        <w:t>.</w:t>
      </w:r>
      <w:r>
        <w:rPr>
          <w:sz w:val="21"/>
          <w:szCs w:val="21"/>
        </w:rPr>
        <w:t>撕开硅胶板外包装，在两个硅胶板上各画两条色带</w:t>
      </w:r>
    </w:p>
    <w:p>
      <w:pPr>
        <w:autoSpaceDE w:val="0"/>
        <w:autoSpaceDN w:val="0"/>
        <w:adjustRightInd w:val="0"/>
        <w:spacing w:line="360" w:lineRule="auto"/>
        <w:jc w:val="left"/>
        <w:rPr>
          <w:sz w:val="21"/>
          <w:szCs w:val="21"/>
        </w:rPr>
      </w:pPr>
      <w:r>
        <w:rPr>
          <w:sz w:val="21"/>
          <w:szCs w:val="21"/>
        </w:rPr>
        <w:t>2</w:t>
      </w:r>
      <w:r>
        <w:rPr>
          <w:rFonts w:hint="eastAsia"/>
          <w:sz w:val="21"/>
          <w:szCs w:val="21"/>
          <w:lang w:val="en-US" w:eastAsia="zh-CN"/>
        </w:rPr>
        <w:t>.</w:t>
      </w:r>
      <w:r>
        <w:rPr>
          <w:sz w:val="21"/>
          <w:szCs w:val="21"/>
        </w:rPr>
        <w:t>将粗品均匀涂抹在两条色带中间，并用电吹风吹干</w:t>
      </w:r>
    </w:p>
    <w:p>
      <w:pPr>
        <w:autoSpaceDE w:val="0"/>
        <w:autoSpaceDN w:val="0"/>
        <w:adjustRightInd w:val="0"/>
        <w:spacing w:line="360" w:lineRule="auto"/>
        <w:jc w:val="left"/>
        <w:rPr>
          <w:sz w:val="21"/>
          <w:szCs w:val="21"/>
        </w:rPr>
      </w:pPr>
      <w:r>
        <w:rPr>
          <w:rFonts w:hint="eastAsia"/>
          <w:sz w:val="21"/>
          <w:szCs w:val="21"/>
        </w:rPr>
        <w:t>交互设计：涂抹的样品的宽度由操作者进行设计，正确范围不超过</w:t>
      </w:r>
      <w:r>
        <w:rPr>
          <w:sz w:val="21"/>
          <w:szCs w:val="21"/>
        </w:rPr>
        <w:t>1cm</w:t>
      </w:r>
      <w:r>
        <w:rPr>
          <w:rFonts w:hint="eastAsia"/>
          <w:sz w:val="21"/>
          <w:szCs w:val="21"/>
        </w:rPr>
        <w:t>。设计扣分细则。</w:t>
      </w:r>
    </w:p>
    <w:p>
      <w:pPr>
        <w:autoSpaceDE w:val="0"/>
        <w:autoSpaceDN w:val="0"/>
        <w:adjustRightInd w:val="0"/>
        <w:spacing w:line="360" w:lineRule="auto"/>
        <w:jc w:val="left"/>
        <w:rPr>
          <w:sz w:val="21"/>
          <w:szCs w:val="21"/>
        </w:rPr>
      </w:pPr>
      <w:r>
        <w:rPr>
          <w:sz w:val="21"/>
          <w:szCs w:val="21"/>
        </w:rPr>
        <w:t>3</w:t>
      </w:r>
      <w:r>
        <w:rPr>
          <w:rFonts w:hint="eastAsia"/>
          <w:sz w:val="21"/>
          <w:szCs w:val="21"/>
          <w:lang w:val="en-US" w:eastAsia="zh-CN"/>
        </w:rPr>
        <w:t>.</w:t>
      </w:r>
      <w:r>
        <w:rPr>
          <w:sz w:val="21"/>
          <w:szCs w:val="21"/>
        </w:rPr>
        <w:t>打开紫外分析仪，将两个硅胶板用紫外灯照射，观察色带颜色</w:t>
      </w:r>
    </w:p>
    <w:p>
      <w:pPr>
        <w:autoSpaceDE w:val="0"/>
        <w:autoSpaceDN w:val="0"/>
        <w:adjustRightInd w:val="0"/>
        <w:spacing w:line="360" w:lineRule="auto"/>
        <w:jc w:val="left"/>
        <w:rPr>
          <w:sz w:val="21"/>
          <w:szCs w:val="21"/>
        </w:rPr>
      </w:pPr>
      <w:r>
        <w:rPr>
          <w:sz w:val="21"/>
          <w:szCs w:val="21"/>
        </w:rPr>
        <w:t>4</w:t>
      </w:r>
      <w:r>
        <w:rPr>
          <w:rFonts w:hint="eastAsia"/>
          <w:sz w:val="21"/>
          <w:szCs w:val="21"/>
          <w:lang w:val="en-US" w:eastAsia="zh-CN"/>
        </w:rPr>
        <w:t>.</w:t>
      </w:r>
      <w:r>
        <w:rPr>
          <w:sz w:val="21"/>
          <w:szCs w:val="21"/>
        </w:rPr>
        <w:t>配置爬板用的展开剂，用量筒量取乙酸乙酯和石油醚，倒入展缸混合均匀</w:t>
      </w:r>
    </w:p>
    <w:p>
      <w:pPr>
        <w:autoSpaceDE w:val="0"/>
        <w:autoSpaceDN w:val="0"/>
        <w:adjustRightInd w:val="0"/>
        <w:spacing w:line="360" w:lineRule="auto"/>
        <w:jc w:val="left"/>
        <w:rPr>
          <w:sz w:val="21"/>
          <w:szCs w:val="21"/>
        </w:rPr>
      </w:pPr>
      <w:r>
        <w:rPr>
          <w:rFonts w:hint="eastAsia"/>
          <w:sz w:val="21"/>
          <w:szCs w:val="21"/>
        </w:rPr>
        <w:t>交互设计：操作者控制加入展开剂的体积，模拟现实展开剂在展缸内的高度随选择的溶剂体积的变化。</w:t>
      </w:r>
    </w:p>
    <w:p>
      <w:pPr>
        <w:autoSpaceDE w:val="0"/>
        <w:autoSpaceDN w:val="0"/>
        <w:adjustRightInd w:val="0"/>
        <w:spacing w:line="360" w:lineRule="auto"/>
        <w:jc w:val="left"/>
        <w:rPr>
          <w:sz w:val="21"/>
          <w:szCs w:val="21"/>
        </w:rPr>
      </w:pPr>
      <w:r>
        <w:rPr>
          <w:sz w:val="21"/>
          <w:szCs w:val="21"/>
        </w:rPr>
        <w:t>5</w:t>
      </w:r>
      <w:r>
        <w:rPr>
          <w:rFonts w:hint="eastAsia"/>
          <w:sz w:val="21"/>
          <w:szCs w:val="21"/>
          <w:lang w:val="en-US" w:eastAsia="zh-CN"/>
        </w:rPr>
        <w:t>.</w:t>
      </w:r>
      <w:r>
        <w:rPr>
          <w:sz w:val="21"/>
          <w:szCs w:val="21"/>
        </w:rPr>
        <w:t>将硅胶板放入展缸，</w:t>
      </w:r>
      <w:r>
        <w:rPr>
          <w:rFonts w:hint="eastAsia"/>
          <w:sz w:val="21"/>
          <w:szCs w:val="21"/>
        </w:rPr>
        <w:t>板上样品在展开剂液面以上，展开剂沿板面</w:t>
      </w:r>
      <w:r>
        <w:rPr>
          <w:sz w:val="21"/>
          <w:szCs w:val="21"/>
        </w:rPr>
        <w:t>上升</w:t>
      </w:r>
      <w:r>
        <w:rPr>
          <w:rFonts w:hint="eastAsia"/>
          <w:sz w:val="21"/>
          <w:szCs w:val="21"/>
        </w:rPr>
        <w:t>，直至距离板面顶端约2厘米</w:t>
      </w:r>
    </w:p>
    <w:p>
      <w:pPr>
        <w:autoSpaceDE w:val="0"/>
        <w:autoSpaceDN w:val="0"/>
        <w:adjustRightInd w:val="0"/>
        <w:spacing w:line="360" w:lineRule="auto"/>
        <w:jc w:val="left"/>
        <w:rPr>
          <w:sz w:val="21"/>
          <w:szCs w:val="21"/>
        </w:rPr>
      </w:pPr>
      <w:r>
        <w:rPr>
          <w:rFonts w:hint="eastAsia"/>
          <w:sz w:val="21"/>
          <w:szCs w:val="21"/>
        </w:rPr>
        <w:t>交互设计： 与第4条关联，展开剂在展缸内的高度过高时，模拟显示样品被浸入液面以下，提示实验严重失误，扣关键分</w:t>
      </w:r>
    </w:p>
    <w:p>
      <w:pPr>
        <w:autoSpaceDE w:val="0"/>
        <w:autoSpaceDN w:val="0"/>
        <w:adjustRightInd w:val="0"/>
        <w:spacing w:line="360" w:lineRule="auto"/>
        <w:jc w:val="left"/>
        <w:rPr>
          <w:sz w:val="21"/>
          <w:szCs w:val="21"/>
        </w:rPr>
      </w:pPr>
      <w:r>
        <w:rPr>
          <w:sz w:val="21"/>
          <w:szCs w:val="21"/>
        </w:rPr>
        <w:t>6</w:t>
      </w:r>
      <w:r>
        <w:rPr>
          <w:rFonts w:hint="eastAsia"/>
          <w:sz w:val="21"/>
          <w:szCs w:val="21"/>
          <w:lang w:val="en-US" w:eastAsia="zh-CN"/>
        </w:rPr>
        <w:t>.</w:t>
      </w:r>
      <w:r>
        <w:rPr>
          <w:sz w:val="21"/>
          <w:szCs w:val="21"/>
        </w:rPr>
        <w:t>取出大板，用吹风机将吸附的溶剂吹干</w:t>
      </w:r>
    </w:p>
    <w:p>
      <w:pPr>
        <w:autoSpaceDE w:val="0"/>
        <w:autoSpaceDN w:val="0"/>
        <w:adjustRightInd w:val="0"/>
        <w:spacing w:line="360" w:lineRule="auto"/>
        <w:jc w:val="left"/>
        <w:rPr>
          <w:sz w:val="21"/>
          <w:szCs w:val="21"/>
        </w:rPr>
      </w:pPr>
      <w:r>
        <w:rPr>
          <w:sz w:val="21"/>
          <w:szCs w:val="21"/>
        </w:rPr>
        <w:t>7</w:t>
      </w:r>
      <w:r>
        <w:rPr>
          <w:rFonts w:hint="eastAsia"/>
          <w:sz w:val="21"/>
          <w:szCs w:val="21"/>
          <w:lang w:val="en-US" w:eastAsia="zh-CN"/>
        </w:rPr>
        <w:t>.</w:t>
      </w:r>
      <w:r>
        <w:rPr>
          <w:sz w:val="21"/>
          <w:szCs w:val="21"/>
        </w:rPr>
        <w:t>打开紫外分析仪，将两个硅胶板用紫外灯照射，观察爬板后色带的位置,并用铅笔做标记</w:t>
      </w:r>
    </w:p>
    <w:p>
      <w:pPr>
        <w:autoSpaceDE w:val="0"/>
        <w:autoSpaceDN w:val="0"/>
        <w:adjustRightInd w:val="0"/>
        <w:spacing w:line="360" w:lineRule="auto"/>
        <w:jc w:val="left"/>
        <w:rPr>
          <w:sz w:val="21"/>
          <w:szCs w:val="21"/>
        </w:rPr>
      </w:pPr>
      <w:r>
        <w:rPr>
          <w:sz w:val="21"/>
          <w:szCs w:val="21"/>
        </w:rPr>
        <w:t>8</w:t>
      </w:r>
      <w:r>
        <w:rPr>
          <w:rFonts w:hint="eastAsia"/>
          <w:sz w:val="21"/>
          <w:szCs w:val="21"/>
          <w:lang w:val="en-US" w:eastAsia="zh-CN"/>
        </w:rPr>
        <w:t>.</w:t>
      </w:r>
      <w:r>
        <w:rPr>
          <w:sz w:val="21"/>
          <w:szCs w:val="21"/>
        </w:rPr>
        <w:t>开始刮板，用刮刀将产物色带刮下来</w:t>
      </w:r>
    </w:p>
    <w:p>
      <w:pPr>
        <w:autoSpaceDE w:val="0"/>
        <w:autoSpaceDN w:val="0"/>
        <w:adjustRightInd w:val="0"/>
        <w:spacing w:line="360" w:lineRule="auto"/>
        <w:jc w:val="left"/>
        <w:rPr>
          <w:sz w:val="21"/>
          <w:szCs w:val="21"/>
        </w:rPr>
      </w:pPr>
      <w:r>
        <w:rPr>
          <w:sz w:val="21"/>
          <w:szCs w:val="21"/>
        </w:rPr>
        <w:t>9</w:t>
      </w:r>
      <w:r>
        <w:rPr>
          <w:rFonts w:hint="eastAsia"/>
          <w:sz w:val="21"/>
          <w:szCs w:val="21"/>
          <w:lang w:val="en-US" w:eastAsia="zh-CN"/>
        </w:rPr>
        <w:t>.</w:t>
      </w:r>
      <w:r>
        <w:rPr>
          <w:sz w:val="21"/>
          <w:szCs w:val="21"/>
        </w:rPr>
        <w:t>将硅胶颗粒碾碎，倒入</w:t>
      </w:r>
      <w:r>
        <w:rPr>
          <w:rFonts w:hint="eastAsia"/>
          <w:sz w:val="21"/>
          <w:szCs w:val="21"/>
        </w:rPr>
        <w:t>锥形瓶</w:t>
      </w:r>
      <w:r>
        <w:rPr>
          <w:sz w:val="21"/>
          <w:szCs w:val="21"/>
        </w:rPr>
        <w:t>中，并用乙酸乙酯将产物洗脱出来</w:t>
      </w:r>
    </w:p>
    <w:p>
      <w:pPr>
        <w:autoSpaceDE w:val="0"/>
        <w:autoSpaceDN w:val="0"/>
        <w:adjustRightInd w:val="0"/>
        <w:spacing w:line="360" w:lineRule="auto"/>
        <w:jc w:val="left"/>
        <w:rPr>
          <w:sz w:val="21"/>
          <w:szCs w:val="21"/>
        </w:rPr>
      </w:pPr>
      <w:r>
        <w:rPr>
          <w:sz w:val="21"/>
          <w:szCs w:val="21"/>
        </w:rPr>
        <w:t>10</w:t>
      </w:r>
      <w:r>
        <w:rPr>
          <w:rFonts w:hint="eastAsia"/>
          <w:sz w:val="21"/>
          <w:szCs w:val="21"/>
          <w:lang w:val="en-US" w:eastAsia="zh-CN"/>
        </w:rPr>
        <w:t>.</w:t>
      </w:r>
      <w:r>
        <w:rPr>
          <w:sz w:val="21"/>
          <w:szCs w:val="21"/>
        </w:rPr>
        <w:t>放入磁力搅拌子，并用锡纸将瓶口封好，用磁力搅拌机搅拌一段时间</w:t>
      </w:r>
    </w:p>
    <w:p>
      <w:pPr>
        <w:autoSpaceDE w:val="0"/>
        <w:autoSpaceDN w:val="0"/>
        <w:adjustRightInd w:val="0"/>
        <w:spacing w:line="360" w:lineRule="auto"/>
        <w:jc w:val="left"/>
        <w:rPr>
          <w:sz w:val="21"/>
          <w:szCs w:val="21"/>
        </w:rPr>
      </w:pPr>
      <w:r>
        <w:rPr>
          <w:sz w:val="21"/>
          <w:szCs w:val="21"/>
        </w:rPr>
        <w:t>11</w:t>
      </w:r>
      <w:r>
        <w:rPr>
          <w:rFonts w:hint="eastAsia"/>
          <w:sz w:val="21"/>
          <w:szCs w:val="21"/>
          <w:lang w:val="en-US" w:eastAsia="zh-CN"/>
        </w:rPr>
        <w:t>.</w:t>
      </w:r>
      <w:r>
        <w:rPr>
          <w:sz w:val="21"/>
          <w:szCs w:val="21"/>
        </w:rPr>
        <w:t>关闭搅拌，取出</w:t>
      </w:r>
      <w:r>
        <w:rPr>
          <w:rFonts w:hint="eastAsia"/>
          <w:sz w:val="21"/>
          <w:szCs w:val="21"/>
        </w:rPr>
        <w:t>锥形瓶</w:t>
      </w:r>
      <w:r>
        <w:rPr>
          <w:sz w:val="21"/>
          <w:szCs w:val="21"/>
        </w:rPr>
        <w:t>，准备一个无孔漏斗</w:t>
      </w:r>
      <w:r>
        <w:rPr>
          <w:rFonts w:hint="eastAsia"/>
          <w:sz w:val="21"/>
          <w:szCs w:val="21"/>
        </w:rPr>
        <w:t>（砂芯减压过滤漏斗）</w:t>
      </w:r>
      <w:r>
        <w:rPr>
          <w:sz w:val="21"/>
          <w:szCs w:val="21"/>
        </w:rPr>
        <w:t>和圆底烧瓶，并剪取一块大小合适的滤纸放入漏斗中</w:t>
      </w:r>
    </w:p>
    <w:p>
      <w:pPr>
        <w:autoSpaceDE w:val="0"/>
        <w:autoSpaceDN w:val="0"/>
        <w:adjustRightInd w:val="0"/>
        <w:spacing w:line="360" w:lineRule="auto"/>
        <w:jc w:val="left"/>
        <w:rPr>
          <w:sz w:val="21"/>
          <w:szCs w:val="21"/>
        </w:rPr>
      </w:pPr>
      <w:r>
        <w:rPr>
          <w:sz w:val="21"/>
          <w:szCs w:val="21"/>
        </w:rPr>
        <w:t>12</w:t>
      </w:r>
      <w:r>
        <w:rPr>
          <w:rFonts w:hint="eastAsia"/>
          <w:sz w:val="21"/>
          <w:szCs w:val="21"/>
          <w:lang w:val="en-US" w:eastAsia="zh-CN"/>
        </w:rPr>
        <w:t>.</w:t>
      </w:r>
      <w:r>
        <w:rPr>
          <w:sz w:val="21"/>
          <w:szCs w:val="21"/>
        </w:rPr>
        <w:t>打开真空泵，</w:t>
      </w:r>
      <w:r>
        <w:rPr>
          <w:rFonts w:hint="eastAsia"/>
          <w:sz w:val="21"/>
          <w:szCs w:val="21"/>
        </w:rPr>
        <w:t>关闭安全瓶活塞，</w:t>
      </w:r>
      <w:r>
        <w:rPr>
          <w:sz w:val="21"/>
          <w:szCs w:val="21"/>
        </w:rPr>
        <w:t>先用溶剂润湿一下漏斗和滤纸，然后将溶剂倒入，过滤掉硅胶，产物就在溶剂里</w:t>
      </w:r>
    </w:p>
    <w:p>
      <w:pPr>
        <w:autoSpaceDE w:val="0"/>
        <w:autoSpaceDN w:val="0"/>
        <w:adjustRightInd w:val="0"/>
        <w:spacing w:line="360" w:lineRule="auto"/>
        <w:jc w:val="left"/>
        <w:rPr>
          <w:sz w:val="21"/>
          <w:szCs w:val="21"/>
        </w:rPr>
      </w:pPr>
      <w:r>
        <w:rPr>
          <w:sz w:val="21"/>
          <w:szCs w:val="21"/>
        </w:rPr>
        <w:t>13</w:t>
      </w:r>
      <w:r>
        <w:rPr>
          <w:rFonts w:hint="eastAsia"/>
          <w:sz w:val="21"/>
          <w:szCs w:val="21"/>
          <w:lang w:val="en-US" w:eastAsia="zh-CN"/>
        </w:rPr>
        <w:t>.</w:t>
      </w:r>
      <w:r>
        <w:rPr>
          <w:rFonts w:hint="eastAsia"/>
          <w:sz w:val="21"/>
          <w:szCs w:val="21"/>
        </w:rPr>
        <w:t>打开安全瓶活塞，</w:t>
      </w:r>
      <w:r>
        <w:rPr>
          <w:sz w:val="21"/>
          <w:szCs w:val="21"/>
        </w:rPr>
        <w:t>关闭真空泵</w:t>
      </w:r>
      <w:r>
        <w:rPr>
          <w:rFonts w:hint="eastAsia"/>
          <w:sz w:val="21"/>
          <w:szCs w:val="21"/>
        </w:rPr>
        <w:t>，</w:t>
      </w:r>
      <w:r>
        <w:rPr>
          <w:sz w:val="21"/>
          <w:szCs w:val="21"/>
        </w:rPr>
        <w:t>用点样针进行点样</w:t>
      </w:r>
      <w:r>
        <w:rPr>
          <w:rFonts w:hint="eastAsia"/>
          <w:sz w:val="21"/>
          <w:szCs w:val="21"/>
        </w:rPr>
        <w:t>，</w:t>
      </w:r>
      <w:r>
        <w:rPr>
          <w:sz w:val="21"/>
          <w:szCs w:val="21"/>
        </w:rPr>
        <w:t>分别取过滤后的产物和爬板前的粗品</w:t>
      </w:r>
      <w:r>
        <w:rPr>
          <w:rFonts w:hint="eastAsia"/>
          <w:sz w:val="21"/>
          <w:szCs w:val="21"/>
        </w:rPr>
        <w:t>在同一个点样板上进行点样</w:t>
      </w:r>
    </w:p>
    <w:p>
      <w:pPr>
        <w:spacing w:line="360" w:lineRule="auto"/>
        <w:rPr>
          <w:sz w:val="21"/>
          <w:szCs w:val="21"/>
        </w:rPr>
      </w:pPr>
      <w:r>
        <w:rPr>
          <w:sz w:val="21"/>
          <w:szCs w:val="21"/>
        </w:rPr>
        <w:t>14</w:t>
      </w:r>
      <w:r>
        <w:rPr>
          <w:rFonts w:hint="eastAsia"/>
          <w:sz w:val="21"/>
          <w:szCs w:val="21"/>
          <w:lang w:val="en-US" w:eastAsia="zh-CN"/>
        </w:rPr>
        <w:t>.</w:t>
      </w:r>
      <w:r>
        <w:rPr>
          <w:sz w:val="21"/>
          <w:szCs w:val="21"/>
        </w:rPr>
        <w:t>将点样板进行爬板，在紫外灯下照射观察</w:t>
      </w:r>
      <w:r>
        <w:rPr>
          <w:rFonts w:hint="eastAsia"/>
          <w:sz w:val="21"/>
          <w:szCs w:val="21"/>
        </w:rPr>
        <w:t>样品纯化情况</w:t>
      </w:r>
    </w:p>
    <w:p>
      <w:pPr>
        <w:spacing w:line="360" w:lineRule="auto"/>
        <w:rPr>
          <w:b/>
          <w:sz w:val="21"/>
          <w:szCs w:val="21"/>
        </w:rPr>
      </w:pPr>
      <w:r>
        <w:rPr>
          <w:rFonts w:hint="eastAsia"/>
          <w:b/>
          <w:sz w:val="21"/>
          <w:szCs w:val="21"/>
        </w:rPr>
        <w:t>2</w:t>
      </w:r>
      <w:r>
        <w:rPr>
          <w:rFonts w:hint="eastAsia"/>
          <w:b/>
          <w:sz w:val="21"/>
          <w:szCs w:val="21"/>
          <w:lang w:eastAsia="zh-CN"/>
        </w:rPr>
        <w:t>、</w:t>
      </w:r>
      <w:r>
        <w:rPr>
          <w:rFonts w:hint="eastAsia"/>
          <w:b/>
          <w:sz w:val="21"/>
          <w:szCs w:val="21"/>
        </w:rPr>
        <w:t>常压蒸馏虚拟仿真教学软件</w:t>
      </w:r>
    </w:p>
    <w:p>
      <w:pPr>
        <w:spacing w:line="360" w:lineRule="auto"/>
        <w:rPr>
          <w:color w:val="auto"/>
          <w:sz w:val="21"/>
          <w:szCs w:val="21"/>
        </w:rPr>
      </w:pPr>
      <w:r>
        <w:rPr>
          <w:rFonts w:hint="eastAsia"/>
          <w:color w:val="auto"/>
          <w:sz w:val="21"/>
          <w:szCs w:val="21"/>
        </w:rPr>
        <w:t>实验原理：</w:t>
      </w:r>
    </w:p>
    <w:p>
      <w:pPr>
        <w:spacing w:line="360" w:lineRule="auto"/>
        <w:ind w:firstLine="420"/>
        <w:rPr>
          <w:color w:val="auto"/>
          <w:sz w:val="21"/>
          <w:szCs w:val="21"/>
        </w:rPr>
      </w:pPr>
      <w:r>
        <w:rPr>
          <w:color w:val="auto"/>
          <w:sz w:val="21"/>
          <w:szCs w:val="21"/>
        </w:rPr>
        <w:t>蒸馏是将液体有机物加热到沸腾状态</w:t>
      </w:r>
      <w:r>
        <w:rPr>
          <w:rFonts w:hint="eastAsia"/>
          <w:color w:val="auto"/>
          <w:sz w:val="21"/>
          <w:szCs w:val="21"/>
        </w:rPr>
        <w:t>，</w:t>
      </w:r>
      <w:r>
        <w:rPr>
          <w:color w:val="auto"/>
          <w:sz w:val="21"/>
          <w:szCs w:val="21"/>
        </w:rPr>
        <w:t>使液体变成蒸汽</w:t>
      </w:r>
      <w:r>
        <w:rPr>
          <w:rFonts w:hint="eastAsia"/>
          <w:color w:val="auto"/>
          <w:sz w:val="21"/>
          <w:szCs w:val="21"/>
        </w:rPr>
        <w:t>，</w:t>
      </w:r>
      <w:r>
        <w:rPr>
          <w:color w:val="auto"/>
          <w:sz w:val="21"/>
          <w:szCs w:val="21"/>
        </w:rPr>
        <w:t>又将蒸汽冷凝为液体的过程。蒸馏是分离和提纯液态有机化合物最常用的重要方法之一。应用这一方法，不仅可以把挥发性物质与不挥发性物质分离，还可以分离沸点差大于30</w:t>
      </w:r>
      <w:r>
        <w:rPr>
          <w:rFonts w:hint="eastAsia" w:ascii="宋体" w:hAnsi="宋体" w:eastAsia="宋体" w:cs="宋体"/>
          <w:color w:val="auto"/>
          <w:sz w:val="21"/>
          <w:szCs w:val="21"/>
        </w:rPr>
        <w:t>℃</w:t>
      </w:r>
      <w:r>
        <w:rPr>
          <w:color w:val="auto"/>
          <w:sz w:val="21"/>
          <w:szCs w:val="21"/>
        </w:rPr>
        <w:t>的液体混合物。</w:t>
      </w:r>
    </w:p>
    <w:p>
      <w:pPr>
        <w:spacing w:line="360" w:lineRule="auto"/>
        <w:rPr>
          <w:color w:val="auto"/>
          <w:sz w:val="21"/>
          <w:szCs w:val="21"/>
        </w:rPr>
      </w:pPr>
      <w:r>
        <w:rPr>
          <w:rFonts w:hint="eastAsia"/>
          <w:color w:val="auto"/>
          <w:sz w:val="21"/>
          <w:szCs w:val="21"/>
        </w:rPr>
        <w:t>实验目的：</w:t>
      </w:r>
    </w:p>
    <w:p>
      <w:pPr>
        <w:spacing w:line="360" w:lineRule="auto"/>
        <w:ind w:firstLine="420"/>
        <w:rPr>
          <w:color w:val="auto"/>
          <w:sz w:val="21"/>
          <w:szCs w:val="21"/>
        </w:rPr>
      </w:pPr>
      <w:r>
        <w:rPr>
          <w:color w:val="auto"/>
          <w:sz w:val="21"/>
          <w:szCs w:val="21"/>
        </w:rPr>
        <w:t>了解常压蒸馏的用途，掌握常压蒸馏的基本原理和操作。学习安装仪器的基本方法。</w:t>
      </w:r>
    </w:p>
    <w:p>
      <w:pPr>
        <w:spacing w:line="360" w:lineRule="auto"/>
        <w:rPr>
          <w:color w:val="auto"/>
          <w:sz w:val="21"/>
          <w:szCs w:val="21"/>
        </w:rPr>
      </w:pPr>
      <w:r>
        <w:rPr>
          <w:rFonts w:hint="eastAsia"/>
          <w:color w:val="auto"/>
          <w:sz w:val="21"/>
          <w:szCs w:val="21"/>
        </w:rPr>
        <w:t>实验步骤：</w:t>
      </w:r>
    </w:p>
    <w:p>
      <w:pPr>
        <w:autoSpaceDE w:val="0"/>
        <w:autoSpaceDN w:val="0"/>
        <w:adjustRightInd w:val="0"/>
        <w:spacing w:line="360" w:lineRule="auto"/>
        <w:jc w:val="left"/>
        <w:rPr>
          <w:color w:val="auto"/>
          <w:sz w:val="21"/>
          <w:szCs w:val="21"/>
        </w:rPr>
      </w:pPr>
      <w:r>
        <w:rPr>
          <w:color w:val="auto"/>
          <w:sz w:val="21"/>
          <w:szCs w:val="21"/>
        </w:rPr>
        <w:t>1</w:t>
      </w:r>
      <w:r>
        <w:rPr>
          <w:rFonts w:hint="eastAsia"/>
          <w:color w:val="auto"/>
          <w:sz w:val="21"/>
          <w:szCs w:val="21"/>
          <w:lang w:val="en-US" w:eastAsia="zh-CN"/>
        </w:rPr>
        <w:t>.</w:t>
      </w:r>
      <w:r>
        <w:rPr>
          <w:color w:val="auto"/>
          <w:sz w:val="21"/>
          <w:szCs w:val="21"/>
        </w:rPr>
        <w:t>搭建装置，</w:t>
      </w:r>
      <w:r>
        <w:rPr>
          <w:rFonts w:hint="eastAsia"/>
          <w:color w:val="auto"/>
          <w:sz w:val="21"/>
          <w:szCs w:val="21"/>
        </w:rPr>
        <w:t>从左到右，</w:t>
      </w:r>
      <w:r>
        <w:rPr>
          <w:color w:val="auto"/>
          <w:sz w:val="21"/>
          <w:szCs w:val="21"/>
        </w:rPr>
        <w:t>从下向上依次安装。首先需要</w:t>
      </w:r>
      <w:r>
        <w:rPr>
          <w:rFonts w:hint="eastAsia"/>
          <w:color w:val="auto"/>
          <w:sz w:val="21"/>
          <w:szCs w:val="21"/>
        </w:rPr>
        <w:t>根据热源高度，确定烧瓶位置，</w:t>
      </w:r>
      <w:r>
        <w:rPr>
          <w:color w:val="auto"/>
          <w:sz w:val="21"/>
          <w:szCs w:val="21"/>
        </w:rPr>
        <w:t>安装蒸馏头</w:t>
      </w:r>
    </w:p>
    <w:p>
      <w:pPr>
        <w:tabs>
          <w:tab w:val="left" w:pos="6670"/>
        </w:tabs>
        <w:autoSpaceDE w:val="0"/>
        <w:autoSpaceDN w:val="0"/>
        <w:adjustRightInd w:val="0"/>
        <w:spacing w:line="360" w:lineRule="auto"/>
        <w:jc w:val="left"/>
        <w:rPr>
          <w:color w:val="auto"/>
          <w:sz w:val="21"/>
          <w:szCs w:val="21"/>
        </w:rPr>
      </w:pPr>
      <w:r>
        <w:rPr>
          <w:rFonts w:hint="eastAsia"/>
          <w:color w:val="auto"/>
          <w:sz w:val="21"/>
          <w:szCs w:val="21"/>
        </w:rPr>
        <w:t>交互设计：操作者选取热源，选择明火为失误操作。设计扣分细则。</w:t>
      </w:r>
      <w:r>
        <w:rPr>
          <w:color w:val="auto"/>
          <w:sz w:val="21"/>
          <w:szCs w:val="21"/>
        </w:rPr>
        <w:tab/>
      </w:r>
    </w:p>
    <w:p>
      <w:pPr>
        <w:autoSpaceDE w:val="0"/>
        <w:autoSpaceDN w:val="0"/>
        <w:adjustRightInd w:val="0"/>
        <w:spacing w:line="360" w:lineRule="auto"/>
        <w:jc w:val="left"/>
        <w:rPr>
          <w:color w:val="auto"/>
          <w:sz w:val="21"/>
          <w:szCs w:val="21"/>
        </w:rPr>
      </w:pPr>
      <w:r>
        <w:rPr>
          <w:color w:val="auto"/>
          <w:sz w:val="21"/>
          <w:szCs w:val="21"/>
        </w:rPr>
        <w:t>2</w:t>
      </w:r>
      <w:r>
        <w:rPr>
          <w:rFonts w:hint="eastAsia"/>
          <w:color w:val="auto"/>
          <w:sz w:val="21"/>
          <w:szCs w:val="21"/>
          <w:lang w:val="en-US" w:eastAsia="zh-CN"/>
        </w:rPr>
        <w:t>.</w:t>
      </w:r>
      <w:r>
        <w:rPr>
          <w:color w:val="auto"/>
          <w:sz w:val="21"/>
          <w:szCs w:val="21"/>
        </w:rPr>
        <w:t>安装温度计</w:t>
      </w:r>
      <w:r>
        <w:rPr>
          <w:rFonts w:hint="eastAsia"/>
          <w:color w:val="auto"/>
          <w:sz w:val="21"/>
          <w:szCs w:val="21"/>
        </w:rPr>
        <w:t>，调整温度计水银球位置（温度计水银球的上端要与蒸馏头支管下端相平齐）</w:t>
      </w:r>
    </w:p>
    <w:p>
      <w:pPr>
        <w:autoSpaceDE w:val="0"/>
        <w:autoSpaceDN w:val="0"/>
        <w:adjustRightInd w:val="0"/>
        <w:spacing w:line="360" w:lineRule="auto"/>
        <w:jc w:val="left"/>
        <w:rPr>
          <w:color w:val="auto"/>
          <w:sz w:val="21"/>
          <w:szCs w:val="21"/>
        </w:rPr>
      </w:pPr>
      <w:r>
        <w:rPr>
          <w:rFonts w:hint="eastAsia"/>
          <w:color w:val="auto"/>
          <w:sz w:val="21"/>
          <w:szCs w:val="21"/>
        </w:rPr>
        <w:t>交互设计：操作者决定水银球位置。错误的提示扣关键分。</w:t>
      </w:r>
    </w:p>
    <w:p>
      <w:pPr>
        <w:autoSpaceDE w:val="0"/>
        <w:autoSpaceDN w:val="0"/>
        <w:adjustRightInd w:val="0"/>
        <w:spacing w:line="360" w:lineRule="auto"/>
        <w:jc w:val="left"/>
        <w:rPr>
          <w:color w:val="auto"/>
          <w:sz w:val="21"/>
          <w:szCs w:val="21"/>
        </w:rPr>
      </w:pPr>
      <w:r>
        <w:rPr>
          <w:color w:val="auto"/>
          <w:sz w:val="21"/>
          <w:szCs w:val="21"/>
        </w:rPr>
        <w:t>3</w:t>
      </w:r>
      <w:r>
        <w:rPr>
          <w:rFonts w:hint="eastAsia"/>
          <w:color w:val="auto"/>
          <w:sz w:val="21"/>
          <w:szCs w:val="21"/>
          <w:lang w:val="en-US" w:eastAsia="zh-CN"/>
        </w:rPr>
        <w:t>.</w:t>
      </w:r>
      <w:r>
        <w:rPr>
          <w:color w:val="auto"/>
          <w:sz w:val="21"/>
          <w:szCs w:val="21"/>
        </w:rPr>
        <w:t>移动支架并安装冷凝管</w:t>
      </w:r>
      <w:r>
        <w:rPr>
          <w:rFonts w:hint="eastAsia"/>
          <w:color w:val="auto"/>
          <w:sz w:val="21"/>
          <w:szCs w:val="21"/>
        </w:rPr>
        <w:t>（蒸馏液体沸点在140℃以下的选择直形冷凝管，高于140℃的则选择空气冷凝管）</w:t>
      </w:r>
    </w:p>
    <w:p>
      <w:pPr>
        <w:autoSpaceDE w:val="0"/>
        <w:autoSpaceDN w:val="0"/>
        <w:adjustRightInd w:val="0"/>
        <w:spacing w:line="360" w:lineRule="auto"/>
        <w:jc w:val="left"/>
        <w:rPr>
          <w:color w:val="auto"/>
          <w:sz w:val="21"/>
          <w:szCs w:val="21"/>
        </w:rPr>
      </w:pPr>
      <w:r>
        <w:rPr>
          <w:rFonts w:hint="eastAsia"/>
          <w:color w:val="auto"/>
          <w:sz w:val="21"/>
          <w:szCs w:val="21"/>
        </w:rPr>
        <w:t>交互设计：操作者根据带蒸馏液体，选取冷凝管种类，选取错误的系统提示扣分。</w:t>
      </w:r>
    </w:p>
    <w:p>
      <w:pPr>
        <w:autoSpaceDE w:val="0"/>
        <w:autoSpaceDN w:val="0"/>
        <w:adjustRightInd w:val="0"/>
        <w:spacing w:line="360" w:lineRule="auto"/>
        <w:jc w:val="left"/>
        <w:rPr>
          <w:color w:val="auto"/>
          <w:sz w:val="21"/>
          <w:szCs w:val="21"/>
        </w:rPr>
      </w:pPr>
      <w:r>
        <w:rPr>
          <w:color w:val="auto"/>
          <w:sz w:val="21"/>
          <w:szCs w:val="21"/>
        </w:rPr>
        <w:t>4</w:t>
      </w:r>
      <w:r>
        <w:rPr>
          <w:rFonts w:hint="eastAsia"/>
          <w:color w:val="auto"/>
          <w:sz w:val="21"/>
          <w:szCs w:val="21"/>
          <w:lang w:val="en-US" w:eastAsia="zh-CN"/>
        </w:rPr>
        <w:t>.</w:t>
      </w:r>
      <w:r>
        <w:rPr>
          <w:color w:val="auto"/>
          <w:sz w:val="21"/>
          <w:szCs w:val="21"/>
        </w:rPr>
        <w:t>用橡皮筋</w:t>
      </w:r>
      <w:r>
        <w:rPr>
          <w:rFonts w:hint="eastAsia"/>
          <w:color w:val="auto"/>
          <w:sz w:val="21"/>
          <w:szCs w:val="21"/>
        </w:rPr>
        <w:t>（卡口夹）</w:t>
      </w:r>
      <w:r>
        <w:rPr>
          <w:color w:val="auto"/>
          <w:sz w:val="21"/>
          <w:szCs w:val="21"/>
        </w:rPr>
        <w:t>固定住冷凝管</w:t>
      </w:r>
    </w:p>
    <w:p>
      <w:pPr>
        <w:autoSpaceDE w:val="0"/>
        <w:autoSpaceDN w:val="0"/>
        <w:adjustRightInd w:val="0"/>
        <w:spacing w:line="360" w:lineRule="auto"/>
        <w:jc w:val="left"/>
        <w:rPr>
          <w:color w:val="auto"/>
          <w:sz w:val="21"/>
          <w:szCs w:val="21"/>
        </w:rPr>
      </w:pPr>
      <w:r>
        <w:rPr>
          <w:color w:val="auto"/>
          <w:sz w:val="21"/>
          <w:szCs w:val="21"/>
        </w:rPr>
        <w:t>5</w:t>
      </w:r>
      <w:r>
        <w:rPr>
          <w:rFonts w:hint="eastAsia"/>
          <w:color w:val="auto"/>
          <w:sz w:val="21"/>
          <w:szCs w:val="21"/>
          <w:lang w:val="en-US" w:eastAsia="zh-CN"/>
        </w:rPr>
        <w:t>.</w:t>
      </w:r>
      <w:r>
        <w:rPr>
          <w:color w:val="auto"/>
          <w:sz w:val="21"/>
          <w:szCs w:val="21"/>
        </w:rPr>
        <w:t>安装尾接管</w:t>
      </w:r>
      <w:r>
        <w:rPr>
          <w:rFonts w:hint="eastAsia"/>
          <w:color w:val="auto"/>
          <w:sz w:val="21"/>
          <w:szCs w:val="21"/>
        </w:rPr>
        <w:t>，用卡口夹固定</w:t>
      </w:r>
    </w:p>
    <w:p>
      <w:pPr>
        <w:autoSpaceDE w:val="0"/>
        <w:autoSpaceDN w:val="0"/>
        <w:adjustRightInd w:val="0"/>
        <w:spacing w:line="360" w:lineRule="auto"/>
        <w:jc w:val="left"/>
        <w:rPr>
          <w:sz w:val="21"/>
          <w:szCs w:val="21"/>
        </w:rPr>
      </w:pPr>
      <w:r>
        <w:rPr>
          <w:sz w:val="21"/>
          <w:szCs w:val="21"/>
        </w:rPr>
        <w:t>6</w:t>
      </w:r>
      <w:r>
        <w:rPr>
          <w:rFonts w:hint="eastAsia"/>
          <w:sz w:val="21"/>
          <w:szCs w:val="21"/>
          <w:lang w:val="en-US" w:eastAsia="zh-CN"/>
        </w:rPr>
        <w:t>.</w:t>
      </w:r>
      <w:r>
        <w:rPr>
          <w:sz w:val="21"/>
          <w:szCs w:val="21"/>
        </w:rPr>
        <w:t>安装接收瓶</w:t>
      </w:r>
    </w:p>
    <w:p>
      <w:pPr>
        <w:autoSpaceDE w:val="0"/>
        <w:autoSpaceDN w:val="0"/>
        <w:adjustRightInd w:val="0"/>
        <w:spacing w:line="360" w:lineRule="auto"/>
        <w:jc w:val="left"/>
        <w:rPr>
          <w:sz w:val="21"/>
          <w:szCs w:val="21"/>
        </w:rPr>
      </w:pPr>
      <w:r>
        <w:rPr>
          <w:sz w:val="21"/>
          <w:szCs w:val="21"/>
        </w:rPr>
        <w:t>7</w:t>
      </w:r>
      <w:r>
        <w:rPr>
          <w:rFonts w:hint="eastAsia"/>
          <w:sz w:val="21"/>
          <w:szCs w:val="21"/>
          <w:lang w:val="en-US" w:eastAsia="zh-CN"/>
        </w:rPr>
        <w:t>.</w:t>
      </w:r>
      <w:r>
        <w:rPr>
          <w:sz w:val="21"/>
          <w:szCs w:val="21"/>
        </w:rPr>
        <w:t>在接收瓶底放置烧瓶托</w:t>
      </w:r>
    </w:p>
    <w:p>
      <w:pPr>
        <w:autoSpaceDE w:val="0"/>
        <w:autoSpaceDN w:val="0"/>
        <w:adjustRightInd w:val="0"/>
        <w:spacing w:line="360" w:lineRule="auto"/>
        <w:jc w:val="left"/>
        <w:rPr>
          <w:sz w:val="21"/>
          <w:szCs w:val="21"/>
        </w:rPr>
      </w:pPr>
      <w:r>
        <w:rPr>
          <w:sz w:val="21"/>
          <w:szCs w:val="21"/>
        </w:rPr>
        <w:t>8</w:t>
      </w:r>
      <w:r>
        <w:rPr>
          <w:rFonts w:hint="eastAsia"/>
          <w:sz w:val="21"/>
          <w:szCs w:val="21"/>
          <w:lang w:val="en-US" w:eastAsia="zh-CN"/>
        </w:rPr>
        <w:t>.</w:t>
      </w:r>
      <w:r>
        <w:rPr>
          <w:sz w:val="21"/>
          <w:szCs w:val="21"/>
        </w:rPr>
        <w:t>开启冷凝水</w:t>
      </w:r>
    </w:p>
    <w:p>
      <w:pPr>
        <w:autoSpaceDE w:val="0"/>
        <w:autoSpaceDN w:val="0"/>
        <w:adjustRightInd w:val="0"/>
        <w:spacing w:line="360" w:lineRule="auto"/>
        <w:jc w:val="left"/>
        <w:rPr>
          <w:sz w:val="21"/>
          <w:szCs w:val="21"/>
        </w:rPr>
      </w:pPr>
      <w:r>
        <w:rPr>
          <w:rFonts w:hint="eastAsia"/>
          <w:sz w:val="21"/>
          <w:szCs w:val="21"/>
        </w:rPr>
        <w:t>交互设计：操作者选取第8步和第9步的操作顺序。选取先加热后开冷凝水的为操作失误，系统提示扣分</w:t>
      </w:r>
    </w:p>
    <w:p>
      <w:pPr>
        <w:spacing w:line="360" w:lineRule="auto"/>
        <w:rPr>
          <w:sz w:val="21"/>
          <w:szCs w:val="21"/>
        </w:rPr>
      </w:pPr>
      <w:r>
        <w:rPr>
          <w:sz w:val="21"/>
          <w:szCs w:val="21"/>
        </w:rPr>
        <w:t>9</w:t>
      </w:r>
      <w:r>
        <w:rPr>
          <w:rFonts w:hint="eastAsia"/>
          <w:sz w:val="21"/>
          <w:szCs w:val="21"/>
          <w:lang w:val="en-US" w:eastAsia="zh-CN"/>
        </w:rPr>
        <w:t>.</w:t>
      </w:r>
      <w:r>
        <w:rPr>
          <w:sz w:val="21"/>
          <w:szCs w:val="21"/>
        </w:rPr>
        <w:t>最后开启搅拌器,设置调压器,调节好转速和温度</w:t>
      </w:r>
      <w:r>
        <w:rPr>
          <w:rFonts w:hint="eastAsia"/>
          <w:sz w:val="21"/>
          <w:szCs w:val="21"/>
        </w:rPr>
        <w:t>，馏分蒸出</w:t>
      </w:r>
    </w:p>
    <w:p>
      <w:pPr>
        <w:spacing w:line="360" w:lineRule="auto"/>
        <w:rPr>
          <w:sz w:val="21"/>
          <w:szCs w:val="21"/>
        </w:rPr>
      </w:pPr>
      <w:r>
        <w:rPr>
          <w:rFonts w:hint="eastAsia"/>
          <w:sz w:val="21"/>
          <w:szCs w:val="21"/>
        </w:rPr>
        <w:t>1</w:t>
      </w:r>
      <w:r>
        <w:rPr>
          <w:sz w:val="21"/>
          <w:szCs w:val="21"/>
        </w:rPr>
        <w:t>0</w:t>
      </w:r>
      <w:r>
        <w:rPr>
          <w:rFonts w:hint="eastAsia"/>
          <w:sz w:val="21"/>
          <w:szCs w:val="21"/>
          <w:lang w:val="en-US" w:eastAsia="zh-CN"/>
        </w:rPr>
        <w:t>.</w:t>
      </w:r>
      <w:r>
        <w:rPr>
          <w:rFonts w:hint="eastAsia"/>
          <w:sz w:val="21"/>
          <w:szCs w:val="21"/>
        </w:rPr>
        <w:t>停止加热，馏分停止蒸出，关冷凝水，</w:t>
      </w:r>
      <w:r>
        <w:rPr>
          <w:sz w:val="21"/>
          <w:szCs w:val="21"/>
        </w:rPr>
        <w:t>常压蒸馏操作完成</w:t>
      </w:r>
      <w:r>
        <w:rPr>
          <w:rFonts w:hint="eastAsia"/>
          <w:sz w:val="21"/>
          <w:szCs w:val="21"/>
        </w:rPr>
        <w:t>，</w:t>
      </w:r>
      <w:r>
        <w:rPr>
          <w:sz w:val="21"/>
          <w:szCs w:val="21"/>
        </w:rPr>
        <w:t>实验结束</w:t>
      </w:r>
    </w:p>
    <w:p>
      <w:pPr>
        <w:spacing w:line="360" w:lineRule="auto"/>
        <w:rPr>
          <w:b/>
          <w:sz w:val="21"/>
          <w:szCs w:val="21"/>
        </w:rPr>
      </w:pPr>
      <w:r>
        <w:rPr>
          <w:rFonts w:hint="eastAsia"/>
          <w:b/>
          <w:sz w:val="21"/>
          <w:szCs w:val="21"/>
        </w:rPr>
        <w:t>3</w:t>
      </w:r>
      <w:r>
        <w:rPr>
          <w:rFonts w:hint="eastAsia"/>
          <w:b/>
          <w:sz w:val="21"/>
          <w:szCs w:val="21"/>
          <w:lang w:eastAsia="zh-CN"/>
        </w:rPr>
        <w:t>、</w:t>
      </w:r>
      <w:r>
        <w:rPr>
          <w:b/>
          <w:sz w:val="21"/>
          <w:szCs w:val="21"/>
        </w:rPr>
        <w:t>催化氢化</w:t>
      </w:r>
      <w:r>
        <w:rPr>
          <w:rFonts w:hint="eastAsia"/>
          <w:b/>
          <w:sz w:val="21"/>
          <w:szCs w:val="21"/>
        </w:rPr>
        <w:t>虚拟仿真教学软件</w:t>
      </w:r>
    </w:p>
    <w:p>
      <w:pPr>
        <w:spacing w:line="360" w:lineRule="auto"/>
        <w:rPr>
          <w:color w:val="auto"/>
          <w:sz w:val="21"/>
          <w:szCs w:val="21"/>
        </w:rPr>
      </w:pPr>
      <w:r>
        <w:rPr>
          <w:rFonts w:hint="eastAsia"/>
          <w:color w:val="auto"/>
          <w:sz w:val="21"/>
          <w:szCs w:val="21"/>
        </w:rPr>
        <w:t>实验原理：</w:t>
      </w:r>
    </w:p>
    <w:p>
      <w:pPr>
        <w:spacing w:line="360" w:lineRule="auto"/>
        <w:ind w:firstLine="420"/>
        <w:rPr>
          <w:color w:val="auto"/>
          <w:sz w:val="21"/>
          <w:szCs w:val="21"/>
        </w:rPr>
      </w:pPr>
      <w:r>
        <w:rPr>
          <w:color w:val="auto"/>
          <w:sz w:val="21"/>
          <w:szCs w:val="21"/>
        </w:rPr>
        <w:t>催化氢化反应指在催化剂的作用下氢分子加成到有机化合物的不饱和基团上的反应。几乎所有不饱和基团都可以直接加氢成为饱和基团，各种不饱和基团对于催化氢化的活性次序与催化剂的品种和反应条件有关。</w:t>
      </w:r>
    </w:p>
    <w:p>
      <w:pPr>
        <w:spacing w:line="360" w:lineRule="auto"/>
        <w:rPr>
          <w:color w:val="auto"/>
          <w:sz w:val="21"/>
          <w:szCs w:val="21"/>
        </w:rPr>
      </w:pPr>
      <w:r>
        <w:rPr>
          <w:rFonts w:hint="eastAsia"/>
          <w:color w:val="auto"/>
          <w:sz w:val="21"/>
          <w:szCs w:val="21"/>
        </w:rPr>
        <w:t>实验目的：</w:t>
      </w:r>
    </w:p>
    <w:p>
      <w:pPr>
        <w:spacing w:line="360" w:lineRule="auto"/>
        <w:ind w:firstLine="420"/>
        <w:rPr>
          <w:color w:val="auto"/>
          <w:sz w:val="21"/>
          <w:szCs w:val="21"/>
        </w:rPr>
      </w:pPr>
      <w:r>
        <w:rPr>
          <w:color w:val="auto"/>
          <w:sz w:val="21"/>
          <w:szCs w:val="21"/>
        </w:rPr>
        <w:t>了解催化氢化反应的用途，掌握催化氢化的基本原理和操作。催化氢化适用于大规模和连续化生产，在工业上有重要用途。</w:t>
      </w:r>
    </w:p>
    <w:p>
      <w:pPr>
        <w:spacing w:line="360" w:lineRule="auto"/>
        <w:rPr>
          <w:color w:val="auto"/>
          <w:sz w:val="21"/>
          <w:szCs w:val="21"/>
        </w:rPr>
      </w:pPr>
      <w:r>
        <w:rPr>
          <w:color w:val="auto"/>
          <w:sz w:val="21"/>
          <w:szCs w:val="21"/>
        </w:rPr>
        <w:t>实验步骤</w:t>
      </w:r>
      <w:r>
        <w:rPr>
          <w:rFonts w:hint="eastAsia"/>
          <w:color w:val="auto"/>
          <w:sz w:val="21"/>
          <w:szCs w:val="21"/>
        </w:rPr>
        <w:t>：</w:t>
      </w:r>
    </w:p>
    <w:p>
      <w:pPr>
        <w:autoSpaceDE w:val="0"/>
        <w:autoSpaceDN w:val="0"/>
        <w:adjustRightInd w:val="0"/>
        <w:spacing w:line="360" w:lineRule="auto"/>
        <w:jc w:val="left"/>
        <w:rPr>
          <w:sz w:val="21"/>
          <w:szCs w:val="21"/>
        </w:rPr>
      </w:pPr>
      <w:r>
        <w:rPr>
          <w:rFonts w:hint="eastAsia"/>
          <w:color w:val="auto"/>
          <w:sz w:val="21"/>
          <w:szCs w:val="21"/>
        </w:rPr>
        <w:t>（1）</w:t>
      </w:r>
      <w:r>
        <w:rPr>
          <w:color w:val="auto"/>
          <w:sz w:val="21"/>
          <w:szCs w:val="21"/>
        </w:rPr>
        <w:t>选择一个合适的磁子</w:t>
      </w:r>
      <w:r>
        <w:rPr>
          <w:rFonts w:hint="eastAsia"/>
          <w:color w:val="auto"/>
          <w:sz w:val="21"/>
          <w:szCs w:val="21"/>
        </w:rPr>
        <w:t>（直型搅拌磁子）</w:t>
      </w:r>
      <w:r>
        <w:rPr>
          <w:color w:val="auto"/>
          <w:sz w:val="21"/>
          <w:szCs w:val="21"/>
        </w:rPr>
        <w:t>放入氢化</w:t>
      </w:r>
      <w:r>
        <w:rPr>
          <w:sz w:val="21"/>
          <w:szCs w:val="21"/>
        </w:rPr>
        <w:t>瓶中，把氢化瓶放置在天平上，并将天平置零</w:t>
      </w:r>
    </w:p>
    <w:p>
      <w:pPr>
        <w:tabs>
          <w:tab w:val="left" w:pos="6670"/>
        </w:tabs>
        <w:autoSpaceDE w:val="0"/>
        <w:autoSpaceDN w:val="0"/>
        <w:adjustRightInd w:val="0"/>
        <w:spacing w:line="360" w:lineRule="auto"/>
        <w:jc w:val="left"/>
        <w:rPr>
          <w:sz w:val="21"/>
          <w:szCs w:val="21"/>
        </w:rPr>
      </w:pPr>
      <w:r>
        <w:rPr>
          <w:rFonts w:hint="eastAsia"/>
          <w:sz w:val="21"/>
          <w:szCs w:val="21"/>
        </w:rPr>
        <w:t>交互设计：操作者选取搅拌磁子，选择梭型磁子为失误操作。设计扣分细则。</w:t>
      </w:r>
      <w:r>
        <w:rPr>
          <w:sz w:val="21"/>
          <w:szCs w:val="21"/>
        </w:rPr>
        <w:tab/>
      </w:r>
    </w:p>
    <w:p>
      <w:pPr>
        <w:autoSpaceDE w:val="0"/>
        <w:autoSpaceDN w:val="0"/>
        <w:adjustRightInd w:val="0"/>
        <w:spacing w:line="360" w:lineRule="auto"/>
        <w:jc w:val="left"/>
        <w:rPr>
          <w:sz w:val="21"/>
          <w:szCs w:val="21"/>
        </w:rPr>
      </w:pPr>
      <w:r>
        <w:rPr>
          <w:rFonts w:hint="eastAsia"/>
          <w:sz w:val="21"/>
          <w:szCs w:val="21"/>
        </w:rPr>
        <w:t>（2）</w:t>
      </w:r>
      <w:r>
        <w:rPr>
          <w:sz w:val="21"/>
          <w:szCs w:val="21"/>
        </w:rPr>
        <w:t>向氢化瓶中加入适量的底物，并加入溶剂将其溶解</w:t>
      </w:r>
    </w:p>
    <w:p>
      <w:pPr>
        <w:autoSpaceDE w:val="0"/>
        <w:autoSpaceDN w:val="0"/>
        <w:adjustRightInd w:val="0"/>
        <w:spacing w:line="360" w:lineRule="auto"/>
        <w:jc w:val="left"/>
        <w:rPr>
          <w:sz w:val="21"/>
          <w:szCs w:val="21"/>
        </w:rPr>
      </w:pPr>
      <w:r>
        <w:rPr>
          <w:rFonts w:hint="eastAsia"/>
          <w:sz w:val="21"/>
          <w:szCs w:val="21"/>
        </w:rPr>
        <w:t>（3）</w:t>
      </w:r>
      <w:r>
        <w:rPr>
          <w:sz w:val="21"/>
          <w:szCs w:val="21"/>
        </w:rPr>
        <w:t>使用惰性气体在瓶口轻轻吹扫</w:t>
      </w:r>
      <w:r>
        <w:rPr>
          <w:rFonts w:hint="eastAsia"/>
          <w:sz w:val="21"/>
          <w:szCs w:val="21"/>
        </w:rPr>
        <w:t>（除去瓶口的溶剂，避免加入固体催化剂时催化剂沾附到瓶口）</w:t>
      </w:r>
      <w:r>
        <w:rPr>
          <w:sz w:val="21"/>
          <w:szCs w:val="21"/>
        </w:rPr>
        <w:t>，盖上玻璃片，并将天平置零</w:t>
      </w:r>
    </w:p>
    <w:p>
      <w:pPr>
        <w:autoSpaceDE w:val="0"/>
        <w:autoSpaceDN w:val="0"/>
        <w:adjustRightInd w:val="0"/>
        <w:spacing w:line="360" w:lineRule="auto"/>
        <w:jc w:val="left"/>
        <w:rPr>
          <w:sz w:val="21"/>
          <w:szCs w:val="21"/>
        </w:rPr>
      </w:pPr>
      <w:r>
        <w:rPr>
          <w:rFonts w:hint="eastAsia"/>
          <w:sz w:val="21"/>
          <w:szCs w:val="21"/>
        </w:rPr>
        <w:t>（4）</w:t>
      </w:r>
      <w:r>
        <w:rPr>
          <w:sz w:val="21"/>
          <w:szCs w:val="21"/>
        </w:rPr>
        <w:t>向氢化瓶中加入适量的催化剂，并用溶剂洗涮瓶口和瓶壁</w:t>
      </w:r>
    </w:p>
    <w:p>
      <w:pPr>
        <w:autoSpaceDE w:val="0"/>
        <w:autoSpaceDN w:val="0"/>
        <w:adjustRightInd w:val="0"/>
        <w:spacing w:line="360" w:lineRule="auto"/>
        <w:jc w:val="left"/>
        <w:rPr>
          <w:sz w:val="21"/>
          <w:szCs w:val="21"/>
        </w:rPr>
      </w:pPr>
      <w:r>
        <w:rPr>
          <w:rFonts w:hint="eastAsia"/>
          <w:sz w:val="21"/>
          <w:szCs w:val="21"/>
        </w:rPr>
        <w:t>（5）</w:t>
      </w:r>
      <w:r>
        <w:rPr>
          <w:sz w:val="21"/>
          <w:szCs w:val="21"/>
        </w:rPr>
        <w:t>将四氟塞子塞好，并将氢化瓶带往氢化室</w:t>
      </w:r>
    </w:p>
    <w:p>
      <w:pPr>
        <w:autoSpaceDE w:val="0"/>
        <w:autoSpaceDN w:val="0"/>
        <w:adjustRightInd w:val="0"/>
        <w:spacing w:line="360" w:lineRule="auto"/>
        <w:jc w:val="left"/>
        <w:rPr>
          <w:sz w:val="21"/>
          <w:szCs w:val="21"/>
        </w:rPr>
      </w:pPr>
      <w:r>
        <w:rPr>
          <w:rFonts w:hint="eastAsia"/>
          <w:sz w:val="21"/>
          <w:szCs w:val="21"/>
        </w:rPr>
        <w:t>（6）</w:t>
      </w:r>
      <w:r>
        <w:rPr>
          <w:sz w:val="21"/>
          <w:szCs w:val="21"/>
        </w:rPr>
        <w:t>将氢化瓶夹在搅拌器的固定架上，合上压力表</w:t>
      </w:r>
    </w:p>
    <w:p>
      <w:pPr>
        <w:autoSpaceDE w:val="0"/>
        <w:autoSpaceDN w:val="0"/>
        <w:adjustRightInd w:val="0"/>
        <w:spacing w:line="360" w:lineRule="auto"/>
        <w:jc w:val="left"/>
        <w:rPr>
          <w:sz w:val="21"/>
          <w:szCs w:val="21"/>
        </w:rPr>
      </w:pPr>
      <w:r>
        <w:rPr>
          <w:rFonts w:hint="eastAsia"/>
          <w:sz w:val="21"/>
          <w:szCs w:val="21"/>
        </w:rPr>
        <w:t>（7）</w:t>
      </w:r>
      <w:r>
        <w:rPr>
          <w:sz w:val="21"/>
          <w:szCs w:val="21"/>
        </w:rPr>
        <w:t>打开真空系统，并拉下通风橱门，操作时保证反应瓶和脸之间有通风橱门间隔</w:t>
      </w:r>
    </w:p>
    <w:p>
      <w:pPr>
        <w:autoSpaceDE w:val="0"/>
        <w:autoSpaceDN w:val="0"/>
        <w:adjustRightInd w:val="0"/>
        <w:spacing w:line="360" w:lineRule="auto"/>
        <w:jc w:val="left"/>
        <w:rPr>
          <w:sz w:val="21"/>
          <w:szCs w:val="21"/>
        </w:rPr>
      </w:pPr>
      <w:r>
        <w:rPr>
          <w:rFonts w:hint="eastAsia"/>
          <w:sz w:val="21"/>
          <w:szCs w:val="21"/>
        </w:rPr>
        <w:t>交互设计：操作者没有拉下通风橱门或者没有完全拉下来的，系统提示错误扣分。</w:t>
      </w:r>
    </w:p>
    <w:p>
      <w:pPr>
        <w:autoSpaceDE w:val="0"/>
        <w:autoSpaceDN w:val="0"/>
        <w:adjustRightInd w:val="0"/>
        <w:spacing w:line="360" w:lineRule="auto"/>
        <w:jc w:val="left"/>
        <w:rPr>
          <w:sz w:val="21"/>
          <w:szCs w:val="21"/>
        </w:rPr>
      </w:pPr>
      <w:r>
        <w:rPr>
          <w:rFonts w:hint="eastAsia"/>
          <w:sz w:val="21"/>
          <w:szCs w:val="21"/>
        </w:rPr>
        <w:t>（8）</w:t>
      </w:r>
      <w:r>
        <w:rPr>
          <w:sz w:val="21"/>
          <w:szCs w:val="21"/>
        </w:rPr>
        <w:t>进行空气置换，首先打开真空系统阀门，排出瓶内空气，然后打开氩气阀门，把氩气充入瓶中，此操作要反复两到三次</w:t>
      </w:r>
    </w:p>
    <w:p>
      <w:pPr>
        <w:autoSpaceDE w:val="0"/>
        <w:autoSpaceDN w:val="0"/>
        <w:adjustRightInd w:val="0"/>
        <w:spacing w:line="360" w:lineRule="auto"/>
        <w:jc w:val="left"/>
        <w:rPr>
          <w:sz w:val="21"/>
          <w:szCs w:val="21"/>
        </w:rPr>
      </w:pPr>
      <w:r>
        <w:rPr>
          <w:rFonts w:hint="eastAsia"/>
          <w:sz w:val="21"/>
          <w:szCs w:val="21"/>
        </w:rPr>
        <w:t>交互设计：操作者选取空气置换的操作顺序。选取错误的，系统提示扣分</w:t>
      </w:r>
    </w:p>
    <w:p>
      <w:pPr>
        <w:autoSpaceDE w:val="0"/>
        <w:autoSpaceDN w:val="0"/>
        <w:adjustRightInd w:val="0"/>
        <w:spacing w:line="360" w:lineRule="auto"/>
        <w:jc w:val="left"/>
        <w:rPr>
          <w:sz w:val="21"/>
          <w:szCs w:val="21"/>
        </w:rPr>
      </w:pPr>
      <w:r>
        <w:rPr>
          <w:rFonts w:hint="eastAsia"/>
          <w:sz w:val="21"/>
          <w:szCs w:val="21"/>
        </w:rPr>
        <w:t>（9）</w:t>
      </w:r>
      <w:r>
        <w:rPr>
          <w:sz w:val="21"/>
          <w:szCs w:val="21"/>
        </w:rPr>
        <w:t>打开氢气阀门，用氢气进行置换。然后打开真空系统阀门，排出瓶内氢气，此操作要反复两到三次</w:t>
      </w:r>
    </w:p>
    <w:p>
      <w:pPr>
        <w:autoSpaceDE w:val="0"/>
        <w:autoSpaceDN w:val="0"/>
        <w:adjustRightInd w:val="0"/>
        <w:spacing w:line="360" w:lineRule="auto"/>
        <w:jc w:val="left"/>
        <w:rPr>
          <w:sz w:val="21"/>
          <w:szCs w:val="21"/>
        </w:rPr>
      </w:pPr>
      <w:r>
        <w:rPr>
          <w:rFonts w:hint="eastAsia"/>
          <w:sz w:val="21"/>
          <w:szCs w:val="21"/>
        </w:rPr>
        <w:t>交互设计：操作者选取氢气置换的操作顺序。选取错误的，系统提示扣分。不能够直接用氢气置换空气，容易引起爆炸的危险。</w:t>
      </w:r>
    </w:p>
    <w:p>
      <w:pPr>
        <w:autoSpaceDE w:val="0"/>
        <w:autoSpaceDN w:val="0"/>
        <w:adjustRightInd w:val="0"/>
        <w:spacing w:line="360" w:lineRule="auto"/>
        <w:jc w:val="left"/>
        <w:rPr>
          <w:sz w:val="21"/>
          <w:szCs w:val="21"/>
        </w:rPr>
      </w:pPr>
      <w:r>
        <w:rPr>
          <w:rFonts w:hint="eastAsia"/>
          <w:sz w:val="21"/>
          <w:szCs w:val="21"/>
        </w:rPr>
        <w:t>（10）</w:t>
      </w:r>
      <w:r>
        <w:rPr>
          <w:sz w:val="21"/>
          <w:szCs w:val="21"/>
        </w:rPr>
        <w:t>通过氢气减压阀来调节需要的压力，然后关闭真空系统</w:t>
      </w:r>
    </w:p>
    <w:p>
      <w:pPr>
        <w:autoSpaceDE w:val="0"/>
        <w:autoSpaceDN w:val="0"/>
        <w:adjustRightInd w:val="0"/>
        <w:spacing w:line="360" w:lineRule="auto"/>
        <w:jc w:val="left"/>
        <w:rPr>
          <w:sz w:val="21"/>
          <w:szCs w:val="21"/>
        </w:rPr>
      </w:pPr>
      <w:r>
        <w:rPr>
          <w:rFonts w:hint="eastAsia"/>
          <w:sz w:val="21"/>
          <w:szCs w:val="21"/>
        </w:rPr>
        <w:t>（11）</w:t>
      </w:r>
      <w:r>
        <w:rPr>
          <w:sz w:val="21"/>
          <w:szCs w:val="21"/>
        </w:rPr>
        <w:t>打开搅拌和调压器的电源，并调节好转速和温度。然后在面板上登记个人信息，即可离开氢化室</w:t>
      </w:r>
    </w:p>
    <w:p>
      <w:pPr>
        <w:autoSpaceDE w:val="0"/>
        <w:autoSpaceDN w:val="0"/>
        <w:adjustRightInd w:val="0"/>
        <w:spacing w:line="360" w:lineRule="auto"/>
        <w:jc w:val="left"/>
        <w:rPr>
          <w:sz w:val="21"/>
          <w:szCs w:val="21"/>
        </w:rPr>
      </w:pPr>
      <w:r>
        <w:rPr>
          <w:rFonts w:hint="eastAsia"/>
          <w:sz w:val="21"/>
          <w:szCs w:val="21"/>
        </w:rPr>
        <w:t>（12）</w:t>
      </w:r>
      <w:r>
        <w:rPr>
          <w:sz w:val="21"/>
          <w:szCs w:val="21"/>
        </w:rPr>
        <w:t>检测反应结果：首先关闭搅拌和调压器电源，然后关闭氢气阀。打开真空系统，将瓶内的氢气用氩气置换</w:t>
      </w:r>
      <w:r>
        <w:rPr>
          <w:rFonts w:hint="eastAsia"/>
          <w:sz w:val="21"/>
          <w:szCs w:val="21"/>
        </w:rPr>
        <w:t>（避免氢气与空气直接接触）</w:t>
      </w:r>
    </w:p>
    <w:p>
      <w:pPr>
        <w:autoSpaceDE w:val="0"/>
        <w:autoSpaceDN w:val="0"/>
        <w:adjustRightInd w:val="0"/>
        <w:spacing w:line="360" w:lineRule="auto"/>
        <w:jc w:val="left"/>
        <w:rPr>
          <w:sz w:val="21"/>
          <w:szCs w:val="21"/>
        </w:rPr>
      </w:pPr>
      <w:r>
        <w:rPr>
          <w:rFonts w:hint="eastAsia"/>
          <w:sz w:val="21"/>
          <w:szCs w:val="21"/>
        </w:rPr>
        <w:t>（13）</w:t>
      </w:r>
      <w:r>
        <w:rPr>
          <w:sz w:val="21"/>
          <w:szCs w:val="21"/>
        </w:rPr>
        <w:t>关闭真空系统，打开反应体系，取下氢化瓶，带往配样间进行检测即可</w:t>
      </w:r>
    </w:p>
    <w:p>
      <w:pPr>
        <w:autoSpaceDE w:val="0"/>
        <w:autoSpaceDN w:val="0"/>
        <w:adjustRightInd w:val="0"/>
        <w:spacing w:line="360" w:lineRule="auto"/>
        <w:jc w:val="left"/>
        <w:rPr>
          <w:sz w:val="21"/>
          <w:szCs w:val="21"/>
        </w:rPr>
      </w:pPr>
      <w:r>
        <w:rPr>
          <w:rFonts w:hint="eastAsia"/>
          <w:sz w:val="21"/>
          <w:szCs w:val="21"/>
        </w:rPr>
        <w:t>（14）</w:t>
      </w:r>
      <w:r>
        <w:rPr>
          <w:sz w:val="21"/>
          <w:szCs w:val="21"/>
        </w:rPr>
        <w:t>抽滤前，先在布氏漏斗中放入大小合适的滤纸，并加入适量的硅胶土，然后用溶剂润湿，使滤纸紧贴漏斗底端</w:t>
      </w:r>
    </w:p>
    <w:p>
      <w:pPr>
        <w:autoSpaceDE w:val="0"/>
        <w:autoSpaceDN w:val="0"/>
        <w:adjustRightInd w:val="0"/>
        <w:spacing w:line="360" w:lineRule="auto"/>
        <w:jc w:val="left"/>
        <w:rPr>
          <w:sz w:val="21"/>
          <w:szCs w:val="21"/>
        </w:rPr>
      </w:pPr>
      <w:r>
        <w:rPr>
          <w:rFonts w:hint="eastAsia"/>
          <w:sz w:val="21"/>
          <w:szCs w:val="21"/>
        </w:rPr>
        <w:t>（15）</w:t>
      </w:r>
      <w:r>
        <w:rPr>
          <w:sz w:val="21"/>
          <w:szCs w:val="21"/>
        </w:rPr>
        <w:t>打开反应瓶，用溶剂将瓶口和四氟塞子上的催化剂洗涮到瓶子中</w:t>
      </w:r>
    </w:p>
    <w:p>
      <w:pPr>
        <w:autoSpaceDE w:val="0"/>
        <w:autoSpaceDN w:val="0"/>
        <w:adjustRightInd w:val="0"/>
        <w:spacing w:line="360" w:lineRule="auto"/>
        <w:jc w:val="left"/>
        <w:rPr>
          <w:sz w:val="21"/>
          <w:szCs w:val="21"/>
        </w:rPr>
      </w:pPr>
      <w:r>
        <w:rPr>
          <w:rFonts w:hint="eastAsia"/>
          <w:sz w:val="21"/>
          <w:szCs w:val="21"/>
        </w:rPr>
        <w:t>（16）</w:t>
      </w:r>
      <w:r>
        <w:rPr>
          <w:sz w:val="21"/>
          <w:szCs w:val="21"/>
        </w:rPr>
        <w:t>打开真空系统，把反应溶液倒入漏斗中，并用溶剂洗涮氢化瓶，把瓶中残留的催化剂全都倒入漏斗中</w:t>
      </w:r>
    </w:p>
    <w:p>
      <w:pPr>
        <w:autoSpaceDE w:val="0"/>
        <w:autoSpaceDN w:val="0"/>
        <w:adjustRightInd w:val="0"/>
        <w:spacing w:line="360" w:lineRule="auto"/>
        <w:jc w:val="left"/>
        <w:rPr>
          <w:sz w:val="21"/>
          <w:szCs w:val="21"/>
        </w:rPr>
      </w:pPr>
      <w:r>
        <w:rPr>
          <w:rFonts w:hint="eastAsia"/>
          <w:sz w:val="21"/>
          <w:szCs w:val="21"/>
        </w:rPr>
        <w:t>（17）</w:t>
      </w:r>
      <w:r>
        <w:rPr>
          <w:sz w:val="21"/>
          <w:szCs w:val="21"/>
        </w:rPr>
        <w:t>关闭真空系统，实验结束</w:t>
      </w:r>
    </w:p>
    <w:p>
      <w:pPr>
        <w:autoSpaceDE w:val="0"/>
        <w:autoSpaceDN w:val="0"/>
        <w:adjustRightInd w:val="0"/>
        <w:spacing w:line="360" w:lineRule="auto"/>
        <w:jc w:val="left"/>
        <w:rPr>
          <w:b/>
          <w:sz w:val="21"/>
          <w:szCs w:val="21"/>
        </w:rPr>
      </w:pPr>
      <w:r>
        <w:rPr>
          <w:rFonts w:hint="eastAsia"/>
          <w:b/>
          <w:sz w:val="21"/>
          <w:szCs w:val="21"/>
        </w:rPr>
        <w:t>4</w:t>
      </w:r>
      <w:r>
        <w:rPr>
          <w:rFonts w:hint="eastAsia"/>
          <w:b/>
          <w:sz w:val="21"/>
          <w:szCs w:val="21"/>
          <w:lang w:eastAsia="zh-CN"/>
        </w:rPr>
        <w:t>、</w:t>
      </w:r>
      <w:r>
        <w:rPr>
          <w:rFonts w:hint="eastAsia"/>
          <w:b/>
          <w:sz w:val="21"/>
          <w:szCs w:val="21"/>
        </w:rPr>
        <w:t>重结晶和减压过滤虚拟仿真教学软件</w:t>
      </w:r>
    </w:p>
    <w:p>
      <w:pPr>
        <w:autoSpaceDE w:val="0"/>
        <w:autoSpaceDN w:val="0"/>
        <w:adjustRightInd w:val="0"/>
        <w:spacing w:line="360" w:lineRule="auto"/>
        <w:jc w:val="left"/>
        <w:rPr>
          <w:color w:val="auto"/>
          <w:sz w:val="21"/>
          <w:szCs w:val="21"/>
        </w:rPr>
      </w:pPr>
      <w:r>
        <w:rPr>
          <w:rFonts w:hint="eastAsia"/>
          <w:color w:val="auto"/>
          <w:sz w:val="21"/>
          <w:szCs w:val="21"/>
        </w:rPr>
        <w:t>实验原理：</w:t>
      </w:r>
    </w:p>
    <w:p>
      <w:pPr>
        <w:autoSpaceDE w:val="0"/>
        <w:autoSpaceDN w:val="0"/>
        <w:adjustRightInd w:val="0"/>
        <w:spacing w:line="360" w:lineRule="auto"/>
        <w:ind w:firstLine="420"/>
        <w:jc w:val="left"/>
        <w:rPr>
          <w:color w:val="auto"/>
          <w:sz w:val="21"/>
          <w:szCs w:val="21"/>
        </w:rPr>
      </w:pPr>
      <w:r>
        <w:rPr>
          <w:color w:val="auto"/>
          <w:sz w:val="21"/>
          <w:szCs w:val="21"/>
        </w:rPr>
        <w:t>重结晶是利用混合物中各组分在某种溶剂中溶解度不同或者在同一溶剂中不同温度时的溶解度不同而使</w:t>
      </w:r>
      <w:r>
        <w:rPr>
          <w:rFonts w:hint="eastAsia"/>
          <w:color w:val="auto"/>
          <w:sz w:val="21"/>
          <w:szCs w:val="21"/>
        </w:rPr>
        <w:t>它</w:t>
      </w:r>
      <w:r>
        <w:rPr>
          <w:color w:val="auto"/>
          <w:sz w:val="21"/>
          <w:szCs w:val="21"/>
        </w:rPr>
        <w:t>们相互分离的方法。固体有机物在溶剂中的溶解度随温度的变化易改变，通常温度升高，溶解度增大</w:t>
      </w:r>
      <w:r>
        <w:rPr>
          <w:rFonts w:hint="eastAsia"/>
          <w:color w:val="auto"/>
          <w:sz w:val="21"/>
          <w:szCs w:val="21"/>
        </w:rPr>
        <w:t>；</w:t>
      </w:r>
      <w:r>
        <w:rPr>
          <w:color w:val="auto"/>
          <w:sz w:val="21"/>
          <w:szCs w:val="21"/>
        </w:rPr>
        <w:t>反之，则溶解度降低。对于前一种常见的情况，加热使溶质溶解于溶剂中，当温度降低，其溶解度下降，溶液变成过饱和，从而析出结晶。由于被提纯化合物及杂质的溶解度的不同，可以分离纯化所需物质。</w:t>
      </w:r>
    </w:p>
    <w:p>
      <w:pPr>
        <w:autoSpaceDE w:val="0"/>
        <w:autoSpaceDN w:val="0"/>
        <w:adjustRightInd w:val="0"/>
        <w:spacing w:line="360" w:lineRule="auto"/>
        <w:jc w:val="left"/>
        <w:rPr>
          <w:color w:val="auto"/>
          <w:sz w:val="21"/>
          <w:szCs w:val="21"/>
        </w:rPr>
      </w:pPr>
      <w:r>
        <w:rPr>
          <w:rFonts w:hint="eastAsia"/>
          <w:color w:val="auto"/>
          <w:sz w:val="21"/>
          <w:szCs w:val="21"/>
        </w:rPr>
        <w:t>实验目的：</w:t>
      </w:r>
    </w:p>
    <w:p>
      <w:pPr>
        <w:autoSpaceDE w:val="0"/>
        <w:autoSpaceDN w:val="0"/>
        <w:adjustRightInd w:val="0"/>
        <w:spacing w:line="360" w:lineRule="auto"/>
        <w:ind w:firstLine="420"/>
        <w:jc w:val="left"/>
        <w:rPr>
          <w:color w:val="auto"/>
          <w:sz w:val="21"/>
          <w:szCs w:val="21"/>
        </w:rPr>
      </w:pPr>
      <w:r>
        <w:rPr>
          <w:color w:val="auto"/>
          <w:sz w:val="21"/>
          <w:szCs w:val="21"/>
        </w:rPr>
        <w:t>学习重结晶法提纯固体有机化合物的原理和方法。从有机合成反应分离出来的固体粗产物往往含有未反应的原料、副产物及杂质，必须加以分离纯化，重结晶是分离提纯固体化合物的一种重要的、常用的分离方法之一。</w:t>
      </w:r>
    </w:p>
    <w:p>
      <w:pPr>
        <w:autoSpaceDE w:val="0"/>
        <w:autoSpaceDN w:val="0"/>
        <w:adjustRightInd w:val="0"/>
        <w:spacing w:line="360" w:lineRule="auto"/>
        <w:jc w:val="left"/>
        <w:rPr>
          <w:color w:val="auto"/>
          <w:sz w:val="21"/>
          <w:szCs w:val="21"/>
        </w:rPr>
      </w:pPr>
      <w:r>
        <w:rPr>
          <w:color w:val="auto"/>
          <w:sz w:val="21"/>
          <w:szCs w:val="21"/>
        </w:rPr>
        <w:t>实验步骤</w:t>
      </w:r>
      <w:r>
        <w:rPr>
          <w:rFonts w:hint="eastAsia"/>
          <w:color w:val="auto"/>
          <w:sz w:val="21"/>
          <w:szCs w:val="21"/>
        </w:rPr>
        <w:t>：</w:t>
      </w:r>
    </w:p>
    <w:p>
      <w:pPr>
        <w:autoSpaceDE w:val="0"/>
        <w:autoSpaceDN w:val="0"/>
        <w:adjustRightInd w:val="0"/>
        <w:spacing w:line="360" w:lineRule="auto"/>
        <w:jc w:val="left"/>
        <w:rPr>
          <w:color w:val="auto"/>
          <w:sz w:val="21"/>
          <w:szCs w:val="21"/>
        </w:rPr>
      </w:pPr>
      <w:r>
        <w:rPr>
          <w:rFonts w:hint="eastAsia"/>
          <w:color w:val="auto"/>
          <w:sz w:val="21"/>
          <w:szCs w:val="21"/>
        </w:rPr>
        <w:t>（1）</w:t>
      </w:r>
      <w:r>
        <w:rPr>
          <w:color w:val="auto"/>
          <w:sz w:val="21"/>
          <w:szCs w:val="21"/>
        </w:rPr>
        <w:t>用量筒量取15ml的乙酸乙酯</w:t>
      </w:r>
      <w:r>
        <w:rPr>
          <w:rFonts w:hint="eastAsia"/>
          <w:color w:val="auto"/>
          <w:sz w:val="21"/>
          <w:szCs w:val="21"/>
        </w:rPr>
        <w:t>，</w:t>
      </w:r>
      <w:r>
        <w:rPr>
          <w:color w:val="auto"/>
          <w:sz w:val="21"/>
          <w:szCs w:val="21"/>
        </w:rPr>
        <w:t>倒入圆底烧瓶中</w:t>
      </w:r>
    </w:p>
    <w:p>
      <w:pPr>
        <w:autoSpaceDE w:val="0"/>
        <w:autoSpaceDN w:val="0"/>
        <w:adjustRightInd w:val="0"/>
        <w:spacing w:line="360" w:lineRule="auto"/>
        <w:jc w:val="left"/>
        <w:rPr>
          <w:color w:val="auto"/>
          <w:sz w:val="21"/>
          <w:szCs w:val="21"/>
        </w:rPr>
      </w:pPr>
      <w:r>
        <w:rPr>
          <w:rFonts w:hint="eastAsia"/>
          <w:color w:val="auto"/>
          <w:sz w:val="21"/>
          <w:szCs w:val="21"/>
        </w:rPr>
        <w:t>（2）</w:t>
      </w:r>
      <w:r>
        <w:rPr>
          <w:color w:val="auto"/>
          <w:sz w:val="21"/>
          <w:szCs w:val="21"/>
        </w:rPr>
        <w:t>调整支架，使圆底烧瓶置入油浴</w:t>
      </w:r>
      <w:r>
        <w:rPr>
          <w:rFonts w:hint="eastAsia"/>
          <w:color w:val="auto"/>
          <w:sz w:val="21"/>
          <w:szCs w:val="21"/>
        </w:rPr>
        <w:t>锅</w:t>
      </w:r>
      <w:r>
        <w:rPr>
          <w:color w:val="auto"/>
          <w:sz w:val="21"/>
          <w:szCs w:val="21"/>
        </w:rPr>
        <w:t>中</w:t>
      </w:r>
    </w:p>
    <w:p>
      <w:pPr>
        <w:autoSpaceDE w:val="0"/>
        <w:autoSpaceDN w:val="0"/>
        <w:adjustRightInd w:val="0"/>
        <w:spacing w:line="360" w:lineRule="auto"/>
        <w:jc w:val="left"/>
        <w:rPr>
          <w:color w:val="auto"/>
          <w:sz w:val="21"/>
          <w:szCs w:val="21"/>
        </w:rPr>
      </w:pPr>
      <w:r>
        <w:rPr>
          <w:rFonts w:hint="eastAsia"/>
          <w:color w:val="auto"/>
          <w:sz w:val="21"/>
          <w:szCs w:val="21"/>
        </w:rPr>
        <w:t>（3）</w:t>
      </w:r>
      <w:r>
        <w:rPr>
          <w:color w:val="auto"/>
          <w:sz w:val="21"/>
          <w:szCs w:val="21"/>
        </w:rPr>
        <w:t>开启冷凝水循环</w:t>
      </w:r>
    </w:p>
    <w:p>
      <w:pPr>
        <w:autoSpaceDE w:val="0"/>
        <w:autoSpaceDN w:val="0"/>
        <w:adjustRightInd w:val="0"/>
        <w:spacing w:line="360" w:lineRule="auto"/>
        <w:jc w:val="left"/>
        <w:rPr>
          <w:color w:val="auto"/>
          <w:sz w:val="21"/>
          <w:szCs w:val="21"/>
        </w:rPr>
      </w:pPr>
      <w:r>
        <w:rPr>
          <w:rFonts w:hint="eastAsia"/>
          <w:color w:val="auto"/>
          <w:sz w:val="21"/>
          <w:szCs w:val="21"/>
        </w:rPr>
        <w:t>（4）</w:t>
      </w:r>
      <w:r>
        <w:rPr>
          <w:color w:val="auto"/>
          <w:sz w:val="21"/>
          <w:szCs w:val="21"/>
        </w:rPr>
        <w:t>设置调压器和搅拌器</w:t>
      </w:r>
      <w:r>
        <w:rPr>
          <w:rFonts w:hint="eastAsia"/>
          <w:color w:val="auto"/>
          <w:sz w:val="21"/>
          <w:szCs w:val="21"/>
        </w:rPr>
        <w:t>，</w:t>
      </w:r>
      <w:r>
        <w:rPr>
          <w:color w:val="auto"/>
          <w:sz w:val="21"/>
          <w:szCs w:val="21"/>
        </w:rPr>
        <w:t>调节好温度和转速</w:t>
      </w:r>
      <w:r>
        <w:rPr>
          <w:rFonts w:hint="eastAsia"/>
          <w:color w:val="auto"/>
          <w:sz w:val="21"/>
          <w:szCs w:val="21"/>
        </w:rPr>
        <w:t>，</w:t>
      </w:r>
      <w:r>
        <w:rPr>
          <w:color w:val="auto"/>
          <w:sz w:val="21"/>
          <w:szCs w:val="21"/>
        </w:rPr>
        <w:t>,加热</w:t>
      </w:r>
      <w:r>
        <w:rPr>
          <w:rFonts w:hint="eastAsia"/>
          <w:color w:val="auto"/>
          <w:sz w:val="21"/>
          <w:szCs w:val="21"/>
        </w:rPr>
        <w:t>至</w:t>
      </w:r>
      <w:r>
        <w:rPr>
          <w:color w:val="auto"/>
          <w:sz w:val="21"/>
          <w:szCs w:val="21"/>
        </w:rPr>
        <w:t>固体完全溶解澄清</w:t>
      </w:r>
    </w:p>
    <w:p>
      <w:pPr>
        <w:autoSpaceDE w:val="0"/>
        <w:autoSpaceDN w:val="0"/>
        <w:adjustRightInd w:val="0"/>
        <w:spacing w:line="360" w:lineRule="auto"/>
        <w:jc w:val="left"/>
        <w:rPr>
          <w:color w:val="auto"/>
          <w:sz w:val="21"/>
          <w:szCs w:val="21"/>
        </w:rPr>
      </w:pPr>
      <w:r>
        <w:rPr>
          <w:rFonts w:hint="eastAsia"/>
          <w:color w:val="auto"/>
          <w:sz w:val="21"/>
          <w:szCs w:val="21"/>
        </w:rPr>
        <w:t>交互操作：操作者选取上述两步的操作顺序。选取先加热后开冷凝水的为操作失误，系统提示扣分</w:t>
      </w:r>
    </w:p>
    <w:p>
      <w:pPr>
        <w:autoSpaceDE w:val="0"/>
        <w:autoSpaceDN w:val="0"/>
        <w:adjustRightInd w:val="0"/>
        <w:spacing w:line="360" w:lineRule="auto"/>
        <w:jc w:val="left"/>
        <w:rPr>
          <w:color w:val="auto"/>
          <w:sz w:val="21"/>
          <w:szCs w:val="21"/>
        </w:rPr>
      </w:pPr>
      <w:r>
        <w:rPr>
          <w:rFonts w:hint="eastAsia"/>
          <w:color w:val="auto"/>
          <w:sz w:val="21"/>
          <w:szCs w:val="21"/>
        </w:rPr>
        <w:t>（5）关闭热源，等到烧瓶内无明显沸腾现象，加入适量活性炭，再加热回流约3</w:t>
      </w:r>
      <w:r>
        <w:rPr>
          <w:color w:val="auto"/>
          <w:sz w:val="21"/>
          <w:szCs w:val="21"/>
        </w:rPr>
        <w:t>0</w:t>
      </w:r>
      <w:r>
        <w:rPr>
          <w:rFonts w:hint="eastAsia"/>
          <w:color w:val="auto"/>
          <w:sz w:val="21"/>
          <w:szCs w:val="21"/>
        </w:rPr>
        <w:t>分钟，进行脱色</w:t>
      </w:r>
    </w:p>
    <w:p>
      <w:pPr>
        <w:autoSpaceDE w:val="0"/>
        <w:autoSpaceDN w:val="0"/>
        <w:adjustRightInd w:val="0"/>
        <w:spacing w:line="360" w:lineRule="auto"/>
        <w:jc w:val="left"/>
        <w:rPr>
          <w:color w:val="auto"/>
          <w:sz w:val="21"/>
          <w:szCs w:val="21"/>
        </w:rPr>
      </w:pPr>
      <w:r>
        <w:rPr>
          <w:rFonts w:hint="eastAsia"/>
          <w:color w:val="auto"/>
          <w:sz w:val="21"/>
          <w:szCs w:val="21"/>
        </w:rPr>
        <w:t>交互设计：操作者选取加入活性炭的时机，体系内剧烈沸腾情况下，加入活性炭的，显示操作失误，扣关键分。同时模拟显示体系爆沸冲料的效果。</w:t>
      </w:r>
    </w:p>
    <w:p>
      <w:pPr>
        <w:autoSpaceDE w:val="0"/>
        <w:autoSpaceDN w:val="0"/>
        <w:adjustRightInd w:val="0"/>
        <w:spacing w:line="360" w:lineRule="auto"/>
        <w:jc w:val="left"/>
        <w:rPr>
          <w:color w:val="auto"/>
          <w:sz w:val="21"/>
          <w:szCs w:val="21"/>
        </w:rPr>
      </w:pPr>
      <w:r>
        <w:rPr>
          <w:rFonts w:hint="eastAsia"/>
          <w:color w:val="auto"/>
          <w:sz w:val="21"/>
          <w:szCs w:val="21"/>
        </w:rPr>
        <w:t>（</w:t>
      </w:r>
      <w:r>
        <w:rPr>
          <w:color w:val="auto"/>
          <w:sz w:val="21"/>
          <w:szCs w:val="21"/>
        </w:rPr>
        <w:t>6</w:t>
      </w:r>
      <w:r>
        <w:rPr>
          <w:rFonts w:hint="eastAsia"/>
          <w:color w:val="auto"/>
          <w:sz w:val="21"/>
          <w:szCs w:val="21"/>
        </w:rPr>
        <w:t>）</w:t>
      </w:r>
      <w:r>
        <w:rPr>
          <w:color w:val="auto"/>
          <w:sz w:val="21"/>
          <w:szCs w:val="21"/>
        </w:rPr>
        <w:t>关闭调压器和搅拌器</w:t>
      </w:r>
      <w:r>
        <w:rPr>
          <w:rFonts w:hint="eastAsia"/>
          <w:color w:val="auto"/>
          <w:sz w:val="21"/>
          <w:szCs w:val="21"/>
        </w:rPr>
        <w:t>，烧瓶内液体快速导入预热过的减压过滤装置，趁热过滤</w:t>
      </w:r>
      <w:r>
        <w:rPr>
          <w:color w:val="auto"/>
          <w:sz w:val="21"/>
          <w:szCs w:val="21"/>
        </w:rPr>
        <w:t xml:space="preserve"> </w:t>
      </w:r>
    </w:p>
    <w:p>
      <w:pPr>
        <w:autoSpaceDE w:val="0"/>
        <w:autoSpaceDN w:val="0"/>
        <w:adjustRightInd w:val="0"/>
        <w:spacing w:line="360" w:lineRule="auto"/>
        <w:jc w:val="left"/>
        <w:rPr>
          <w:color w:val="auto"/>
          <w:sz w:val="21"/>
          <w:szCs w:val="21"/>
        </w:rPr>
      </w:pPr>
      <w:r>
        <w:rPr>
          <w:rFonts w:hint="eastAsia"/>
          <w:color w:val="auto"/>
          <w:sz w:val="21"/>
          <w:szCs w:val="21"/>
        </w:rPr>
        <w:t>（7）将滤液趁热转入的干净的锥形瓶，静置，</w:t>
      </w:r>
      <w:r>
        <w:rPr>
          <w:color w:val="auto"/>
          <w:sz w:val="21"/>
          <w:szCs w:val="21"/>
        </w:rPr>
        <w:t>自然冷却</w:t>
      </w:r>
      <w:r>
        <w:rPr>
          <w:rFonts w:hint="eastAsia"/>
          <w:color w:val="auto"/>
          <w:sz w:val="21"/>
          <w:szCs w:val="21"/>
        </w:rPr>
        <w:t>，</w:t>
      </w:r>
      <w:r>
        <w:rPr>
          <w:color w:val="auto"/>
          <w:sz w:val="21"/>
          <w:szCs w:val="21"/>
        </w:rPr>
        <w:t>通过观察，可以看到瓶底有产物析出</w:t>
      </w:r>
      <w:r>
        <w:rPr>
          <w:rFonts w:hint="eastAsia"/>
          <w:color w:val="auto"/>
          <w:sz w:val="21"/>
          <w:szCs w:val="21"/>
        </w:rPr>
        <w:t>，</w:t>
      </w:r>
      <w:r>
        <w:rPr>
          <w:color w:val="auto"/>
          <w:sz w:val="21"/>
          <w:szCs w:val="21"/>
        </w:rPr>
        <w:t>实验结束</w:t>
      </w:r>
    </w:p>
    <w:p>
      <w:pPr>
        <w:autoSpaceDE w:val="0"/>
        <w:autoSpaceDN w:val="0"/>
        <w:adjustRightInd w:val="0"/>
        <w:spacing w:line="360" w:lineRule="auto"/>
        <w:jc w:val="left"/>
        <w:rPr>
          <w:color w:val="auto"/>
          <w:sz w:val="21"/>
          <w:szCs w:val="21"/>
        </w:rPr>
      </w:pPr>
      <w:r>
        <w:rPr>
          <w:rFonts w:hint="eastAsia"/>
          <w:color w:val="auto"/>
          <w:sz w:val="21"/>
          <w:szCs w:val="21"/>
        </w:rPr>
        <w:t>交互设计：操作者选择溶液冷却方式，水冷凝、搅拌加速冷凝等，选择错误的提示操作失误，系统扣分。</w:t>
      </w:r>
    </w:p>
    <w:p>
      <w:pPr>
        <w:spacing w:line="360" w:lineRule="auto"/>
        <w:rPr>
          <w:b/>
          <w:color w:val="auto"/>
          <w:sz w:val="21"/>
          <w:szCs w:val="21"/>
        </w:rPr>
      </w:pPr>
      <w:r>
        <w:rPr>
          <w:rFonts w:hint="eastAsia"/>
          <w:b/>
          <w:color w:val="auto"/>
          <w:sz w:val="21"/>
          <w:szCs w:val="21"/>
        </w:rPr>
        <w:t>5</w:t>
      </w:r>
      <w:r>
        <w:rPr>
          <w:rFonts w:hint="eastAsia"/>
          <w:b/>
          <w:color w:val="auto"/>
          <w:sz w:val="21"/>
          <w:szCs w:val="21"/>
          <w:lang w:eastAsia="zh-CN"/>
        </w:rPr>
        <w:t>、</w:t>
      </w:r>
      <w:r>
        <w:rPr>
          <w:rFonts w:hint="eastAsia"/>
          <w:b/>
          <w:color w:val="auto"/>
          <w:sz w:val="21"/>
          <w:szCs w:val="21"/>
        </w:rPr>
        <w:t>柱层析虚拟仿真教学软件</w:t>
      </w:r>
    </w:p>
    <w:p>
      <w:pPr>
        <w:autoSpaceDE w:val="0"/>
        <w:autoSpaceDN w:val="0"/>
        <w:adjustRightInd w:val="0"/>
        <w:spacing w:line="360" w:lineRule="auto"/>
        <w:jc w:val="left"/>
        <w:rPr>
          <w:color w:val="auto"/>
          <w:sz w:val="21"/>
          <w:szCs w:val="21"/>
        </w:rPr>
      </w:pPr>
      <w:r>
        <w:rPr>
          <w:rFonts w:hint="eastAsia"/>
          <w:color w:val="auto"/>
          <w:sz w:val="21"/>
          <w:szCs w:val="21"/>
        </w:rPr>
        <w:t>实验原理：</w:t>
      </w:r>
    </w:p>
    <w:p>
      <w:pPr>
        <w:autoSpaceDE w:val="0"/>
        <w:autoSpaceDN w:val="0"/>
        <w:adjustRightInd w:val="0"/>
        <w:spacing w:line="360" w:lineRule="auto"/>
        <w:ind w:firstLine="420"/>
        <w:jc w:val="left"/>
        <w:rPr>
          <w:color w:val="auto"/>
          <w:sz w:val="21"/>
          <w:szCs w:val="21"/>
        </w:rPr>
      </w:pPr>
      <w:r>
        <w:rPr>
          <w:color w:val="auto"/>
          <w:sz w:val="21"/>
          <w:szCs w:val="21"/>
        </w:rPr>
        <w:t>柱层析是将吸附剂填充到一根玻璃管或金属管中进行的色谱技术。这种方法可以用来分离大多数有机化合物，尤其适合于分离和精制较大量的样品。根据待分离组分的结构和性质选择合适的吸附剂和洗脱剂是分离成败的关键。</w:t>
      </w:r>
    </w:p>
    <w:p>
      <w:pPr>
        <w:autoSpaceDE w:val="0"/>
        <w:autoSpaceDN w:val="0"/>
        <w:adjustRightInd w:val="0"/>
        <w:spacing w:line="360" w:lineRule="auto"/>
        <w:jc w:val="left"/>
        <w:rPr>
          <w:color w:val="auto"/>
          <w:sz w:val="21"/>
          <w:szCs w:val="21"/>
        </w:rPr>
      </w:pPr>
      <w:r>
        <w:rPr>
          <w:rFonts w:hint="eastAsia"/>
          <w:color w:val="auto"/>
          <w:sz w:val="21"/>
          <w:szCs w:val="21"/>
        </w:rPr>
        <w:t>实验目的：</w:t>
      </w:r>
    </w:p>
    <w:p>
      <w:pPr>
        <w:autoSpaceDE w:val="0"/>
        <w:autoSpaceDN w:val="0"/>
        <w:adjustRightInd w:val="0"/>
        <w:spacing w:line="360" w:lineRule="auto"/>
        <w:ind w:firstLine="420"/>
        <w:jc w:val="left"/>
        <w:rPr>
          <w:color w:val="auto"/>
          <w:sz w:val="21"/>
          <w:szCs w:val="21"/>
        </w:rPr>
      </w:pPr>
      <w:r>
        <w:rPr>
          <w:color w:val="auto"/>
          <w:sz w:val="21"/>
          <w:szCs w:val="21"/>
        </w:rPr>
        <w:t>学习柱层析提纯有机化合物的原理和方法，学会安装仪器的基本方法以及实验操作，利用层析柱从粗品中分离出纯品。</w:t>
      </w:r>
    </w:p>
    <w:p>
      <w:pPr>
        <w:autoSpaceDE w:val="0"/>
        <w:autoSpaceDN w:val="0"/>
        <w:adjustRightInd w:val="0"/>
        <w:spacing w:line="360" w:lineRule="auto"/>
        <w:jc w:val="left"/>
        <w:rPr>
          <w:color w:val="auto"/>
          <w:sz w:val="21"/>
          <w:szCs w:val="21"/>
        </w:rPr>
      </w:pPr>
      <w:r>
        <w:rPr>
          <w:rFonts w:hint="eastAsia"/>
          <w:color w:val="auto"/>
          <w:sz w:val="21"/>
          <w:szCs w:val="21"/>
        </w:rPr>
        <w:t>实验步骤：</w:t>
      </w:r>
    </w:p>
    <w:p>
      <w:pPr>
        <w:autoSpaceDE w:val="0"/>
        <w:autoSpaceDN w:val="0"/>
        <w:adjustRightInd w:val="0"/>
        <w:spacing w:line="360" w:lineRule="auto"/>
        <w:jc w:val="left"/>
        <w:rPr>
          <w:color w:val="auto"/>
          <w:sz w:val="21"/>
          <w:szCs w:val="21"/>
        </w:rPr>
      </w:pPr>
      <w:r>
        <w:rPr>
          <w:rFonts w:hint="eastAsia"/>
          <w:color w:val="auto"/>
          <w:sz w:val="21"/>
          <w:szCs w:val="21"/>
        </w:rPr>
        <w:t>（1）将层析柱竖直固定在铁架台上，从上端加入少量脱脂棉，用长玻璃棒小心将其垫入层析柱底部，然后加入</w:t>
      </w:r>
      <w:r>
        <w:rPr>
          <w:color w:val="auto"/>
          <w:sz w:val="21"/>
          <w:szCs w:val="21"/>
        </w:rPr>
        <w:t>适量的石油醚</w:t>
      </w:r>
      <w:r>
        <w:rPr>
          <w:rFonts w:hint="eastAsia"/>
          <w:color w:val="auto"/>
          <w:sz w:val="21"/>
          <w:szCs w:val="21"/>
        </w:rPr>
        <w:t>，轻敲柱体，赶出脱脂棉中的气泡</w:t>
      </w:r>
    </w:p>
    <w:p>
      <w:pPr>
        <w:autoSpaceDE w:val="0"/>
        <w:autoSpaceDN w:val="0"/>
        <w:adjustRightInd w:val="0"/>
        <w:spacing w:line="360" w:lineRule="auto"/>
        <w:jc w:val="left"/>
        <w:rPr>
          <w:color w:val="auto"/>
          <w:sz w:val="21"/>
          <w:szCs w:val="21"/>
        </w:rPr>
      </w:pPr>
      <w:r>
        <w:rPr>
          <w:rFonts w:hint="eastAsia"/>
          <w:color w:val="auto"/>
          <w:sz w:val="21"/>
          <w:szCs w:val="21"/>
        </w:rPr>
        <w:t>交互操作1：操作者决定层析柱的位置，有倾斜角度不竖直的，系统提示操作失误，扣失误分；</w:t>
      </w:r>
    </w:p>
    <w:p>
      <w:pPr>
        <w:autoSpaceDE w:val="0"/>
        <w:autoSpaceDN w:val="0"/>
        <w:adjustRightInd w:val="0"/>
        <w:spacing w:line="360" w:lineRule="auto"/>
        <w:jc w:val="left"/>
        <w:rPr>
          <w:color w:val="auto"/>
          <w:sz w:val="21"/>
          <w:szCs w:val="21"/>
        </w:rPr>
      </w:pPr>
      <w:r>
        <w:rPr>
          <w:rFonts w:hint="eastAsia"/>
          <w:color w:val="auto"/>
          <w:sz w:val="21"/>
          <w:szCs w:val="21"/>
        </w:rPr>
        <w:t>交互操作2：操作者选择是否需要脱脂棉，选择不需要的扣失误分。</w:t>
      </w:r>
    </w:p>
    <w:p>
      <w:pPr>
        <w:autoSpaceDE w:val="0"/>
        <w:autoSpaceDN w:val="0"/>
        <w:adjustRightInd w:val="0"/>
        <w:spacing w:line="360" w:lineRule="auto"/>
        <w:jc w:val="left"/>
        <w:rPr>
          <w:color w:val="auto"/>
          <w:sz w:val="21"/>
          <w:szCs w:val="21"/>
        </w:rPr>
      </w:pPr>
      <w:r>
        <w:rPr>
          <w:rFonts w:hint="eastAsia"/>
          <w:color w:val="auto"/>
          <w:sz w:val="21"/>
          <w:szCs w:val="21"/>
        </w:rPr>
        <w:t>（2）用烧杯称取一定量的硅胶，向里面加入石油醚，用玻棒沿顺时针或者逆时针方向搅拌至泥浆装</w:t>
      </w:r>
    </w:p>
    <w:p>
      <w:pPr>
        <w:autoSpaceDE w:val="0"/>
        <w:autoSpaceDN w:val="0"/>
        <w:adjustRightInd w:val="0"/>
        <w:spacing w:line="360" w:lineRule="auto"/>
        <w:jc w:val="left"/>
        <w:rPr>
          <w:color w:val="auto"/>
          <w:sz w:val="21"/>
          <w:szCs w:val="21"/>
        </w:rPr>
      </w:pPr>
      <w:r>
        <w:rPr>
          <w:rFonts w:hint="eastAsia"/>
          <w:color w:val="auto"/>
          <w:sz w:val="21"/>
          <w:szCs w:val="21"/>
        </w:rPr>
        <w:t>（3）</w:t>
      </w:r>
      <w:r>
        <w:rPr>
          <w:color w:val="auto"/>
          <w:sz w:val="21"/>
          <w:szCs w:val="21"/>
        </w:rPr>
        <w:t>往层析柱中加入适量的</w:t>
      </w:r>
      <w:r>
        <w:rPr>
          <w:rFonts w:hint="eastAsia"/>
          <w:color w:val="auto"/>
          <w:sz w:val="21"/>
          <w:szCs w:val="21"/>
        </w:rPr>
        <w:t>石油醚</w:t>
      </w:r>
      <w:r>
        <w:rPr>
          <w:color w:val="auto"/>
          <w:sz w:val="21"/>
          <w:szCs w:val="21"/>
        </w:rPr>
        <w:t>硅胶</w:t>
      </w:r>
      <w:r>
        <w:rPr>
          <w:rFonts w:hint="eastAsia"/>
          <w:color w:val="auto"/>
          <w:sz w:val="21"/>
          <w:szCs w:val="21"/>
        </w:rPr>
        <w:t>混合物，轻敲柱体，赶出气泡，并使硅胶主体更紧密。沉降3</w:t>
      </w:r>
      <w:r>
        <w:rPr>
          <w:color w:val="auto"/>
          <w:sz w:val="21"/>
          <w:szCs w:val="21"/>
        </w:rPr>
        <w:t>0</w:t>
      </w:r>
      <w:r>
        <w:rPr>
          <w:rFonts w:hint="eastAsia"/>
          <w:color w:val="auto"/>
          <w:sz w:val="21"/>
          <w:szCs w:val="21"/>
        </w:rPr>
        <w:t>分钟。</w:t>
      </w:r>
    </w:p>
    <w:p>
      <w:pPr>
        <w:autoSpaceDE w:val="0"/>
        <w:autoSpaceDN w:val="0"/>
        <w:adjustRightInd w:val="0"/>
        <w:spacing w:line="360" w:lineRule="auto"/>
        <w:jc w:val="left"/>
        <w:rPr>
          <w:color w:val="auto"/>
          <w:sz w:val="21"/>
          <w:szCs w:val="21"/>
        </w:rPr>
      </w:pPr>
      <w:r>
        <w:rPr>
          <w:rFonts w:hint="eastAsia"/>
          <w:color w:val="auto"/>
          <w:sz w:val="21"/>
          <w:szCs w:val="21"/>
        </w:rPr>
        <w:t>交互操作：操作者决定装入的硅胶的高度，不足层析柱高度1</w:t>
      </w:r>
      <w:r>
        <w:rPr>
          <w:color w:val="auto"/>
          <w:sz w:val="21"/>
          <w:szCs w:val="21"/>
        </w:rPr>
        <w:t>/3</w:t>
      </w:r>
      <w:r>
        <w:rPr>
          <w:rFonts w:hint="eastAsia"/>
          <w:color w:val="auto"/>
          <w:sz w:val="21"/>
          <w:szCs w:val="21"/>
        </w:rPr>
        <w:t>或者高于2</w:t>
      </w:r>
      <w:r>
        <w:rPr>
          <w:color w:val="auto"/>
          <w:sz w:val="21"/>
          <w:szCs w:val="21"/>
        </w:rPr>
        <w:t>/3</w:t>
      </w:r>
      <w:r>
        <w:rPr>
          <w:rFonts w:hint="eastAsia"/>
          <w:color w:val="auto"/>
          <w:sz w:val="21"/>
          <w:szCs w:val="21"/>
        </w:rPr>
        <w:t>的，系统提示扣失误分。</w:t>
      </w:r>
    </w:p>
    <w:p>
      <w:pPr>
        <w:autoSpaceDE w:val="0"/>
        <w:autoSpaceDN w:val="0"/>
        <w:adjustRightInd w:val="0"/>
        <w:spacing w:line="360" w:lineRule="auto"/>
        <w:jc w:val="left"/>
        <w:rPr>
          <w:sz w:val="21"/>
          <w:szCs w:val="21"/>
        </w:rPr>
      </w:pPr>
      <w:r>
        <w:rPr>
          <w:rFonts w:hint="eastAsia"/>
          <w:color w:val="auto"/>
          <w:sz w:val="21"/>
          <w:szCs w:val="21"/>
        </w:rPr>
        <w:t>（4）</w:t>
      </w:r>
      <w:r>
        <w:rPr>
          <w:color w:val="auto"/>
          <w:sz w:val="21"/>
          <w:szCs w:val="21"/>
        </w:rPr>
        <w:t>打开层析柱</w:t>
      </w:r>
      <w:r>
        <w:rPr>
          <w:rFonts w:hint="eastAsia"/>
          <w:color w:val="auto"/>
          <w:sz w:val="21"/>
          <w:szCs w:val="21"/>
        </w:rPr>
        <w:t>活塞</w:t>
      </w:r>
      <w:r>
        <w:rPr>
          <w:color w:val="auto"/>
          <w:sz w:val="21"/>
          <w:szCs w:val="21"/>
        </w:rPr>
        <w:t>开关，</w:t>
      </w:r>
      <w:r>
        <w:rPr>
          <w:rFonts w:hint="eastAsia"/>
          <w:color w:val="auto"/>
          <w:sz w:val="21"/>
          <w:szCs w:val="21"/>
        </w:rPr>
        <w:t>使液体流出，使液面与硅胶面</w:t>
      </w:r>
      <w:r>
        <w:rPr>
          <w:rFonts w:hint="eastAsia"/>
          <w:sz w:val="21"/>
          <w:szCs w:val="21"/>
        </w:rPr>
        <w:t>相切（平齐）</w:t>
      </w:r>
    </w:p>
    <w:p>
      <w:pPr>
        <w:autoSpaceDE w:val="0"/>
        <w:autoSpaceDN w:val="0"/>
        <w:adjustRightInd w:val="0"/>
        <w:spacing w:line="360" w:lineRule="auto"/>
        <w:jc w:val="left"/>
        <w:rPr>
          <w:sz w:val="21"/>
          <w:szCs w:val="21"/>
        </w:rPr>
      </w:pPr>
      <w:r>
        <w:rPr>
          <w:rFonts w:hint="eastAsia"/>
          <w:sz w:val="21"/>
          <w:szCs w:val="21"/>
        </w:rPr>
        <w:t>交互操作：操作者决定关闭活塞时机，液面过高或者液面低于固定相，系统均提示扣失误分。</w:t>
      </w:r>
    </w:p>
    <w:p>
      <w:pPr>
        <w:autoSpaceDE w:val="0"/>
        <w:autoSpaceDN w:val="0"/>
        <w:adjustRightInd w:val="0"/>
        <w:spacing w:line="360" w:lineRule="auto"/>
        <w:jc w:val="left"/>
        <w:rPr>
          <w:sz w:val="21"/>
          <w:szCs w:val="21"/>
        </w:rPr>
      </w:pPr>
      <w:r>
        <w:rPr>
          <w:rFonts w:hint="eastAsia"/>
          <w:sz w:val="21"/>
          <w:szCs w:val="21"/>
        </w:rPr>
        <w:t>（4）用滴管吸取液体样品粗品，</w:t>
      </w:r>
      <w:r>
        <w:rPr>
          <w:sz w:val="21"/>
          <w:szCs w:val="21"/>
        </w:rPr>
        <w:t>向层析柱中加入</w:t>
      </w:r>
      <w:r>
        <w:rPr>
          <w:rFonts w:hint="eastAsia"/>
          <w:sz w:val="21"/>
          <w:szCs w:val="21"/>
        </w:rPr>
        <w:t>（滴管要靠近硅胶面但不能和硅胶面接触），打开层析柱活塞，轻微调整液面高度，保持</w:t>
      </w:r>
      <w:r>
        <w:rPr>
          <w:sz w:val="21"/>
          <w:szCs w:val="21"/>
        </w:rPr>
        <w:t>液面与</w:t>
      </w:r>
      <w:r>
        <w:rPr>
          <w:rFonts w:hint="eastAsia"/>
          <w:sz w:val="21"/>
          <w:szCs w:val="21"/>
        </w:rPr>
        <w:t>硅胶面</w:t>
      </w:r>
      <w:r>
        <w:rPr>
          <w:sz w:val="21"/>
          <w:szCs w:val="21"/>
        </w:rPr>
        <w:t>相平</w:t>
      </w:r>
      <w:r>
        <w:rPr>
          <w:rFonts w:hint="eastAsia"/>
          <w:sz w:val="21"/>
          <w:szCs w:val="21"/>
        </w:rPr>
        <w:t>。用滴管吸取少量溶剂小心洗净层析柱上端内壁，再次轻微调整液面高度。</w:t>
      </w:r>
    </w:p>
    <w:p>
      <w:pPr>
        <w:autoSpaceDE w:val="0"/>
        <w:autoSpaceDN w:val="0"/>
        <w:adjustRightInd w:val="0"/>
        <w:spacing w:line="360" w:lineRule="auto"/>
        <w:jc w:val="left"/>
        <w:rPr>
          <w:sz w:val="21"/>
          <w:szCs w:val="21"/>
        </w:rPr>
      </w:pPr>
      <w:r>
        <w:rPr>
          <w:rFonts w:hint="eastAsia"/>
          <w:sz w:val="21"/>
          <w:szCs w:val="21"/>
        </w:rPr>
        <w:t>（5）</w:t>
      </w:r>
      <w:r>
        <w:rPr>
          <w:sz w:val="21"/>
          <w:szCs w:val="21"/>
        </w:rPr>
        <w:t>向</w:t>
      </w:r>
      <w:r>
        <w:rPr>
          <w:rFonts w:hint="eastAsia"/>
          <w:sz w:val="21"/>
          <w:szCs w:val="21"/>
        </w:rPr>
        <w:t>样品粗品上面小心铺上一层</w:t>
      </w:r>
      <w:r>
        <w:rPr>
          <w:sz w:val="21"/>
          <w:szCs w:val="21"/>
        </w:rPr>
        <w:t>石英砂，防止填料层被溶剂冲散</w:t>
      </w:r>
      <w:r>
        <w:rPr>
          <w:rFonts w:hint="eastAsia"/>
          <w:sz w:val="21"/>
          <w:szCs w:val="21"/>
        </w:rPr>
        <w:t>；石英砂上端再小心铺上一层无水硫酸镁，吸收溶剂中的少量水分</w:t>
      </w:r>
    </w:p>
    <w:p>
      <w:pPr>
        <w:autoSpaceDE w:val="0"/>
        <w:autoSpaceDN w:val="0"/>
        <w:adjustRightInd w:val="0"/>
        <w:spacing w:line="360" w:lineRule="auto"/>
        <w:jc w:val="left"/>
        <w:rPr>
          <w:sz w:val="21"/>
          <w:szCs w:val="21"/>
        </w:rPr>
      </w:pPr>
      <w:r>
        <w:rPr>
          <w:rFonts w:hint="eastAsia"/>
          <w:sz w:val="21"/>
          <w:szCs w:val="21"/>
        </w:rPr>
        <w:t>（6）</w:t>
      </w:r>
      <w:r>
        <w:rPr>
          <w:sz w:val="21"/>
          <w:szCs w:val="21"/>
        </w:rPr>
        <w:t>量取200ml的石油醚和100ml的乙酸乙酯混合并用玻璃棒搅拌均匀</w:t>
      </w:r>
      <w:r>
        <w:rPr>
          <w:rFonts w:hint="eastAsia"/>
          <w:sz w:val="21"/>
          <w:szCs w:val="21"/>
        </w:rPr>
        <w:t>，</w:t>
      </w:r>
      <w:r>
        <w:rPr>
          <w:sz w:val="21"/>
          <w:szCs w:val="21"/>
        </w:rPr>
        <w:t>作为洗脱剂</w:t>
      </w:r>
    </w:p>
    <w:p>
      <w:pPr>
        <w:autoSpaceDE w:val="0"/>
        <w:autoSpaceDN w:val="0"/>
        <w:adjustRightInd w:val="0"/>
        <w:spacing w:line="360" w:lineRule="auto"/>
        <w:jc w:val="left"/>
        <w:rPr>
          <w:sz w:val="21"/>
          <w:szCs w:val="21"/>
        </w:rPr>
      </w:pPr>
      <w:r>
        <w:rPr>
          <w:rFonts w:hint="eastAsia"/>
          <w:sz w:val="21"/>
          <w:szCs w:val="21"/>
        </w:rPr>
        <w:t>（7）</w:t>
      </w:r>
      <w:r>
        <w:rPr>
          <w:sz w:val="21"/>
          <w:szCs w:val="21"/>
        </w:rPr>
        <w:t>将混合好的溶剂</w:t>
      </w:r>
      <w:r>
        <w:rPr>
          <w:rFonts w:hint="eastAsia"/>
          <w:sz w:val="21"/>
          <w:szCs w:val="21"/>
        </w:rPr>
        <w:t>分批</w:t>
      </w:r>
      <w:r>
        <w:rPr>
          <w:sz w:val="21"/>
          <w:szCs w:val="21"/>
        </w:rPr>
        <w:t>缓慢加入层析柱中</w:t>
      </w:r>
      <w:r>
        <w:rPr>
          <w:rFonts w:hint="eastAsia"/>
          <w:sz w:val="21"/>
          <w:szCs w:val="21"/>
        </w:rPr>
        <w:t>，第一次加入</w:t>
      </w:r>
      <w:r>
        <w:rPr>
          <w:sz w:val="21"/>
          <w:szCs w:val="21"/>
        </w:rPr>
        <w:t>10mL</w:t>
      </w:r>
      <w:r>
        <w:rPr>
          <w:rFonts w:hint="eastAsia"/>
          <w:sz w:val="21"/>
          <w:szCs w:val="21"/>
        </w:rPr>
        <w:t>，仔细观察样品是否溶解进入溶剂。然后加入剩下的溶剂，进行洗脱。用试管分批进行收集。</w:t>
      </w:r>
    </w:p>
    <w:p>
      <w:pPr>
        <w:autoSpaceDE w:val="0"/>
        <w:autoSpaceDN w:val="0"/>
        <w:adjustRightInd w:val="0"/>
        <w:spacing w:line="360" w:lineRule="auto"/>
        <w:jc w:val="left"/>
        <w:rPr>
          <w:sz w:val="21"/>
          <w:szCs w:val="21"/>
        </w:rPr>
      </w:pPr>
      <w:r>
        <w:rPr>
          <w:rFonts w:hint="eastAsia"/>
          <w:sz w:val="21"/>
          <w:szCs w:val="21"/>
        </w:rPr>
        <w:t>（8）</w:t>
      </w:r>
      <w:r>
        <w:rPr>
          <w:sz w:val="21"/>
          <w:szCs w:val="21"/>
        </w:rPr>
        <w:t>用点样针进行点样，分别取粗品溶剂和</w:t>
      </w:r>
      <w:r>
        <w:rPr>
          <w:rFonts w:hint="eastAsia"/>
          <w:sz w:val="21"/>
          <w:szCs w:val="21"/>
        </w:rPr>
        <w:t>柱层析纯化</w:t>
      </w:r>
      <w:r>
        <w:rPr>
          <w:sz w:val="21"/>
          <w:szCs w:val="21"/>
        </w:rPr>
        <w:t>之后的溶液</w:t>
      </w:r>
      <w:r>
        <w:rPr>
          <w:rFonts w:hint="eastAsia"/>
          <w:sz w:val="21"/>
          <w:szCs w:val="21"/>
        </w:rPr>
        <w:t>在同一个薄层板上进行点样。</w:t>
      </w:r>
    </w:p>
    <w:p>
      <w:pPr>
        <w:autoSpaceDE w:val="0"/>
        <w:autoSpaceDN w:val="0"/>
        <w:adjustRightInd w:val="0"/>
        <w:spacing w:line="360" w:lineRule="auto"/>
        <w:jc w:val="left"/>
        <w:rPr>
          <w:sz w:val="21"/>
          <w:szCs w:val="21"/>
        </w:rPr>
      </w:pPr>
      <w:r>
        <w:rPr>
          <w:rFonts w:hint="eastAsia"/>
          <w:sz w:val="21"/>
          <w:szCs w:val="21"/>
        </w:rPr>
        <w:t>（9）</w:t>
      </w:r>
      <w:r>
        <w:rPr>
          <w:sz w:val="21"/>
          <w:szCs w:val="21"/>
        </w:rPr>
        <w:t>将点样板进行爬板，在紫外灯下照射观察</w:t>
      </w:r>
      <w:r>
        <w:rPr>
          <w:rFonts w:hint="eastAsia"/>
          <w:sz w:val="21"/>
          <w:szCs w:val="21"/>
        </w:rPr>
        <w:t>纯化情况，合并收集的洗脱液。</w:t>
      </w:r>
    </w:p>
    <w:p>
      <w:pPr>
        <w:autoSpaceDE w:val="0"/>
        <w:autoSpaceDN w:val="0"/>
        <w:adjustRightInd w:val="0"/>
        <w:spacing w:line="360" w:lineRule="auto"/>
        <w:jc w:val="left"/>
        <w:rPr>
          <w:sz w:val="21"/>
          <w:szCs w:val="21"/>
        </w:rPr>
      </w:pPr>
    </w:p>
    <w:p>
      <w:pPr>
        <w:spacing w:line="360" w:lineRule="auto"/>
        <w:rPr>
          <w:b/>
          <w:sz w:val="21"/>
          <w:szCs w:val="21"/>
        </w:rPr>
      </w:pPr>
      <w:r>
        <w:rPr>
          <w:rFonts w:hint="eastAsia"/>
          <w:b/>
          <w:sz w:val="21"/>
          <w:szCs w:val="21"/>
        </w:rPr>
        <w:t>6</w:t>
      </w:r>
      <w:r>
        <w:rPr>
          <w:rFonts w:hint="eastAsia"/>
          <w:b/>
          <w:sz w:val="21"/>
          <w:szCs w:val="21"/>
          <w:lang w:eastAsia="zh-CN"/>
        </w:rPr>
        <w:t>、</w:t>
      </w:r>
      <w:r>
        <w:rPr>
          <w:rFonts w:hint="eastAsia"/>
          <w:b/>
          <w:sz w:val="21"/>
          <w:szCs w:val="21"/>
        </w:rPr>
        <w:t>葡萄糖苷型叠氮前体及杀菌活性虚拟仿真教学软件（</w:t>
      </w:r>
      <w:r>
        <w:rPr>
          <w:rFonts w:hint="eastAsia" w:ascii="仿宋_GB2312" w:eastAsia="仿宋_GB2312"/>
          <w:b/>
          <w:bCs/>
          <w:sz w:val="21"/>
          <w:szCs w:val="21"/>
        </w:rPr>
        <w:t>拍摄制作</w:t>
      </w:r>
      <w:r>
        <w:rPr>
          <w:rFonts w:hint="eastAsia"/>
          <w:b/>
          <w:sz w:val="21"/>
          <w:szCs w:val="21"/>
        </w:rPr>
        <w:t>）</w:t>
      </w:r>
    </w:p>
    <w:p>
      <w:pPr>
        <w:spacing w:line="360" w:lineRule="auto"/>
        <w:ind w:firstLine="211" w:firstLineChars="100"/>
        <w:rPr>
          <w:rFonts w:ascii="仿宋_GB2312" w:eastAsia="仿宋_GB2312"/>
          <w:b/>
          <w:bCs/>
          <w:sz w:val="21"/>
          <w:szCs w:val="21"/>
        </w:rPr>
      </w:pPr>
      <w:r>
        <w:rPr>
          <w:rFonts w:hint="eastAsia" w:ascii="仿宋_GB2312" w:eastAsia="仿宋_GB2312"/>
          <w:b/>
          <w:bCs/>
          <w:sz w:val="21"/>
          <w:szCs w:val="21"/>
        </w:rPr>
        <w:t>实验内容</w:t>
      </w:r>
    </w:p>
    <w:p>
      <w:pPr>
        <w:spacing w:line="360" w:lineRule="auto"/>
        <w:ind w:firstLine="420" w:firstLineChars="200"/>
        <w:rPr>
          <w:sz w:val="21"/>
          <w:szCs w:val="21"/>
        </w:rPr>
      </w:pPr>
      <w:r>
        <w:rPr>
          <w:rFonts w:hint="eastAsia"/>
          <w:sz w:val="21"/>
          <w:szCs w:val="21"/>
        </w:rPr>
        <w:t>（1）叠氮糖苷的制备</w:t>
      </w:r>
    </w:p>
    <w:p>
      <w:pPr>
        <w:spacing w:line="360" w:lineRule="auto"/>
        <w:ind w:firstLine="420" w:firstLineChars="200"/>
        <w:rPr>
          <w:rFonts w:ascii="仿宋_GB2312" w:hAnsi="宋体" w:eastAsia="仿宋_GB2312"/>
          <w:sz w:val="21"/>
          <w:szCs w:val="21"/>
        </w:rPr>
      </w:pPr>
      <w:r>
        <w:rPr>
          <w:sz w:val="21"/>
          <w:szCs w:val="21"/>
        </w:rPr>
        <w:object>
          <v:shape id="_x0000_i1025" o:spt="75" type="#_x0000_t75" style="height:73.35pt;width:397.35pt;" o:ole="t" filled="f" o:preferrelative="t" stroked="f" coordsize="21600,21600">
            <v:path/>
            <v:fill on="f" focussize="0,0"/>
            <v:stroke on="f" joinstyle="miter"/>
            <v:imagedata r:id="rId13" o:title=""/>
            <o:lock v:ext="edit" aspectratio="t"/>
            <w10:wrap type="none"/>
            <w10:anchorlock/>
          </v:shape>
          <o:OLEObject Type="Embed" ProgID="ChemDraw.Document.6.0" ShapeID="_x0000_i1025" DrawAspect="Content" ObjectID="_1468075725" r:id="rId12">
            <o:LockedField>false</o:LockedField>
          </o:OLEObject>
        </w:object>
      </w:r>
    </w:p>
    <w:p>
      <w:pPr>
        <w:spacing w:line="360" w:lineRule="auto"/>
        <w:ind w:firstLine="420" w:firstLineChars="200"/>
        <w:rPr>
          <w:sz w:val="21"/>
          <w:szCs w:val="21"/>
        </w:rPr>
      </w:pPr>
      <w:r>
        <w:rPr>
          <w:rFonts w:hint="eastAsia"/>
          <w:sz w:val="21"/>
          <w:szCs w:val="21"/>
        </w:rPr>
        <w:t>制备方法如上图化学方程式所示。该实验用到的操作主要有分液，过滤，旋蒸，柱层析，薄层层析等操作。</w:t>
      </w:r>
    </w:p>
    <w:p>
      <w:pPr>
        <w:spacing w:line="360" w:lineRule="auto"/>
        <w:ind w:firstLine="420" w:firstLineChars="200"/>
        <w:rPr>
          <w:sz w:val="21"/>
          <w:szCs w:val="21"/>
        </w:rPr>
      </w:pPr>
      <w:r>
        <w:rPr>
          <w:rFonts w:hint="eastAsia"/>
          <w:sz w:val="21"/>
          <w:szCs w:val="21"/>
        </w:rPr>
        <w:t>（2）抑菌活性实验</w:t>
      </w:r>
    </w:p>
    <w:p>
      <w:pPr>
        <w:spacing w:line="360" w:lineRule="auto"/>
        <w:ind w:firstLine="420" w:firstLineChars="200"/>
        <w:rPr>
          <w:sz w:val="21"/>
          <w:szCs w:val="21"/>
        </w:rPr>
      </w:pPr>
      <w:r>
        <w:rPr>
          <w:rFonts w:hint="eastAsia"/>
          <w:sz w:val="21"/>
          <w:szCs w:val="21"/>
        </w:rPr>
        <w:t>在前期研究结果基础上，选择大肠杆菌作为实验菌，通过浊度法（吸光度测定）测量抑菌效果。</w:t>
      </w:r>
    </w:p>
    <w:p>
      <w:pPr>
        <w:spacing w:line="360" w:lineRule="auto"/>
        <w:ind w:firstLine="420" w:firstLineChars="200"/>
        <w:rPr>
          <w:sz w:val="21"/>
          <w:szCs w:val="21"/>
        </w:rPr>
      </w:pPr>
      <w:r>
        <w:rPr>
          <w:rFonts w:hint="eastAsia"/>
          <w:sz w:val="21"/>
          <w:szCs w:val="21"/>
        </w:rPr>
        <w:t>（3）抑菌机理实验</w:t>
      </w:r>
    </w:p>
    <w:p>
      <w:pPr>
        <w:spacing w:line="360" w:lineRule="auto"/>
        <w:ind w:firstLine="420" w:firstLineChars="200"/>
        <w:rPr>
          <w:sz w:val="21"/>
          <w:szCs w:val="21"/>
        </w:rPr>
      </w:pPr>
      <w:r>
        <w:rPr>
          <w:sz w:val="21"/>
          <w:szCs w:val="21"/>
        </w:rPr>
        <w:object>
          <v:shape id="_x0000_i1026" o:spt="75" type="#_x0000_t75" style="height:84.25pt;width:415.7pt;" o:ole="t" filled="f" o:preferrelative="t" stroked="f" coordsize="21600,21600">
            <v:path/>
            <v:fill on="f" focussize="0,0"/>
            <v:stroke on="f" joinstyle="miter"/>
            <v:imagedata r:id="rId15" o:title=""/>
            <o:lock v:ext="edit" aspectratio="t"/>
            <w10:wrap type="none"/>
            <w10:anchorlock/>
          </v:shape>
          <o:OLEObject Type="Embed" ProgID="ChemDraw.Document.6.0" ShapeID="_x0000_i1026" DrawAspect="Content" ObjectID="_1468075726" r:id="rId14">
            <o:LockedField>false</o:LockedField>
          </o:OLEObject>
        </w:object>
      </w:r>
    </w:p>
    <w:p>
      <w:pPr>
        <w:spacing w:line="360" w:lineRule="auto"/>
        <w:ind w:firstLine="420" w:firstLineChars="200"/>
        <w:rPr>
          <w:sz w:val="21"/>
          <w:szCs w:val="21"/>
        </w:rPr>
      </w:pPr>
      <w:r>
        <w:rPr>
          <w:rFonts w:hint="eastAsia"/>
          <w:sz w:val="21"/>
          <w:szCs w:val="21"/>
        </w:rPr>
        <w:t>通过香豆素炔与未分解的叠氮糖反应具有强的荧光来实现对叠氮糖苷的检测。</w:t>
      </w:r>
    </w:p>
    <w:p>
      <w:pPr>
        <w:spacing w:line="360" w:lineRule="auto"/>
        <w:ind w:firstLine="420" w:firstLineChars="200"/>
        <w:rPr>
          <w:sz w:val="21"/>
          <w:szCs w:val="21"/>
        </w:rPr>
      </w:pPr>
      <w:r>
        <w:rPr>
          <w:rFonts w:hint="eastAsia"/>
          <w:sz w:val="21"/>
          <w:szCs w:val="21"/>
        </w:rPr>
        <w:t>虚拟实验模式设计为三大块：演示实验，学生操作实验，测试考核实验。</w:t>
      </w:r>
    </w:p>
    <w:p>
      <w:pPr>
        <w:spacing w:line="360" w:lineRule="auto"/>
        <w:rPr>
          <w:rFonts w:ascii="仿宋_GB2312" w:eastAsia="仿宋_GB2312"/>
          <w:b/>
          <w:bCs/>
          <w:sz w:val="21"/>
          <w:szCs w:val="21"/>
        </w:rPr>
      </w:pPr>
      <w:r>
        <w:rPr>
          <w:rFonts w:hint="eastAsia" w:ascii="仿宋_GB2312" w:eastAsia="仿宋_GB2312"/>
          <w:b/>
          <w:bCs/>
          <w:sz w:val="21"/>
          <w:szCs w:val="21"/>
        </w:rPr>
        <w:t>7</w:t>
      </w:r>
      <w:r>
        <w:rPr>
          <w:rFonts w:hint="eastAsia" w:ascii="仿宋_GB2312" w:eastAsia="仿宋_GB2312"/>
          <w:b/>
          <w:bCs/>
          <w:sz w:val="21"/>
          <w:szCs w:val="21"/>
          <w:lang w:eastAsia="zh-CN"/>
        </w:rPr>
        <w:t>、</w:t>
      </w:r>
      <w:r>
        <w:rPr>
          <w:rFonts w:hint="eastAsia" w:ascii="仿宋_GB2312" w:eastAsia="仿宋_GB2312"/>
          <w:b/>
          <w:bCs/>
          <w:color w:val="000000" w:themeColor="text1"/>
          <w:sz w:val="21"/>
          <w:szCs w:val="21"/>
        </w:rPr>
        <w:t>水热合成法用于制备含氟有机固体强酸</w:t>
      </w:r>
      <w:r>
        <w:rPr>
          <w:rFonts w:hint="eastAsia" w:ascii="仿宋_GB2312" w:eastAsia="仿宋_GB2312"/>
          <w:b/>
          <w:bCs/>
          <w:sz w:val="21"/>
          <w:szCs w:val="21"/>
        </w:rPr>
        <w:t>虚拟仿真教学软件（拍摄制作）</w:t>
      </w:r>
    </w:p>
    <w:p>
      <w:pPr>
        <w:spacing w:line="360" w:lineRule="auto"/>
        <w:ind w:firstLine="420" w:firstLineChars="200"/>
        <w:rPr>
          <w:sz w:val="21"/>
          <w:szCs w:val="21"/>
        </w:rPr>
      </w:pPr>
      <w:r>
        <w:rPr>
          <w:rFonts w:hint="eastAsia"/>
          <w:sz w:val="21"/>
          <w:szCs w:val="21"/>
        </w:rPr>
        <w:t>项目内容分为原理介绍、实验演示及虚拟操作、考核评价三个模块。具体内容如下：</w:t>
      </w:r>
    </w:p>
    <w:p>
      <w:pPr>
        <w:spacing w:line="360" w:lineRule="auto"/>
        <w:ind w:firstLine="420" w:firstLineChars="200"/>
        <w:rPr>
          <w:sz w:val="21"/>
          <w:szCs w:val="21"/>
        </w:rPr>
      </w:pPr>
      <w:r>
        <w:rPr>
          <w:rFonts w:hint="eastAsia"/>
          <w:sz w:val="21"/>
          <w:szCs w:val="21"/>
        </w:rPr>
        <w:t>（1）原理介绍</w:t>
      </w:r>
    </w:p>
    <w:p>
      <w:pPr>
        <w:spacing w:line="360" w:lineRule="auto"/>
        <w:ind w:firstLine="420" w:firstLineChars="200"/>
        <w:rPr>
          <w:sz w:val="21"/>
          <w:szCs w:val="21"/>
        </w:rPr>
      </w:pPr>
      <w:r>
        <w:rPr>
          <w:rFonts w:hint="eastAsia"/>
          <w:sz w:val="21"/>
          <w:szCs w:val="21"/>
        </w:rPr>
        <w:t>通过虚拟画面、文字、动图等形式，展示有机化学实验室安全须知、有机反应原理、水热合成法原理等。</w:t>
      </w:r>
    </w:p>
    <w:p>
      <w:pPr>
        <w:spacing w:line="360" w:lineRule="auto"/>
        <w:ind w:firstLine="420" w:firstLineChars="200"/>
        <w:rPr>
          <w:sz w:val="21"/>
          <w:szCs w:val="21"/>
        </w:rPr>
      </w:pPr>
      <w:r>
        <w:rPr>
          <w:rFonts w:hint="eastAsia"/>
          <w:sz w:val="21"/>
          <w:szCs w:val="21"/>
        </w:rPr>
        <w:t>提供合成底物的路线和方法，以及与前期虚拟仿真项目的关联性，提供化合物物理性质，提供检测仪器和基本装置的功能介绍，通过问题设置，设计多路径选项，引导学生根据实验原理，选择适当的反应原材料和仪器设备。</w:t>
      </w:r>
    </w:p>
    <w:p>
      <w:pPr>
        <w:spacing w:line="360" w:lineRule="auto"/>
        <w:ind w:firstLine="420" w:firstLineChars="200"/>
        <w:rPr>
          <w:sz w:val="21"/>
          <w:szCs w:val="21"/>
        </w:rPr>
      </w:pPr>
      <w:r>
        <w:rPr>
          <w:rFonts w:hint="eastAsia"/>
          <w:sz w:val="21"/>
          <w:szCs w:val="21"/>
        </w:rPr>
        <w:t>（2）实验演示及操作</w:t>
      </w:r>
    </w:p>
    <w:p>
      <w:pPr>
        <w:spacing w:line="360" w:lineRule="auto"/>
        <w:ind w:firstLine="420" w:firstLineChars="200"/>
        <w:rPr>
          <w:sz w:val="21"/>
          <w:szCs w:val="21"/>
        </w:rPr>
      </w:pPr>
      <w:r>
        <w:rPr>
          <w:rFonts w:hint="eastAsia"/>
          <w:sz w:val="21"/>
          <w:szCs w:val="21"/>
        </w:rPr>
        <w:t>实验演示为本项目具体实验全过程的虚拟化，可暂停、回放、快进，供学生预习、练习使用。实验操作分为四部分。</w:t>
      </w:r>
    </w:p>
    <w:p>
      <w:pPr>
        <w:spacing w:line="360" w:lineRule="auto"/>
        <w:rPr>
          <w:sz w:val="21"/>
          <w:szCs w:val="21"/>
        </w:rPr>
      </w:pPr>
      <w:r>
        <w:rPr>
          <w:rFonts w:hint="eastAsia"/>
          <w:sz w:val="21"/>
          <w:szCs w:val="21"/>
        </w:rPr>
        <w:t>一、含氟酸性前体的合成。可以选择性关联前期虚拟仿真项目内容，设计气体保护（双排管使用），固体材料的制备（水热法合成）、酸化等虚拟操作；</w:t>
      </w:r>
    </w:p>
    <w:p>
      <w:pPr>
        <w:spacing w:line="360" w:lineRule="auto"/>
        <w:rPr>
          <w:sz w:val="21"/>
          <w:szCs w:val="21"/>
        </w:rPr>
      </w:pPr>
      <w:r>
        <w:rPr>
          <w:rFonts w:hint="eastAsia"/>
          <w:sz w:val="21"/>
          <w:szCs w:val="21"/>
        </w:rPr>
        <w:t>二、材料结构与形状表征。包括透射电镜、气体吸附-脱附、热重分析，以及虚拟水热稳定性分析实验等；</w:t>
      </w:r>
    </w:p>
    <w:p>
      <w:pPr>
        <w:spacing w:line="360" w:lineRule="auto"/>
        <w:rPr>
          <w:sz w:val="21"/>
          <w:szCs w:val="21"/>
        </w:rPr>
      </w:pPr>
      <w:r>
        <w:rPr>
          <w:rFonts w:hint="eastAsia"/>
          <w:sz w:val="21"/>
          <w:szCs w:val="21"/>
        </w:rPr>
        <w:t>三、固体酸在有机反应中的应用。在水相中催化糖的转化、酯化反应等水敏感的有机反应，依据操作者的操作过程，虚拟实验数据和结果，对结果进行评估。</w:t>
      </w:r>
    </w:p>
    <w:p>
      <w:pPr>
        <w:spacing w:line="360" w:lineRule="auto"/>
        <w:rPr>
          <w:rFonts w:ascii="楷体" w:hAnsi="楷体" w:eastAsia="楷体"/>
          <w:sz w:val="21"/>
          <w:szCs w:val="21"/>
        </w:rPr>
      </w:pPr>
      <w:r>
        <w:rPr>
          <w:rFonts w:hint="eastAsia"/>
          <w:sz w:val="21"/>
          <w:szCs w:val="21"/>
        </w:rPr>
        <w:t>操作模式下，对所有仪器、设备、药品均有相应标注，有详细步骤说明，体现交互式，设置引导和提示，重点仪器有简要作用介绍和使用说明，使学生掌握具体仪器的作用和使用方法，整个实验的操作方法。</w:t>
      </w:r>
    </w:p>
    <w:p>
      <w:pPr>
        <w:spacing w:line="360" w:lineRule="auto"/>
        <w:rPr>
          <w:sz w:val="21"/>
          <w:szCs w:val="21"/>
        </w:rPr>
      </w:pPr>
      <w:r>
        <w:rPr>
          <w:rFonts w:hint="eastAsia"/>
          <w:sz w:val="21"/>
          <w:szCs w:val="21"/>
        </w:rPr>
        <w:t>（3）考核评估</w:t>
      </w:r>
    </w:p>
    <w:p>
      <w:pPr>
        <w:spacing w:line="360" w:lineRule="auto"/>
        <w:rPr>
          <w:sz w:val="21"/>
          <w:szCs w:val="21"/>
        </w:rPr>
      </w:pPr>
      <w:r>
        <w:rPr>
          <w:rFonts w:hint="eastAsia"/>
          <w:sz w:val="21"/>
          <w:szCs w:val="21"/>
        </w:rPr>
        <w:t>实验设计（2</w:t>
      </w:r>
      <w:r>
        <w:rPr>
          <w:sz w:val="21"/>
          <w:szCs w:val="21"/>
        </w:rPr>
        <w:t>0</w:t>
      </w:r>
      <w:r>
        <w:rPr>
          <w:rFonts w:hint="eastAsia"/>
          <w:sz w:val="21"/>
          <w:szCs w:val="21"/>
        </w:rPr>
        <w:t>%）+虚拟实验操作（</w:t>
      </w:r>
      <w:r>
        <w:rPr>
          <w:sz w:val="21"/>
          <w:szCs w:val="21"/>
        </w:rPr>
        <w:t>50</w:t>
      </w:r>
      <w:r>
        <w:rPr>
          <w:rFonts w:hint="eastAsia"/>
          <w:sz w:val="21"/>
          <w:szCs w:val="21"/>
        </w:rPr>
        <w:t>%）+实验报告（3</w:t>
      </w:r>
      <w:r>
        <w:rPr>
          <w:sz w:val="21"/>
          <w:szCs w:val="21"/>
        </w:rPr>
        <w:t>0</w:t>
      </w:r>
      <w:r>
        <w:rPr>
          <w:rFonts w:hint="eastAsia"/>
          <w:sz w:val="21"/>
          <w:szCs w:val="21"/>
        </w:rPr>
        <w:t>%）</w:t>
      </w:r>
    </w:p>
    <w:p>
      <w:pPr>
        <w:spacing w:line="360" w:lineRule="auto"/>
        <w:rPr>
          <w:sz w:val="21"/>
          <w:szCs w:val="21"/>
        </w:rPr>
      </w:pPr>
      <w:r>
        <w:rPr>
          <w:rFonts w:hint="eastAsia"/>
          <w:sz w:val="21"/>
          <w:szCs w:val="21"/>
        </w:rPr>
        <w:t>考核评估模式下，每步操作设置相应评估标准和细节，根据学生虚拟操作情况，由系统评分。</w:t>
      </w:r>
    </w:p>
    <w:p>
      <w:pPr>
        <w:spacing w:line="360" w:lineRule="auto"/>
        <w:rPr>
          <w:rFonts w:ascii="Times New Roman" w:hAnsi="Times New Roman" w:cs="Times New Roman"/>
          <w:b/>
          <w:sz w:val="21"/>
          <w:szCs w:val="21"/>
          <w:lang w:val="zh-TW"/>
        </w:rPr>
      </w:pPr>
      <w:r>
        <w:rPr>
          <w:rFonts w:hint="eastAsia" w:ascii="Times New Roman" w:hAnsi="Times New Roman" w:cs="Times New Roman"/>
          <w:b/>
          <w:sz w:val="21"/>
          <w:szCs w:val="21"/>
        </w:rPr>
        <w:t>8</w:t>
      </w:r>
      <w:r>
        <w:rPr>
          <w:rFonts w:hint="eastAsia" w:ascii="Times New Roman" w:hAnsi="Times New Roman" w:cs="Times New Roman"/>
          <w:b/>
          <w:sz w:val="21"/>
          <w:szCs w:val="21"/>
          <w:lang w:eastAsia="zh-CN"/>
        </w:rPr>
        <w:t>、</w:t>
      </w:r>
      <w:r>
        <w:rPr>
          <w:rFonts w:ascii="Times New Roman" w:hAnsi="Times New Roman" w:cs="Times New Roman"/>
          <w:b/>
          <w:sz w:val="21"/>
          <w:szCs w:val="21"/>
          <w:lang w:val="zh-TW"/>
        </w:rPr>
        <w:t>共价有机框架(</w:t>
      </w:r>
      <w:r>
        <w:rPr>
          <w:rFonts w:ascii="Times New Roman" w:hAnsi="Times New Roman" w:eastAsia="PMingLiU" w:cs="Times New Roman"/>
          <w:b/>
          <w:sz w:val="21"/>
          <w:szCs w:val="21"/>
          <w:lang w:val="zh-TW" w:eastAsia="zh-TW"/>
        </w:rPr>
        <w:t>COFs)</w:t>
      </w:r>
      <w:r>
        <w:rPr>
          <w:rFonts w:ascii="Times New Roman" w:hAnsi="Times New Roman" w:cs="Times New Roman"/>
          <w:b/>
          <w:sz w:val="21"/>
          <w:szCs w:val="21"/>
          <w:lang w:val="zh-TW"/>
        </w:rPr>
        <w:t>合成及</w:t>
      </w:r>
      <w:r>
        <w:rPr>
          <w:rFonts w:hint="eastAsia" w:ascii="Times New Roman" w:hAnsi="Times New Roman" w:cs="Times New Roman"/>
          <w:b/>
          <w:sz w:val="21"/>
          <w:szCs w:val="21"/>
          <w:lang w:val="zh-TW"/>
        </w:rPr>
        <w:t>其</w:t>
      </w:r>
      <w:r>
        <w:rPr>
          <w:rFonts w:ascii="Times New Roman" w:hAnsi="Times New Roman" w:cs="Times New Roman"/>
          <w:b/>
          <w:sz w:val="21"/>
          <w:szCs w:val="21"/>
          <w:lang w:val="zh-TW"/>
        </w:rPr>
        <w:t>光催化芳香醚化虚拟仿真教学</w:t>
      </w:r>
      <w:r>
        <w:rPr>
          <w:rFonts w:hint="eastAsia" w:ascii="Times New Roman" w:hAnsi="Times New Roman" w:cs="Times New Roman"/>
          <w:b/>
          <w:sz w:val="21"/>
          <w:szCs w:val="21"/>
          <w:lang w:val="zh-TW"/>
        </w:rPr>
        <w:t>(拍摄制作)</w:t>
      </w:r>
    </w:p>
    <w:p>
      <w:pPr>
        <w:spacing w:line="360" w:lineRule="auto"/>
        <w:rPr>
          <w:sz w:val="21"/>
          <w:szCs w:val="21"/>
        </w:rPr>
      </w:pPr>
      <w:r>
        <w:rPr>
          <w:rFonts w:hint="eastAsia"/>
          <w:sz w:val="21"/>
          <w:szCs w:val="21"/>
        </w:rPr>
        <w:t>（1）.</w:t>
      </w:r>
      <w:r>
        <w:rPr>
          <w:sz w:val="21"/>
          <w:szCs w:val="21"/>
        </w:rPr>
        <w:t>COFs</w:t>
      </w:r>
      <w:r>
        <w:rPr>
          <w:rFonts w:hint="eastAsia"/>
          <w:sz w:val="21"/>
          <w:szCs w:val="21"/>
        </w:rPr>
        <w:t>材料合成可视化：利用下图展示的</w:t>
      </w:r>
      <w:r>
        <w:rPr>
          <w:sz w:val="21"/>
          <w:szCs w:val="21"/>
        </w:rPr>
        <w:t>TFPPY和BPYDA构筑sp2c-COFdpy</w:t>
      </w:r>
      <w:r>
        <w:rPr>
          <w:rFonts w:hint="eastAsia"/>
          <w:sz w:val="21"/>
          <w:szCs w:val="21"/>
        </w:rPr>
        <w:t>的科研成果，基于C</w:t>
      </w:r>
      <w:r>
        <w:rPr>
          <w:sz w:val="21"/>
          <w:szCs w:val="21"/>
        </w:rPr>
        <w:t>OFs</w:t>
      </w:r>
      <w:r>
        <w:rPr>
          <w:rFonts w:hint="eastAsia"/>
          <w:sz w:val="21"/>
          <w:szCs w:val="21"/>
        </w:rPr>
        <w:t>合成中化学键可逆特性,通过V</w:t>
      </w:r>
      <w:r>
        <w:rPr>
          <w:sz w:val="21"/>
          <w:szCs w:val="21"/>
        </w:rPr>
        <w:t>R</w:t>
      </w:r>
      <w:r>
        <w:rPr>
          <w:rFonts w:hint="eastAsia"/>
          <w:sz w:val="21"/>
          <w:szCs w:val="21"/>
        </w:rPr>
        <w:t>模式，展示两种反应物经过碱催化在绝对真空的安瓿瓶中长时间加热后由非晶相到晶相转变的动态过程，同时辅以背景及机理解释，最终展示其空间晶体结构。</w:t>
      </w:r>
    </w:p>
    <w:p>
      <w:pPr>
        <w:spacing w:line="360" w:lineRule="auto"/>
        <w:rPr>
          <w:sz w:val="21"/>
          <w:szCs w:val="21"/>
        </w:rPr>
      </w:pPr>
      <w:r>
        <w:rPr>
          <w:rFonts w:ascii="Times New Roman" w:hAnsi="Times New Roman" w:eastAsia="仿宋_GB2312" w:cs="Times New Roman"/>
          <w:sz w:val="21"/>
          <w:szCs w:val="21"/>
        </w:rPr>
        <w:t xml:space="preserve"> </w:t>
      </w:r>
      <w:r>
        <w:rPr>
          <w:rFonts w:hint="eastAsia"/>
          <w:sz w:val="21"/>
          <w:szCs w:val="21"/>
        </w:rPr>
        <w:t>（2）</w:t>
      </w:r>
      <w:r>
        <w:rPr>
          <w:sz w:val="21"/>
          <w:szCs w:val="21"/>
        </w:rPr>
        <w:t xml:space="preserve"> COFs结构表征</w:t>
      </w:r>
      <w:r>
        <w:rPr>
          <w:rFonts w:hint="eastAsia"/>
          <w:sz w:val="21"/>
          <w:szCs w:val="21"/>
        </w:rPr>
        <w:t>可视化</w:t>
      </w:r>
      <w:r>
        <w:rPr>
          <w:sz w:val="21"/>
          <w:szCs w:val="21"/>
        </w:rPr>
        <w:t>：基于XRD及Materials Studio实验数据，虚拟3D实验场景，将XRD内部结构直观展示并辅以介绍。系统还可以对COFs进行测定，学生可以根据实验提示，对实验进行自主操作，以此熟悉实验操作步骤。</w:t>
      </w:r>
    </w:p>
    <w:p>
      <w:pPr>
        <w:spacing w:line="360" w:lineRule="auto"/>
        <w:rPr>
          <w:sz w:val="21"/>
          <w:szCs w:val="21"/>
        </w:rPr>
      </w:pPr>
      <w:r>
        <w:rPr>
          <w:rFonts w:hint="eastAsia"/>
          <w:sz w:val="21"/>
          <w:szCs w:val="21"/>
        </w:rPr>
        <w:t>（3）光催化芳香醚化可视化：基于光催化机理探究的实验数据，虚拟3</w:t>
      </w:r>
      <w:r>
        <w:rPr>
          <w:sz w:val="21"/>
          <w:szCs w:val="21"/>
        </w:rPr>
        <w:t>D</w:t>
      </w:r>
      <w:r>
        <w:rPr>
          <w:rFonts w:hint="eastAsia"/>
          <w:sz w:val="21"/>
          <w:szCs w:val="21"/>
        </w:rPr>
        <w:t>实验场景，以S</w:t>
      </w:r>
      <w:r>
        <w:rPr>
          <w:sz w:val="21"/>
          <w:szCs w:val="21"/>
        </w:rPr>
        <w:t>chlenk</w:t>
      </w:r>
      <w:r>
        <w:rPr>
          <w:rFonts w:hint="eastAsia"/>
          <w:sz w:val="21"/>
          <w:szCs w:val="21"/>
        </w:rPr>
        <w:t>瓶为反应器，展示液氮冷冻无氧操作。展示光照条件下激发态C</w:t>
      </w:r>
      <w:r>
        <w:rPr>
          <w:sz w:val="21"/>
          <w:szCs w:val="21"/>
        </w:rPr>
        <w:t>OFs</w:t>
      </w:r>
      <w:r>
        <w:rPr>
          <w:rFonts w:hint="eastAsia"/>
          <w:sz w:val="21"/>
          <w:szCs w:val="21"/>
        </w:rPr>
        <w:t>通过能量及电子转移过程，最终实现对氰基溴苯中溴的甲氧基取代。</w:t>
      </w:r>
    </w:p>
    <w:p>
      <w:pPr>
        <w:spacing w:line="360" w:lineRule="auto"/>
        <w:rPr>
          <w:rFonts w:ascii="Times New Roman" w:hAnsi="Times New Roman" w:cs="Times New Roman"/>
          <w:b/>
          <w:sz w:val="21"/>
          <w:szCs w:val="21"/>
          <w:lang w:val="zh-TW"/>
        </w:rPr>
      </w:pPr>
      <w:r>
        <w:rPr>
          <w:rFonts w:hint="eastAsia" w:ascii="Times New Roman" w:hAnsi="Times New Roman" w:cs="Times New Roman"/>
          <w:b/>
          <w:sz w:val="21"/>
          <w:szCs w:val="21"/>
          <w:lang w:val="zh-TW"/>
        </w:rPr>
        <w:t>9</w:t>
      </w:r>
      <w:r>
        <w:rPr>
          <w:rFonts w:hint="eastAsia" w:ascii="Times New Roman" w:hAnsi="Times New Roman" w:cs="Times New Roman"/>
          <w:b/>
          <w:sz w:val="21"/>
          <w:szCs w:val="21"/>
          <w:lang w:val="zh-TW" w:eastAsia="zh-CN"/>
        </w:rPr>
        <w:t>、</w:t>
      </w:r>
      <w:r>
        <w:rPr>
          <w:rFonts w:hint="eastAsia" w:ascii="Times New Roman" w:hAnsi="Times New Roman" w:cs="Times New Roman"/>
          <w:b/>
          <w:sz w:val="21"/>
          <w:szCs w:val="21"/>
          <w:lang w:val="zh-TW"/>
        </w:rPr>
        <w:t>碳点荧光传感器的构建及其在葡萄糖苷酶活性检测中的应用（拍摄制作）</w:t>
      </w:r>
    </w:p>
    <w:p>
      <w:pPr>
        <w:spacing w:line="360" w:lineRule="auto"/>
        <w:rPr>
          <w:sz w:val="21"/>
          <w:szCs w:val="21"/>
        </w:rPr>
      </w:pPr>
      <w:r>
        <w:rPr>
          <w:rFonts w:hint="eastAsia"/>
          <w:sz w:val="21"/>
          <w:szCs w:val="21"/>
        </w:rPr>
        <w:t>本项目主要包含理论知识介绍、实验演示与操作、考核评价三大模块，具体内容如下：</w:t>
      </w:r>
    </w:p>
    <w:p>
      <w:pPr>
        <w:spacing w:line="360" w:lineRule="auto"/>
        <w:rPr>
          <w:sz w:val="21"/>
          <w:szCs w:val="21"/>
        </w:rPr>
      </w:pPr>
      <w:r>
        <w:rPr>
          <w:rFonts w:hint="eastAsia"/>
          <w:sz w:val="21"/>
          <w:szCs w:val="21"/>
        </w:rPr>
        <w:t>（1）理论知识部分</w:t>
      </w:r>
    </w:p>
    <w:p>
      <w:pPr>
        <w:spacing w:line="360" w:lineRule="auto"/>
        <w:ind w:firstLine="420" w:firstLineChars="200"/>
        <w:rPr>
          <w:sz w:val="21"/>
          <w:szCs w:val="21"/>
        </w:rPr>
      </w:pPr>
      <w:r>
        <w:rPr>
          <w:rFonts w:hint="eastAsia"/>
          <w:sz w:val="21"/>
          <w:szCs w:val="21"/>
        </w:rPr>
        <w:t>通过虚拟画面、文字、动图等形式，展示有机化学实验室安全须知、荧光淬灭原理、酶活性影响因素、实验原理等。</w:t>
      </w:r>
    </w:p>
    <w:p>
      <w:pPr>
        <w:spacing w:line="360" w:lineRule="auto"/>
        <w:rPr>
          <w:sz w:val="21"/>
          <w:szCs w:val="21"/>
        </w:rPr>
      </w:pPr>
      <w:r>
        <w:rPr>
          <w:rFonts w:hint="eastAsia"/>
          <w:sz w:val="21"/>
          <w:szCs w:val="21"/>
        </w:rPr>
        <w:t>提供不同有机物合成碳点的表征数据、检测仪器的功能介绍，通过问题设置，设计多路径选型，引导学生根据实验原理选择适当的反应原材料和仪器设备。</w:t>
      </w:r>
    </w:p>
    <w:p>
      <w:pPr>
        <w:spacing w:line="360" w:lineRule="auto"/>
        <w:rPr>
          <w:sz w:val="21"/>
          <w:szCs w:val="21"/>
        </w:rPr>
      </w:pPr>
      <w:r>
        <w:rPr>
          <w:rFonts w:hint="eastAsia"/>
          <w:sz w:val="21"/>
          <w:szCs w:val="21"/>
        </w:rPr>
        <w:t>（2）实验演示及操作</w:t>
      </w:r>
    </w:p>
    <w:p>
      <w:pPr>
        <w:spacing w:line="360" w:lineRule="auto"/>
        <w:ind w:firstLine="420" w:firstLineChars="200"/>
        <w:rPr>
          <w:sz w:val="21"/>
          <w:szCs w:val="21"/>
        </w:rPr>
      </w:pPr>
      <w:r>
        <w:rPr>
          <w:rFonts w:hint="eastAsia"/>
          <w:sz w:val="21"/>
          <w:szCs w:val="21"/>
        </w:rPr>
        <w:t>实验演示为本项目具体实验全过程的虚拟化，可暂定、回放、快进，供学生预习、练习使用。实验操作分为四部分：一、碳点的合成和纯化（水热法合成，透析或柱层析纯化）；二、碳点的表征（紫外检测、荧光检测、透射电镜）三、酶水解条件的优化（不同pH值、温度、浓度）；四、荧光碳点在酶活性检测中的应用（不同浓度的酶）。操作模式下，对所有仪器、设备、药品均有相应标注，有详细步骤说明，体现交互式，设置引导和提示，重点仪器有简要作用介绍和使用说明，使学生掌握具体仪器的作用和使用方法，整个实验的操作方法。</w:t>
      </w:r>
    </w:p>
    <w:p>
      <w:pPr>
        <w:spacing w:line="360" w:lineRule="auto"/>
        <w:rPr>
          <w:sz w:val="21"/>
          <w:szCs w:val="21"/>
        </w:rPr>
      </w:pPr>
      <w:r>
        <w:rPr>
          <w:rFonts w:hint="eastAsia"/>
          <w:sz w:val="21"/>
          <w:szCs w:val="21"/>
        </w:rPr>
        <w:t>（3）考核评价</w:t>
      </w:r>
    </w:p>
    <w:p>
      <w:pPr>
        <w:spacing w:line="360" w:lineRule="auto"/>
        <w:ind w:firstLine="420" w:firstLineChars="200"/>
        <w:rPr>
          <w:rFonts w:hint="default"/>
          <w:lang w:val="en-US" w:eastAsia="zh-CN"/>
        </w:rPr>
      </w:pPr>
      <w:r>
        <w:rPr>
          <w:rFonts w:hint="eastAsia"/>
          <w:sz w:val="21"/>
          <w:szCs w:val="21"/>
        </w:rPr>
        <w:t>实验设计（2</w:t>
      </w:r>
      <w:r>
        <w:rPr>
          <w:sz w:val="21"/>
          <w:szCs w:val="21"/>
        </w:rPr>
        <w:t>0</w:t>
      </w:r>
      <w:r>
        <w:rPr>
          <w:rFonts w:hint="eastAsia"/>
          <w:sz w:val="21"/>
          <w:szCs w:val="21"/>
        </w:rPr>
        <w:t>%）+虚拟实验操作（</w:t>
      </w:r>
      <w:r>
        <w:rPr>
          <w:sz w:val="21"/>
          <w:szCs w:val="21"/>
        </w:rPr>
        <w:t>50</w:t>
      </w:r>
      <w:r>
        <w:rPr>
          <w:rFonts w:hint="eastAsia"/>
          <w:sz w:val="21"/>
          <w:szCs w:val="21"/>
        </w:rPr>
        <w:t>%）+实验报告（3</w:t>
      </w:r>
      <w:r>
        <w:rPr>
          <w:sz w:val="21"/>
          <w:szCs w:val="21"/>
        </w:rPr>
        <w:t>0</w:t>
      </w:r>
      <w:r>
        <w:rPr>
          <w:rFonts w:hint="eastAsia"/>
          <w:sz w:val="21"/>
          <w:szCs w:val="21"/>
        </w:rPr>
        <w:t>%）实验设计由学生根据给定题目选择相应试剂、仪器，并设计实验流程，根据正确程度评分。虚拟实验操作考核模式下，给出具体要求，但操作界面没有步骤说明，根据整体实验过程，每步操作设置相应分数，根据学生正确程度和花费时间计算成绩。实验报告主要考查学生对实验结果的分析和讨论。</w:t>
      </w:r>
    </w:p>
    <w:p>
      <w:pPr>
        <w:autoSpaceDE w:val="0"/>
        <w:autoSpaceDN w:val="0"/>
        <w:adjustRightInd w:val="0"/>
        <w:spacing w:line="360" w:lineRule="auto"/>
        <w:outlineLvl w:val="9"/>
        <w:rPr>
          <w:rFonts w:hint="eastAsia"/>
          <w:b/>
          <w:bCs/>
          <w:color w:val="auto"/>
          <w:lang w:val="en-US" w:eastAsia="zh-CN"/>
        </w:rPr>
      </w:pPr>
      <w:r>
        <w:rPr>
          <w:rFonts w:hint="eastAsia" w:asciiTheme="minorEastAsia" w:hAnsiTheme="minorEastAsia" w:eastAsiaTheme="minorEastAsia" w:cstheme="minorEastAsia"/>
          <w:b/>
          <w:bCs/>
          <w:color w:val="auto"/>
          <w:szCs w:val="21"/>
          <w:lang w:val="en-US" w:eastAsia="zh-CN"/>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不具有唯一性，供应商可提供同等档次或更高档次产品，并提供相应技术参数证明其符合采购需求或优于采购需求，否则视其为不满足采购需求。</w:t>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8" w:name="_Toc30527"/>
      <w:r>
        <w:rPr>
          <w:rFonts w:hint="eastAsia" w:asciiTheme="minorEastAsia" w:hAnsiTheme="minorEastAsia" w:eastAsiaTheme="minorEastAsia" w:cstheme="minorEastAsia"/>
          <w:b/>
          <w:bCs/>
          <w:color w:val="auto"/>
          <w:sz w:val="24"/>
          <w:szCs w:val="24"/>
          <w:lang w:val="en-US" w:eastAsia="zh-CN"/>
        </w:rPr>
        <w:t>二、商务需求</w:t>
      </w:r>
      <w:bookmarkEnd w:id="118"/>
      <w:r>
        <w:rPr>
          <w:rFonts w:hint="eastAsia" w:asciiTheme="minorEastAsia" w:hAnsiTheme="minorEastAsia" w:eastAsiaTheme="minorEastAsia" w:cstheme="minorEastAsia"/>
          <w:b/>
          <w:bCs/>
          <w:color w:val="auto"/>
          <w:sz w:val="24"/>
          <w:szCs w:val="24"/>
          <w:lang w:val="en-US" w:eastAsia="zh-CN"/>
        </w:rPr>
        <w:t>（01包：肥料生产线）</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numPr>
          <w:ilvl w:val="0"/>
          <w:numId w:val="0"/>
        </w:numPr>
        <w:spacing w:line="360" w:lineRule="auto"/>
        <w:ind w:leftChars="20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1.3因成交供应商原因产品质量达不到约定的质量标准，成交供应商应负责退换，使其达到合同约定的质量标准，并由成交供应商向采购人支付合同价款10%的违约金。</w:t>
      </w:r>
    </w:p>
    <w:p>
      <w:pPr>
        <w:numPr>
          <w:ilvl w:val="0"/>
          <w:numId w:val="0"/>
        </w:numPr>
        <w:spacing w:line="360" w:lineRule="auto"/>
        <w:jc w:val="left"/>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2、产品质量要求：达到国家或行业颁布的其他现行各项技术标准和验收规范规定</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3、产品进场安装、</w:t>
      </w:r>
      <w:r>
        <w:rPr>
          <w:rFonts w:hint="eastAsia" w:asciiTheme="minorEastAsia" w:hAnsiTheme="minorEastAsia" w:eastAsiaTheme="minorEastAsia" w:cstheme="minorEastAsia"/>
          <w:b w:val="0"/>
          <w:bCs w:val="0"/>
          <w:color w:val="auto"/>
          <w:szCs w:val="21"/>
        </w:rPr>
        <w:t>调试及验收</w:t>
      </w:r>
      <w:r>
        <w:rPr>
          <w:rFonts w:hint="eastAsia" w:asciiTheme="minorEastAsia" w:hAnsiTheme="minorEastAsia" w:eastAsiaTheme="minorEastAsia" w:cstheme="minorEastAsia"/>
          <w:b w:val="0"/>
          <w:bCs w:val="0"/>
          <w:color w:val="auto"/>
          <w:szCs w:val="21"/>
          <w:lang w:eastAsia="zh-CN"/>
        </w:rPr>
        <w:t>：</w:t>
      </w:r>
    </w:p>
    <w:p>
      <w:pPr>
        <w:numPr>
          <w:ilvl w:val="0"/>
          <w:numId w:val="0"/>
        </w:numPr>
        <w:spacing w:line="360" w:lineRule="auto"/>
        <w:ind w:leftChars="200"/>
        <w:jc w:val="left"/>
        <w:rPr>
          <w:rFonts w:hint="eastAsia" w:ascii="宋体" w:hAnsi="宋体" w:cs="宋体"/>
          <w:color w:val="auto"/>
          <w:szCs w:val="21"/>
          <w:lang w:bidi="ar"/>
        </w:rPr>
      </w:pPr>
      <w:r>
        <w:rPr>
          <w:rFonts w:hint="eastAsia" w:ascii="宋体" w:hAnsi="宋体" w:cs="宋体"/>
          <w:color w:val="auto"/>
          <w:szCs w:val="21"/>
          <w:lang w:val="en-US" w:eastAsia="zh-CN" w:bidi="ar"/>
        </w:rPr>
        <w:t>3.1供应商</w:t>
      </w:r>
      <w:r>
        <w:rPr>
          <w:rFonts w:hint="eastAsia" w:ascii="宋体" w:hAnsi="宋体" w:cs="宋体"/>
          <w:color w:val="auto"/>
          <w:szCs w:val="21"/>
          <w:lang w:bidi="ar"/>
        </w:rPr>
        <w:t>须提供全新的设备，并负责设备的</w:t>
      </w:r>
      <w:r>
        <w:rPr>
          <w:rFonts w:hint="eastAsia" w:ascii="宋体" w:hAnsi="宋体" w:cs="宋体"/>
          <w:color w:val="auto"/>
          <w:szCs w:val="21"/>
          <w:lang w:eastAsia="zh-CN" w:bidi="ar"/>
        </w:rPr>
        <w:t>运输、</w:t>
      </w:r>
      <w:r>
        <w:rPr>
          <w:rFonts w:hint="eastAsia" w:ascii="宋体" w:hAnsi="宋体" w:cs="宋体"/>
          <w:color w:val="auto"/>
          <w:szCs w:val="21"/>
          <w:lang w:bidi="ar"/>
        </w:rPr>
        <w:t>安装、调试、联调等工作。</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.2所有设备均须由</w:t>
      </w:r>
      <w:r>
        <w:rPr>
          <w:rFonts w:hint="eastAsia" w:ascii="宋体" w:hAnsi="宋体" w:cs="宋体"/>
          <w:color w:val="auto"/>
          <w:szCs w:val="21"/>
          <w:lang w:val="en-US" w:eastAsia="zh-CN" w:bidi="ar"/>
        </w:rPr>
        <w:t>供应商</w:t>
      </w:r>
      <w:r>
        <w:rPr>
          <w:rFonts w:hint="eastAsia" w:ascii="宋体" w:hAnsi="宋体" w:cs="宋体"/>
          <w:color w:val="auto"/>
          <w:szCs w:val="21"/>
          <w:lang w:bidi="ar"/>
        </w:rPr>
        <w:t>送货到指定地点并安装调试，采购人不再支付任何费用。</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3.3供应商</w:t>
      </w:r>
      <w:r>
        <w:rPr>
          <w:rFonts w:hint="eastAsia" w:ascii="宋体" w:hAnsi="宋体" w:cs="宋体"/>
          <w:color w:val="auto"/>
          <w:szCs w:val="21"/>
          <w:lang w:bidi="ar"/>
        </w:rPr>
        <w:t>设备到达目的地后的24小时内必须派人到现场负责安装和调试，采购人按</w:t>
      </w:r>
      <w:r>
        <w:rPr>
          <w:rFonts w:hint="eastAsia" w:ascii="宋体" w:hAnsi="宋体" w:cs="宋体"/>
          <w:color w:val="auto"/>
          <w:szCs w:val="21"/>
          <w:lang w:val="en-US" w:eastAsia="zh-CN" w:bidi="ar"/>
        </w:rPr>
        <w:t>供应商</w:t>
      </w:r>
      <w:r>
        <w:rPr>
          <w:rFonts w:hint="eastAsia" w:ascii="宋体" w:hAnsi="宋体" w:cs="宋体"/>
          <w:color w:val="auto"/>
          <w:szCs w:val="21"/>
          <w:lang w:bidi="ar"/>
        </w:rPr>
        <w:t>提供的设备清单及检验产品合格证、使用说明书和其他的技术资料负责开箱检验、检查设备及随机附件是否完整无损，技术资料是否与采购人的要求相符，如有损坏、缺件等情况，</w:t>
      </w:r>
      <w:r>
        <w:rPr>
          <w:rFonts w:hint="eastAsia" w:ascii="宋体" w:hAnsi="宋体" w:cs="宋体"/>
          <w:color w:val="auto"/>
          <w:szCs w:val="21"/>
          <w:lang w:val="en-US" w:eastAsia="zh-CN" w:bidi="ar"/>
        </w:rPr>
        <w:t>供应商</w:t>
      </w:r>
      <w:r>
        <w:rPr>
          <w:rFonts w:hint="eastAsia" w:ascii="宋体" w:hAnsi="宋体" w:cs="宋体"/>
          <w:color w:val="auto"/>
          <w:szCs w:val="21"/>
          <w:lang w:bidi="ar"/>
        </w:rPr>
        <w:t>应在</w:t>
      </w:r>
      <w:r>
        <w:rPr>
          <w:rFonts w:hint="eastAsia" w:ascii="宋体" w:hAnsi="宋体" w:cs="宋体"/>
          <w:color w:val="auto"/>
          <w:szCs w:val="21"/>
          <w:lang w:val="en-US" w:eastAsia="zh-CN" w:bidi="ar"/>
        </w:rPr>
        <w:t>3</w:t>
      </w:r>
      <w:r>
        <w:rPr>
          <w:rFonts w:hint="eastAsia" w:ascii="宋体" w:hAnsi="宋体" w:cs="宋体"/>
          <w:color w:val="auto"/>
          <w:szCs w:val="21"/>
          <w:lang w:bidi="ar"/>
        </w:rPr>
        <w:t>个工作日内更换新产品，相应的费用及责任由</w:t>
      </w:r>
      <w:r>
        <w:rPr>
          <w:rFonts w:hint="eastAsia" w:ascii="宋体" w:hAnsi="宋体" w:cs="宋体"/>
          <w:color w:val="auto"/>
          <w:szCs w:val="21"/>
          <w:lang w:val="en-US" w:eastAsia="zh-CN" w:bidi="ar"/>
        </w:rPr>
        <w:t>供应商</w:t>
      </w:r>
      <w:r>
        <w:rPr>
          <w:rFonts w:hint="eastAsia" w:ascii="宋体" w:hAnsi="宋体" w:cs="宋体"/>
          <w:color w:val="auto"/>
          <w:szCs w:val="21"/>
          <w:lang w:bidi="ar"/>
        </w:rPr>
        <w:t>自行负担。</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.4</w:t>
      </w:r>
      <w:r>
        <w:rPr>
          <w:rFonts w:hint="eastAsia" w:ascii="宋体" w:hAnsi="宋体" w:cs="宋体"/>
          <w:color w:val="auto"/>
          <w:szCs w:val="21"/>
          <w:lang w:val="en-US" w:eastAsia="zh-CN" w:bidi="ar"/>
        </w:rPr>
        <w:t>供应商</w:t>
      </w:r>
      <w:r>
        <w:rPr>
          <w:rFonts w:hint="eastAsia" w:ascii="宋体" w:hAnsi="宋体" w:cs="宋体"/>
          <w:color w:val="auto"/>
          <w:szCs w:val="21"/>
          <w:lang w:bidi="ar"/>
        </w:rPr>
        <w:t>应提供设备所带专用工具清单，并标明其种类、用途和生产厂，并在货物到货时同时提供给采购人。</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.5</w:t>
      </w:r>
      <w:r>
        <w:rPr>
          <w:rFonts w:hint="eastAsia" w:ascii="宋体" w:hAnsi="宋体" w:cs="宋体"/>
          <w:color w:val="auto"/>
          <w:szCs w:val="21"/>
          <w:lang w:val="en-US" w:eastAsia="zh-CN" w:bidi="ar"/>
        </w:rPr>
        <w:t>供应商</w:t>
      </w:r>
      <w:r>
        <w:rPr>
          <w:rFonts w:hint="eastAsia" w:ascii="宋体" w:hAnsi="宋体" w:cs="宋体"/>
          <w:color w:val="auto"/>
          <w:szCs w:val="21"/>
          <w:lang w:bidi="ar"/>
        </w:rPr>
        <w:t>须免费提供调试专用工具，直到项目质保期满。</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.6</w:t>
      </w:r>
      <w:r>
        <w:rPr>
          <w:rFonts w:hint="eastAsia" w:ascii="宋体" w:hAnsi="宋体" w:cs="宋体"/>
          <w:color w:val="auto"/>
          <w:szCs w:val="21"/>
          <w:lang w:val="en-US" w:eastAsia="zh-CN" w:bidi="ar"/>
        </w:rPr>
        <w:t>供应商</w:t>
      </w:r>
      <w:r>
        <w:rPr>
          <w:rFonts w:hint="eastAsia" w:ascii="宋体" w:hAnsi="宋体" w:cs="宋体"/>
          <w:color w:val="auto"/>
          <w:szCs w:val="21"/>
          <w:lang w:bidi="ar"/>
        </w:rPr>
        <w:t>必须提供产品安装的详细实施建议方案和产品安装实施过程的工作内容、工作日程表、工作方法，并征得采购人认可后严格按照日程表执行。日程表内容至少应包括到货日期、现场安装、测试、试运行、验收、运行、技术培训等。</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.7</w:t>
      </w:r>
      <w:r>
        <w:rPr>
          <w:rFonts w:hint="eastAsia" w:ascii="宋体" w:hAnsi="宋体" w:cs="宋体"/>
          <w:color w:val="auto"/>
          <w:szCs w:val="21"/>
          <w:lang w:val="en-US" w:eastAsia="zh-CN" w:bidi="ar"/>
        </w:rPr>
        <w:t>供应商</w:t>
      </w:r>
      <w:r>
        <w:rPr>
          <w:rFonts w:hint="eastAsia" w:ascii="宋体" w:hAnsi="宋体" w:cs="宋体"/>
          <w:color w:val="auto"/>
          <w:szCs w:val="21"/>
          <w:lang w:bidi="ar"/>
        </w:rPr>
        <w:t>应允许采购人的工作人员参与</w:t>
      </w:r>
      <w:r>
        <w:rPr>
          <w:rFonts w:hint="eastAsia" w:ascii="宋体" w:hAnsi="宋体" w:cs="宋体"/>
          <w:color w:val="auto"/>
          <w:szCs w:val="21"/>
          <w:lang w:eastAsia="zh-CN" w:bidi="ar"/>
        </w:rPr>
        <w:t>设备</w:t>
      </w:r>
      <w:r>
        <w:rPr>
          <w:rFonts w:hint="eastAsia" w:ascii="宋体" w:hAnsi="宋体" w:cs="宋体"/>
          <w:color w:val="auto"/>
          <w:szCs w:val="21"/>
          <w:lang w:bidi="ar"/>
        </w:rPr>
        <w:t>的安装、测试、诊断及解决问题等各项工作，并提供相关的现场培训。</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.8</w:t>
      </w:r>
      <w:r>
        <w:rPr>
          <w:rFonts w:hint="eastAsia" w:ascii="宋体" w:hAnsi="宋体" w:cs="宋体"/>
          <w:color w:val="auto"/>
          <w:szCs w:val="21"/>
          <w:lang w:val="en-US" w:eastAsia="zh-CN" w:bidi="ar"/>
        </w:rPr>
        <w:t>供应商</w:t>
      </w:r>
      <w:r>
        <w:rPr>
          <w:rFonts w:hint="eastAsia" w:ascii="宋体" w:hAnsi="宋体" w:cs="宋体"/>
          <w:color w:val="auto"/>
          <w:szCs w:val="21"/>
          <w:lang w:bidi="ar"/>
        </w:rPr>
        <w:t>在验收前必须递交书面的验收方案，并报采购人认可后以其为依据，方可开始验收工作。</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w:t>
      </w:r>
      <w:r>
        <w:rPr>
          <w:rFonts w:hint="eastAsia" w:ascii="宋体" w:hAnsi="宋体" w:cs="宋体"/>
          <w:color w:val="auto"/>
          <w:szCs w:val="21"/>
          <w:lang w:val="en-US" w:eastAsia="zh-CN" w:bidi="ar"/>
        </w:rPr>
        <w:t>9供应商</w:t>
      </w:r>
      <w:r>
        <w:rPr>
          <w:rFonts w:hint="eastAsia" w:ascii="宋体" w:hAnsi="宋体" w:cs="宋体"/>
          <w:color w:val="auto"/>
          <w:szCs w:val="21"/>
          <w:lang w:bidi="ar"/>
        </w:rPr>
        <w:t>应负责安装、调试，提供设备安装、调试等必备连接材料设施和技术文档，积极配合采购人进行相关工程的实施。</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宋体" w:hAnsi="宋体" w:cs="宋体"/>
          <w:color w:val="auto"/>
          <w:szCs w:val="21"/>
          <w:lang w:val="en-US" w:eastAsia="zh-CN" w:bidi="ar"/>
        </w:rPr>
        <w:t>3.10</w:t>
      </w:r>
      <w:r>
        <w:rPr>
          <w:rFonts w:hint="eastAsia" w:ascii="宋体" w:hAnsi="宋体" w:cs="宋体"/>
          <w:color w:val="auto"/>
          <w:szCs w:val="21"/>
          <w:lang w:bidi="ar"/>
        </w:rPr>
        <w:t>在安装联调过程中，</w:t>
      </w:r>
      <w:r>
        <w:rPr>
          <w:rFonts w:hint="eastAsia" w:ascii="宋体" w:hAnsi="宋体" w:cs="宋体"/>
          <w:color w:val="auto"/>
          <w:szCs w:val="21"/>
          <w:lang w:val="en-US" w:eastAsia="zh-CN" w:bidi="ar"/>
        </w:rPr>
        <w:t>供应商</w:t>
      </w:r>
      <w:r>
        <w:rPr>
          <w:rFonts w:hint="eastAsia" w:ascii="宋体" w:hAnsi="宋体" w:cs="宋体"/>
          <w:color w:val="auto"/>
          <w:szCs w:val="21"/>
          <w:lang w:bidi="ar"/>
        </w:rPr>
        <w:t>供给采购人的产品及自己使用的工具，进入采购人使用现场后的保管由</w:t>
      </w:r>
      <w:r>
        <w:rPr>
          <w:rFonts w:hint="eastAsia" w:ascii="宋体" w:hAnsi="宋体" w:cs="宋体"/>
          <w:color w:val="auto"/>
          <w:szCs w:val="21"/>
          <w:lang w:val="en-US" w:eastAsia="zh-CN" w:bidi="ar"/>
        </w:rPr>
        <w:t>供应商</w:t>
      </w:r>
      <w:r>
        <w:rPr>
          <w:rFonts w:hint="eastAsia" w:ascii="宋体" w:hAnsi="宋体" w:cs="宋体"/>
          <w:color w:val="auto"/>
          <w:szCs w:val="21"/>
          <w:lang w:bidi="ar"/>
        </w:rPr>
        <w:t>负责；</w:t>
      </w:r>
      <w:r>
        <w:rPr>
          <w:rFonts w:hint="eastAsia" w:ascii="宋体" w:hAnsi="宋体" w:cs="宋体"/>
          <w:color w:val="auto"/>
          <w:szCs w:val="21"/>
          <w:lang w:val="en-US" w:eastAsia="zh-CN" w:bidi="ar"/>
        </w:rPr>
        <w:t>供应商</w:t>
      </w:r>
      <w:r>
        <w:rPr>
          <w:rFonts w:hint="eastAsia" w:ascii="宋体" w:hAnsi="宋体" w:cs="宋体"/>
          <w:color w:val="auto"/>
          <w:szCs w:val="21"/>
          <w:lang w:bidi="ar"/>
        </w:rPr>
        <w:t>在采购人使用现场安装人员的安全、保险、食宿、交通由</w:t>
      </w:r>
      <w:r>
        <w:rPr>
          <w:rFonts w:hint="eastAsia" w:ascii="宋体" w:hAnsi="宋体" w:cs="宋体"/>
          <w:color w:val="auto"/>
          <w:szCs w:val="21"/>
          <w:lang w:val="en-US" w:eastAsia="zh-CN" w:bidi="ar"/>
        </w:rPr>
        <w:t>供应商</w:t>
      </w:r>
      <w:r>
        <w:rPr>
          <w:rFonts w:hint="eastAsia" w:ascii="宋体" w:hAnsi="宋体" w:cs="宋体"/>
          <w:color w:val="auto"/>
          <w:szCs w:val="21"/>
          <w:lang w:bidi="ar"/>
        </w:rPr>
        <w:t>负责。</w:t>
      </w:r>
      <w:r>
        <w:rPr>
          <w:rFonts w:hint="eastAsia" w:asciiTheme="minorEastAsia" w:hAnsiTheme="minorEastAsia" w:eastAsiaTheme="minorEastAsia" w:cstheme="minorEastAsia"/>
          <w:b w:val="0"/>
          <w:bCs w:val="0"/>
          <w:color w:val="auto"/>
          <w:szCs w:val="21"/>
          <w:lang w:eastAsia="zh-CN"/>
        </w:rPr>
        <w:br w:type="textWrapping"/>
      </w:r>
      <w:r>
        <w:rPr>
          <w:rFonts w:hint="eastAsia" w:asciiTheme="minorEastAsia" w:hAnsiTheme="minorEastAsia" w:eastAsiaTheme="minorEastAsia" w:cstheme="minorEastAsia"/>
          <w:b w:val="0"/>
          <w:bCs w:val="0"/>
          <w:color w:val="auto"/>
          <w:szCs w:val="21"/>
          <w:lang w:val="en-US" w:eastAsia="zh-CN"/>
        </w:rPr>
        <w:t>4、售后服务和培训要求：</w:t>
      </w:r>
    </w:p>
    <w:p>
      <w:pPr>
        <w:pStyle w:val="10"/>
        <w:spacing w:line="360" w:lineRule="auto"/>
        <w:ind w:firstLine="420" w:firstLineChars="20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4.1供应商需要确保质保期内对技术支持与服务的及时性。提供工作日24小时电话响应，2小时上门服务。</w:t>
      </w:r>
    </w:p>
    <w:p>
      <w:pPr>
        <w:pStyle w:val="10"/>
        <w:spacing w:line="360" w:lineRule="auto"/>
        <w:ind w:firstLine="420" w:firstLineChars="20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4.2供应商应调配技术过硬的技术人员提供各类技术支持服务(包括电话技术支持和现场技术支持等)，供应商向采购人提供7×24小时热线电话服务，并通过多种形式实现技术咨询和故障报修，供应商向采购人提供系统操作使用说明书，并进行人员培训。</w:t>
      </w:r>
    </w:p>
    <w:p>
      <w:pPr>
        <w:pStyle w:val="10"/>
        <w:spacing w:line="360" w:lineRule="auto"/>
        <w:ind w:firstLine="420" w:firstLineChars="20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4.3 供应商要免费提供相关的使用指南及培训服务。提供在线知识库查询及电话、邮件技术支持。专业的售后服务，针对每次服务，应向采购人提供维护确认单，经采购人签收，保证售后服务的专业性。</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5、交货地点：采购人指定地方</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6、交货期：合同签订后 30 日历天内供货，15天内完成安装调试。</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质保期/保修期：设备质保期一年，并实行终身保修。质保期内设备由于供方原因发生故障，供方免费维修或更换故障部件；由需方原因造成的维修费用，供方只收配件费及实际发生的直接费用。8、履约保证金：合同总金额的5%；签订合同前5个工作日递交，以支票、汇票、本票等非现金形式提交。</w:t>
      </w:r>
    </w:p>
    <w:p>
      <w:pPr>
        <w:autoSpaceDE w:val="0"/>
        <w:autoSpaceDN w:val="0"/>
        <w:adjustRightInd w:val="0"/>
        <w:spacing w:line="360" w:lineRule="auto"/>
        <w:outlineLvl w:val="9"/>
        <w:rPr>
          <w:rFonts w:hint="eastAsia"/>
          <w:color w:val="auto"/>
          <w:lang w:val="en-US" w:eastAsia="zh-CN"/>
        </w:rPr>
      </w:pPr>
      <w:r>
        <w:rPr>
          <w:rFonts w:hint="eastAsia" w:asciiTheme="minorEastAsia" w:hAnsiTheme="minorEastAsia" w:eastAsiaTheme="minorEastAsia" w:cstheme="minorEastAsia"/>
          <w:b w:val="0"/>
          <w:bCs w:val="0"/>
          <w:color w:val="auto"/>
          <w:szCs w:val="21"/>
          <w:lang w:val="en-US" w:eastAsia="zh-CN"/>
        </w:rPr>
        <w:t>9、付款方式：经甲方验收合格并收到乙方发票后10天内，甲方向乙方支付合同总金额的100%；履约保证金自动转为质保金，货物验收合格后安全运行一年（自验收合格之日起计算），如无质量及售后服务等其他违约事项，甲方向乙方无息退还质量保证金。</w:t>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三、商务需求（02包：虚拟仿真）</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2、产品质量要求：</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2</w:t>
      </w:r>
      <w:r>
        <w:rPr>
          <w:rFonts w:hint="eastAsia" w:ascii="宋体" w:hAnsi="宋体" w:cs="宋体"/>
          <w:color w:val="auto"/>
          <w:szCs w:val="21"/>
          <w:lang w:bidi="ar"/>
        </w:rPr>
        <w:t>.1本次项目的质量必须完全满足中华人民共和国国家质量标准及现行规范要求，供应商应根据企业实际能力在</w:t>
      </w:r>
      <w:r>
        <w:rPr>
          <w:rFonts w:hint="eastAsia" w:ascii="宋体" w:hAnsi="宋体" w:cs="宋体"/>
          <w:color w:val="auto"/>
          <w:szCs w:val="21"/>
          <w:lang w:eastAsia="zh-CN" w:bidi="ar"/>
        </w:rPr>
        <w:t>响应</w:t>
      </w:r>
      <w:r>
        <w:rPr>
          <w:rFonts w:hint="eastAsia" w:ascii="宋体" w:hAnsi="宋体" w:cs="宋体"/>
          <w:color w:val="auto"/>
          <w:szCs w:val="21"/>
          <w:lang w:bidi="ar"/>
        </w:rPr>
        <w:t>文件中对项目质量予以承诺，中标后在合同中加以确认。</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2.2</w:t>
      </w:r>
      <w:r>
        <w:rPr>
          <w:rFonts w:hint="eastAsia" w:ascii="宋体" w:hAnsi="宋体" w:cs="宋体"/>
          <w:color w:val="auto"/>
          <w:szCs w:val="21"/>
          <w:lang w:bidi="ar"/>
        </w:rPr>
        <w:t>如有在本</w:t>
      </w:r>
      <w:r>
        <w:rPr>
          <w:rFonts w:hint="eastAsia" w:ascii="宋体" w:hAnsi="宋体" w:cs="宋体"/>
          <w:color w:val="auto"/>
          <w:szCs w:val="21"/>
          <w:lang w:eastAsia="zh-CN" w:bidi="ar"/>
        </w:rPr>
        <w:t>采购</w:t>
      </w:r>
      <w:r>
        <w:rPr>
          <w:rFonts w:hint="eastAsia" w:ascii="宋体" w:hAnsi="宋体" w:cs="宋体"/>
          <w:color w:val="auto"/>
          <w:szCs w:val="21"/>
          <w:lang w:bidi="ar"/>
        </w:rPr>
        <w:t>文件中未说明的设备运行所必须的其他辅助设备及软件系统，请在</w:t>
      </w:r>
      <w:r>
        <w:rPr>
          <w:rFonts w:hint="eastAsia" w:ascii="宋体" w:hAnsi="宋体" w:cs="宋体"/>
          <w:color w:val="auto"/>
          <w:szCs w:val="21"/>
          <w:lang w:eastAsia="zh-CN" w:bidi="ar"/>
        </w:rPr>
        <w:t>响应</w:t>
      </w:r>
      <w:r>
        <w:rPr>
          <w:rFonts w:hint="eastAsia" w:ascii="宋体" w:hAnsi="宋体" w:cs="宋体"/>
          <w:color w:val="auto"/>
          <w:szCs w:val="21"/>
          <w:lang w:bidi="ar"/>
        </w:rPr>
        <w:t>文件中提供详细说明及相关报价。</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2.3</w:t>
      </w:r>
      <w:r>
        <w:rPr>
          <w:rFonts w:hint="eastAsia" w:ascii="宋体" w:hAnsi="宋体" w:cs="宋体"/>
          <w:color w:val="auto"/>
          <w:szCs w:val="21"/>
          <w:lang w:bidi="ar"/>
        </w:rPr>
        <w:t>供应商在</w:t>
      </w:r>
      <w:r>
        <w:rPr>
          <w:rFonts w:hint="eastAsia" w:ascii="宋体" w:hAnsi="宋体" w:cs="宋体"/>
          <w:color w:val="auto"/>
          <w:szCs w:val="21"/>
          <w:lang w:eastAsia="zh-CN" w:bidi="ar"/>
        </w:rPr>
        <w:t>成交后</w:t>
      </w:r>
      <w:r>
        <w:rPr>
          <w:rFonts w:hint="eastAsia" w:ascii="宋体" w:hAnsi="宋体" w:cs="宋体"/>
          <w:color w:val="auto"/>
          <w:szCs w:val="21"/>
          <w:lang w:bidi="ar"/>
        </w:rPr>
        <w:t>，发生侵犯专利权的行为时，其侵权责任与采购人无关，应由供应商承担相应的责任，并不得影响采购人的利益。</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eastAsia="zh-CN"/>
        </w:rPr>
      </w:pPr>
      <w:r>
        <w:rPr>
          <w:rFonts w:hint="eastAsia" w:ascii="宋体" w:hAnsi="宋体" w:cs="宋体"/>
          <w:color w:val="auto"/>
          <w:szCs w:val="21"/>
          <w:lang w:val="en-US" w:eastAsia="zh-CN" w:bidi="ar"/>
        </w:rPr>
        <w:t>2.4</w:t>
      </w:r>
      <w:r>
        <w:rPr>
          <w:rFonts w:hint="eastAsia" w:ascii="宋体" w:hAnsi="宋体" w:cs="宋体"/>
          <w:color w:val="auto"/>
          <w:szCs w:val="21"/>
          <w:lang w:bidi="ar"/>
        </w:rPr>
        <w:t>所投产品可与符合行业标准的其他任何品牌产品无缝集成，协同工作，且其技术指标不会因此而受到影响。供应商需要对此给予明确的承诺，如有不符合的情况，则需提供详细说明。</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3、产品进场安装、</w:t>
      </w:r>
      <w:r>
        <w:rPr>
          <w:rFonts w:hint="eastAsia" w:asciiTheme="minorEastAsia" w:hAnsiTheme="minorEastAsia" w:eastAsiaTheme="minorEastAsia" w:cstheme="minorEastAsia"/>
          <w:b w:val="0"/>
          <w:bCs w:val="0"/>
          <w:color w:val="auto"/>
          <w:szCs w:val="21"/>
        </w:rPr>
        <w:t>调试及验收</w:t>
      </w:r>
      <w:r>
        <w:rPr>
          <w:rFonts w:hint="eastAsia" w:asciiTheme="minorEastAsia" w:hAnsiTheme="minorEastAsia" w:eastAsiaTheme="minorEastAsia" w:cstheme="minorEastAsia"/>
          <w:b w:val="0"/>
          <w:bCs w:val="0"/>
          <w:color w:val="auto"/>
          <w:szCs w:val="21"/>
          <w:lang w:eastAsia="zh-CN"/>
        </w:rPr>
        <w:t>：</w:t>
      </w:r>
    </w:p>
    <w:p>
      <w:pPr>
        <w:spacing w:line="360" w:lineRule="auto"/>
        <w:ind w:firstLine="420" w:firstLineChars="200"/>
        <w:jc w:val="left"/>
        <w:rPr>
          <w:rFonts w:hint="eastAsia" w:ascii="宋体" w:hAnsi="宋体" w:eastAsia="宋体" w:cs="宋体"/>
          <w:color w:val="auto"/>
          <w:szCs w:val="21"/>
          <w:lang w:eastAsia="zh-CN" w:bidi="ar"/>
        </w:rPr>
      </w:pPr>
      <w:r>
        <w:rPr>
          <w:rFonts w:hint="eastAsia" w:ascii="宋体" w:hAnsi="宋体" w:cs="宋体"/>
          <w:color w:val="auto"/>
          <w:szCs w:val="21"/>
          <w:lang w:val="en-US" w:eastAsia="zh-CN" w:bidi="ar"/>
        </w:rPr>
        <w:t>3</w:t>
      </w:r>
      <w:r>
        <w:rPr>
          <w:rFonts w:hint="eastAsia" w:ascii="宋体" w:hAnsi="宋体" w:cs="宋体"/>
          <w:color w:val="auto"/>
          <w:szCs w:val="21"/>
          <w:lang w:bidi="ar"/>
        </w:rPr>
        <w:t>.1</w:t>
      </w:r>
      <w:r>
        <w:rPr>
          <w:rFonts w:hint="eastAsia" w:ascii="宋体" w:hAnsi="宋体" w:cs="宋体"/>
          <w:color w:val="auto"/>
          <w:szCs w:val="21"/>
          <w:lang w:eastAsia="zh-CN" w:bidi="ar"/>
        </w:rPr>
        <w:t>成交供应商</w:t>
      </w:r>
      <w:r>
        <w:rPr>
          <w:rFonts w:hint="eastAsia" w:ascii="宋体" w:hAnsi="宋体" w:cs="宋体"/>
          <w:color w:val="auto"/>
          <w:szCs w:val="21"/>
          <w:lang w:bidi="ar"/>
        </w:rPr>
        <w:t>须负责设备系统（包括硬件、操作系统）的安装、调试、与应用软件的集成安装、联调等工作</w:t>
      </w:r>
      <w:r>
        <w:rPr>
          <w:rFonts w:hint="eastAsia" w:ascii="宋体" w:hAnsi="宋体" w:cs="宋体"/>
          <w:color w:val="auto"/>
          <w:szCs w:val="21"/>
          <w:lang w:eastAsia="zh-CN" w:bidi="ar"/>
        </w:rPr>
        <w:t>，保证与原有系统整合后能够正常运行。</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3.2</w:t>
      </w:r>
      <w:r>
        <w:rPr>
          <w:rFonts w:hint="eastAsia" w:ascii="宋体" w:hAnsi="宋体" w:cs="宋体"/>
          <w:color w:val="auto"/>
          <w:szCs w:val="21"/>
          <w:lang w:eastAsia="zh-CN" w:bidi="ar"/>
        </w:rPr>
        <w:t>成交供应商</w:t>
      </w:r>
      <w:r>
        <w:rPr>
          <w:rFonts w:hint="eastAsia" w:ascii="宋体" w:hAnsi="宋体" w:cs="宋体"/>
          <w:color w:val="auto"/>
          <w:szCs w:val="21"/>
          <w:lang w:bidi="ar"/>
        </w:rPr>
        <w:t>应允许采购人的工作人员参与系统的安装、测试、诊断及解决问题等各项工作，并提供相关的现场培训。</w:t>
      </w:r>
    </w:p>
    <w:p>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val="en-US" w:eastAsia="zh-CN" w:bidi="ar"/>
        </w:rPr>
        <w:t>3.3</w:t>
      </w:r>
      <w:r>
        <w:rPr>
          <w:rFonts w:hint="eastAsia" w:ascii="宋体" w:hAnsi="宋体" w:cs="宋体"/>
          <w:color w:val="auto"/>
          <w:szCs w:val="21"/>
          <w:lang w:eastAsia="zh-CN" w:bidi="ar"/>
        </w:rPr>
        <w:t>成交供应商</w:t>
      </w:r>
      <w:r>
        <w:rPr>
          <w:rFonts w:hint="eastAsia" w:ascii="宋体" w:hAnsi="宋体" w:cs="宋体"/>
          <w:color w:val="auto"/>
          <w:szCs w:val="21"/>
          <w:lang w:bidi="ar"/>
        </w:rPr>
        <w:t>在验收前必须递交书面的验收方案，并报采购人认可后以其为依据，方可开始验收工作。</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宋体" w:hAnsi="宋体" w:cs="宋体"/>
          <w:color w:val="auto"/>
          <w:szCs w:val="21"/>
          <w:lang w:val="en-US" w:eastAsia="zh-CN" w:bidi="ar"/>
        </w:rPr>
        <w:t>3.4</w:t>
      </w:r>
      <w:r>
        <w:rPr>
          <w:rFonts w:hint="eastAsia" w:ascii="宋体" w:hAnsi="宋体" w:cs="宋体"/>
          <w:color w:val="auto"/>
          <w:szCs w:val="21"/>
          <w:lang w:bidi="ar"/>
        </w:rPr>
        <w:t>在安装联调过程中，</w:t>
      </w:r>
      <w:r>
        <w:rPr>
          <w:rFonts w:hint="eastAsia" w:ascii="宋体" w:hAnsi="宋体" w:cs="宋体"/>
          <w:color w:val="auto"/>
          <w:szCs w:val="21"/>
          <w:lang w:eastAsia="zh-CN" w:bidi="ar"/>
        </w:rPr>
        <w:t>成交供应商</w:t>
      </w:r>
      <w:r>
        <w:rPr>
          <w:rFonts w:hint="eastAsia" w:ascii="宋体" w:hAnsi="宋体" w:cs="宋体"/>
          <w:color w:val="auto"/>
          <w:szCs w:val="21"/>
          <w:lang w:bidi="ar"/>
        </w:rPr>
        <w:t>供给采购人的产品及自己使用的工具，进入采购人使用现场后的保管由</w:t>
      </w:r>
      <w:r>
        <w:rPr>
          <w:rFonts w:hint="eastAsia" w:ascii="宋体" w:hAnsi="宋体" w:cs="宋体"/>
          <w:color w:val="auto"/>
          <w:szCs w:val="21"/>
          <w:lang w:eastAsia="zh-CN" w:bidi="ar"/>
        </w:rPr>
        <w:t>成交供应商</w:t>
      </w:r>
      <w:r>
        <w:rPr>
          <w:rFonts w:hint="eastAsia" w:ascii="宋体" w:hAnsi="宋体" w:cs="宋体"/>
          <w:color w:val="auto"/>
          <w:szCs w:val="21"/>
          <w:lang w:bidi="ar"/>
        </w:rPr>
        <w:t>负责；</w:t>
      </w:r>
      <w:r>
        <w:rPr>
          <w:rFonts w:hint="eastAsia" w:ascii="宋体" w:hAnsi="宋体" w:cs="宋体"/>
          <w:color w:val="auto"/>
          <w:szCs w:val="21"/>
          <w:lang w:eastAsia="zh-CN" w:bidi="ar"/>
        </w:rPr>
        <w:t>成交供应商</w:t>
      </w:r>
      <w:r>
        <w:rPr>
          <w:rFonts w:hint="eastAsia" w:ascii="宋体" w:hAnsi="宋体" w:cs="宋体"/>
          <w:color w:val="auto"/>
          <w:szCs w:val="21"/>
          <w:lang w:bidi="ar"/>
        </w:rPr>
        <w:t>在采购人使用现场安装人员的安全、保险、食宿、交通由</w:t>
      </w:r>
      <w:r>
        <w:rPr>
          <w:rFonts w:hint="eastAsia" w:ascii="宋体" w:hAnsi="宋体" w:cs="宋体"/>
          <w:color w:val="auto"/>
          <w:szCs w:val="21"/>
          <w:lang w:eastAsia="zh-CN" w:bidi="ar"/>
        </w:rPr>
        <w:t>成交供应商</w:t>
      </w:r>
      <w:r>
        <w:rPr>
          <w:rFonts w:hint="eastAsia" w:ascii="宋体" w:hAnsi="宋体" w:cs="宋体"/>
          <w:color w:val="auto"/>
          <w:szCs w:val="21"/>
          <w:lang w:bidi="ar"/>
        </w:rPr>
        <w:t>负责。</w:t>
      </w:r>
      <w:r>
        <w:rPr>
          <w:rFonts w:hint="eastAsia" w:asciiTheme="minorEastAsia" w:hAnsiTheme="minorEastAsia" w:eastAsiaTheme="minorEastAsia" w:cstheme="minorEastAsia"/>
          <w:b w:val="0"/>
          <w:bCs w:val="0"/>
          <w:color w:val="auto"/>
          <w:szCs w:val="21"/>
          <w:lang w:eastAsia="zh-CN"/>
        </w:rPr>
        <w:br w:type="textWrapping"/>
      </w:r>
      <w:r>
        <w:rPr>
          <w:rFonts w:hint="eastAsia" w:asciiTheme="minorEastAsia" w:hAnsiTheme="minorEastAsia" w:eastAsiaTheme="minorEastAsia" w:cstheme="minorEastAsia"/>
          <w:b w:val="0"/>
          <w:bCs w:val="0"/>
          <w:color w:val="auto"/>
          <w:szCs w:val="21"/>
          <w:lang w:val="en-US" w:eastAsia="zh-CN"/>
        </w:rPr>
        <w:t>4、售后服务要求：</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4.1要求提供全天候无间断的远程技术服务，24 小时内对问题做出响应。若电话或远程操作方式无法解决，2个小时内到达现场进行解决；</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4.2提供相关的技术文档，包括详细设计说明、数据库结构参数、管理员及用户手册等；所提交的资料要同所提供的系统一致，并在系统升级时提供补充文档；</w:t>
      </w:r>
    </w:p>
    <w:p>
      <w:pPr>
        <w:spacing w:line="360" w:lineRule="auto"/>
        <w:ind w:firstLine="420" w:firstLineChars="20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4.3免费提供系统使用和管理培训。</w:t>
      </w: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5、交货地点：供应商在中标后12日内到采购人指定地点，按采购参数要求逐条操作演示产品，如不能按要求实际响应，则视同供应商不履约合同，采购人有权重新组织磋商采购，其磋商保证金不予退还。</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6、交货期：现成软件合同签订后 7 个工作日内完成安装、调试，实现正常运动；开发软件合同签订后90个工作日内完成安装、调试，实现正常运动。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7、质保期：自验收合格之日起计算，质保期为三年，质保期内免费提供系统维护、升级并提供软件终身技术支持，包括质保期后系统维护、扩充、升级等。</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8、履约保证金：</w:t>
      </w:r>
      <w:r>
        <w:rPr>
          <w:rFonts w:hint="eastAsia" w:ascii="宋体" w:hAnsi="宋体"/>
          <w:color w:val="auto"/>
          <w:szCs w:val="21"/>
          <w:lang w:val="zh-CN"/>
        </w:rPr>
        <w:t>合同总金额的</w:t>
      </w:r>
      <w:r>
        <w:rPr>
          <w:rFonts w:ascii="宋体" w:hAnsi="宋体"/>
          <w:color w:val="auto"/>
          <w:szCs w:val="21"/>
          <w:lang w:val="zh-CN"/>
        </w:rPr>
        <w:t>5%；签订合同前5个工作日递交，以支票、汇票、本票等非现金形式提交。</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9、付款方式：</w:t>
      </w:r>
      <w:r>
        <w:rPr>
          <w:rFonts w:hint="eastAsia" w:ascii="宋体" w:hAnsi="宋体"/>
          <w:color w:val="auto"/>
          <w:szCs w:val="21"/>
          <w:lang w:val="zh-CN"/>
        </w:rPr>
        <w:t>经甲方验收合格并收到乙方发票后</w:t>
      </w:r>
      <w:r>
        <w:rPr>
          <w:rFonts w:ascii="宋体" w:hAnsi="宋体"/>
          <w:color w:val="auto"/>
          <w:szCs w:val="21"/>
          <w:lang w:val="zh-CN"/>
        </w:rPr>
        <w:t>10天内，甲方向乙方支付合同总金额的100%；履约保证金自动转为质保金，货物验收合格后安全运行一年（自验收合格之日起计算），如无质量及售后服务等其他违约事项，甲方向乙方无息退还质量保证金。</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p>
    <w:p>
      <w:pPr>
        <w:outlineLvl w:val="9"/>
        <w:rPr>
          <w:rFonts w:hint="eastAsia"/>
          <w:color w:val="auto"/>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rPr>
          <w:rFonts w:hint="eastAsia" w:asciiTheme="minorEastAsia" w:hAnsiTheme="minorEastAsia" w:eastAsiaTheme="minorEastAsia" w:cstheme="minorEastAsia"/>
          <w:szCs w:val="21"/>
        </w:rPr>
      </w:pPr>
      <w:bookmarkStart w:id="119" w:name="_Toc2788"/>
      <w:r>
        <w:rPr>
          <w:rFonts w:hint="eastAsia" w:asciiTheme="minorEastAsia" w:hAnsiTheme="minorEastAsia" w:eastAsiaTheme="minorEastAsia" w:cstheme="minorEastAsia"/>
          <w:sz w:val="36"/>
          <w:szCs w:val="36"/>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19"/>
    </w:p>
    <w:p>
      <w:pPr>
        <w:spacing w:line="360" w:lineRule="auto"/>
        <w:outlineLvl w:val="1"/>
        <w:rPr>
          <w:rFonts w:hint="eastAsia" w:asciiTheme="minorEastAsia" w:hAnsiTheme="minorEastAsia" w:eastAsiaTheme="minorEastAsia" w:cstheme="minorEastAsia"/>
          <w:b/>
          <w:szCs w:val="21"/>
        </w:rPr>
      </w:pPr>
      <w:bookmarkStart w:id="120" w:name="_Toc8606"/>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20"/>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lang w:val="zh-CN"/>
              </w:rPr>
            </w:pPr>
            <w:r>
              <w:rPr>
                <w:rFonts w:hint="eastAsia" w:ascii="Times New Roman" w:hAnsi="Times New Roman" w:cs="Times New Roman"/>
                <w:lang w:val="zh-CN"/>
              </w:rPr>
              <w:t>2、参与本项目采购活动前，已为本项目提供过整体设计、规范编制或者项目管理、监理、检测等服务的供应商。</w:t>
            </w:r>
          </w:p>
          <w:p>
            <w:pPr>
              <w:widowControl/>
              <w:spacing w:line="280" w:lineRule="exact"/>
              <w:jc w:val="left"/>
              <w:rPr>
                <w:rFonts w:hint="eastAsia"/>
                <w:lang w:val="zh-CN"/>
              </w:rPr>
            </w:pPr>
            <w:r>
              <w:rPr>
                <w:rFonts w:hint="eastAsia" w:ascii="Times New Roman" w:hAnsi="Times New Roman" w:cs="Times New Roman"/>
                <w:b w:val="0"/>
                <w:bCs w:val="0"/>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是否</w:t>
            </w:r>
            <w:r>
              <w:rPr>
                <w:rFonts w:hint="eastAsia" w:asciiTheme="minorEastAsia" w:hAnsiTheme="minorEastAsia" w:eastAsiaTheme="minorEastAsia" w:cstheme="minorEastAsia"/>
                <w:kern w:val="0"/>
                <w:szCs w:val="21"/>
                <w:lang w:val="en-US" w:eastAsia="zh-CN"/>
              </w:rPr>
              <w:t>未</w:t>
            </w:r>
            <w:r>
              <w:rPr>
                <w:rFonts w:hint="eastAsia" w:asciiTheme="minorEastAsia" w:hAnsiTheme="minorEastAsia" w:eastAsiaTheme="minorEastAsia" w:cstheme="minorEastAsia"/>
                <w:kern w:val="0"/>
                <w:szCs w:val="21"/>
              </w:rPr>
              <w:t>超出经营范围</w:t>
            </w:r>
            <w:r>
              <w:rPr>
                <w:rFonts w:hint="eastAsia" w:asciiTheme="minorEastAsia" w:hAnsiTheme="minorEastAsia" w:eastAsiaTheme="minorEastAsia" w:cstheme="minorEastAsia"/>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供应商提供声明或承诺书，格式自拟</w:t>
            </w:r>
            <w:r>
              <w:rPr>
                <w:rFonts w:hint="eastAsia" w:ascii="宋体" w:hAnsi="宋体" w:cs="宋体"/>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技术参数及商务需求</w:t>
            </w:r>
            <w:r>
              <w:rPr>
                <w:rFonts w:hint="eastAsia" w:asciiTheme="minorEastAsia" w:hAnsiTheme="minorEastAsia" w:eastAsiaTheme="minorEastAsia" w:cstheme="minorEastAsia"/>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rPr>
              <w:t>其他要求</w:t>
            </w: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p>
        </w:tc>
        <w:tc>
          <w:tcPr>
            <w:tcW w:w="4730" w:type="dxa"/>
            <w:vAlign w:val="center"/>
          </w:tcPr>
          <w:p>
            <w:pPr>
              <w:autoSpaceDE w:val="0"/>
              <w:autoSpaceDN w:val="0"/>
              <w:adjustRightInd w:val="0"/>
              <w:snapToGrid w:val="0"/>
              <w:rPr>
                <w:rFonts w:hint="eastAsia" w:ascii="宋体" w:hAnsi="宋体"/>
                <w:szCs w:val="21"/>
              </w:rPr>
            </w:pPr>
            <w:r>
              <w:rPr>
                <w:rFonts w:hint="eastAsia" w:ascii="宋体" w:hAnsi="宋体"/>
                <w:szCs w:val="21"/>
              </w:rPr>
              <w:t>供应商未有下列任一情形：</w:t>
            </w:r>
          </w:p>
          <w:p>
            <w:pPr>
              <w:autoSpaceDE w:val="0"/>
              <w:autoSpaceDN w:val="0"/>
              <w:adjustRightInd w:val="0"/>
              <w:snapToGrid w:val="0"/>
              <w:rPr>
                <w:rFonts w:hint="eastAsia"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hint="eastAsia"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hint="eastAsia"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hint="eastAsia"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hint="eastAsia"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其他要求</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磋商</w:t>
            </w:r>
            <w:r>
              <w:rPr>
                <w:rFonts w:hint="eastAsia" w:ascii="宋体" w:hAnsi="宋体" w:cs="宋体"/>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w:t>
            </w:r>
            <w:r>
              <w:rPr>
                <w:rFonts w:hint="eastAsia" w:asciiTheme="minorEastAsia" w:hAnsiTheme="minorEastAsia" w:eastAsiaTheme="minorEastAsia" w:cstheme="minorEastAsia"/>
                <w:kern w:val="0"/>
                <w:szCs w:val="21"/>
                <w:lang w:val="en-US" w:eastAsia="zh-CN"/>
              </w:rPr>
              <w:t>资格性和符合性审查</w:t>
            </w:r>
            <w:r>
              <w:rPr>
                <w:rFonts w:hint="eastAsia" w:asciiTheme="minorEastAsia" w:hAnsiTheme="minorEastAsia" w:eastAsiaTheme="minorEastAsia" w:cstheme="minorEastAsia"/>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FF0000"/>
                <w:kern w:val="0"/>
                <w:szCs w:val="21"/>
                <w:lang w:val="en-US" w:eastAsia="zh-CN"/>
              </w:rPr>
            </w:pPr>
            <w:r>
              <w:rPr>
                <w:rFonts w:hint="eastAsia" w:asciiTheme="minorEastAsia" w:hAnsiTheme="minorEastAsia" w:eastAsiaTheme="minorEastAsia" w:cstheme="minorEastAsia"/>
                <w:bCs/>
                <w:color w:val="auto"/>
                <w:kern w:val="0"/>
                <w:szCs w:val="21"/>
                <w:lang w:val="en-US" w:eastAsia="zh-CN"/>
              </w:rPr>
              <w:t>3.</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w:t>
            </w:r>
          </w:p>
        </w:tc>
        <w:tc>
          <w:tcPr>
            <w:tcW w:w="3101" w:type="dxa"/>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相同品牌处理原则</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非单一产品采购项目，采购人应当根据采购项目技术构成、产品价格比重等合理确定一个核心产品，并以“核心产品”在磋商文件中标注。若核心产品不止</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个，各供应商所投任一核心产品的品牌相同，则按一家供应商计算。</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多家供应商提供的核心产品品牌相同的，按</w:t>
            </w:r>
            <w:r>
              <w:rPr>
                <w:rFonts w:hint="eastAsia" w:asciiTheme="minorEastAsia" w:hAnsiTheme="minorEastAsia" w:eastAsiaTheme="minorEastAsia" w:cstheme="minorEastAsia"/>
                <w:color w:val="auto"/>
                <w:szCs w:val="21"/>
                <w:lang w:val="en-US" w:eastAsia="zh-CN"/>
              </w:rPr>
              <w:t>上述</w:t>
            </w:r>
            <w:r>
              <w:rPr>
                <w:rFonts w:hint="eastAsia" w:asciiTheme="minorEastAsia" w:hAnsiTheme="minorEastAsia" w:eastAsiaTheme="minorEastAsia" w:cstheme="minorEastAsia"/>
                <w:color w:val="auto"/>
                <w:szCs w:val="21"/>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标需同时提供制造商及代理商双方的数据资料（制造商直接</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标的仅需提供制造商数据资料），如果数据资料与声明函不一致的，由</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判定。经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 号文中对中小企业划型标准的，将根据财库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181</w:t>
            </w:r>
            <w:r>
              <w:rPr>
                <w:rFonts w:hint="eastAsia" w:asciiTheme="minorEastAsia" w:hAnsiTheme="minorEastAsia" w:eastAsiaTheme="minorEastAsia" w:cstheme="minorEastAsia"/>
                <w:kern w:val="0"/>
                <w:szCs w:val="21"/>
                <w:lang w:val="en-US" w:eastAsia="zh-CN"/>
              </w:rPr>
              <w:t>号</w:t>
            </w:r>
            <w:r>
              <w:rPr>
                <w:rFonts w:hint="eastAsia" w:asciiTheme="minorEastAsia" w:hAnsiTheme="minorEastAsia" w:eastAsiaTheme="minorEastAsia" w:cstheme="minorEastAsia"/>
                <w:kern w:val="0"/>
                <w:szCs w:val="21"/>
              </w:rPr>
              <w:t>文的相关规定在评定时对小型和微型企业产品的价格给予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2014</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属于监狱企业的，在评定时视同中小企业</w:t>
            </w:r>
            <w:r>
              <w:rPr>
                <w:rFonts w:hint="eastAsia" w:asciiTheme="minorEastAsia" w:hAnsiTheme="minorEastAsia" w:eastAsiaTheme="minorEastAsia" w:cstheme="minorEastAsia"/>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21" w:name="_Toc32290"/>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21"/>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pStyle w:val="20"/>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lang w:eastAsia="zh-CN"/>
        </w:rPr>
      </w:pPr>
      <w:bookmarkStart w:id="122" w:name="_Toc1388"/>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22"/>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lang w:val="en-US" w:eastAsia="zh-CN"/>
        </w:rPr>
        <w:t>01包：肥料生产线</w:t>
      </w:r>
      <w:r>
        <w:rPr>
          <w:rFonts w:hint="eastAsia" w:asciiTheme="minorEastAsia" w:hAnsiTheme="minorEastAsia" w:eastAsiaTheme="minorEastAsia" w:cstheme="minorEastAsia"/>
          <w:b/>
          <w:szCs w:val="21"/>
          <w:lang w:eastAsia="zh-CN"/>
        </w:rPr>
        <w:t>）</w:t>
      </w:r>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37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512"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66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竞标</w:t>
            </w:r>
            <w:r>
              <w:rPr>
                <w:rFonts w:hint="eastAsia" w:asciiTheme="minorEastAsia" w:hAnsiTheme="minorEastAsia" w:eastAsiaTheme="minorEastAsia" w:cstheme="minorEastAsia"/>
                <w:color w:val="auto"/>
                <w:kern w:val="0"/>
                <w:szCs w:val="21"/>
                <w:lang w:bidi="ar"/>
              </w:rPr>
              <w:t>报价</w:t>
            </w:r>
            <w:r>
              <w:rPr>
                <w:rFonts w:hint="eastAsia" w:asciiTheme="minorEastAsia" w:hAnsiTheme="minorEastAsia" w:eastAsiaTheme="minorEastAsia" w:cstheme="minorEastAsia"/>
                <w:color w:val="auto"/>
                <w:kern w:val="0"/>
                <w:szCs w:val="21"/>
                <w:lang w:bidi="ar"/>
              </w:rPr>
              <w:br w:type="textWrapping"/>
            </w:r>
            <w:r>
              <w:rPr>
                <w:rFonts w:hint="eastAsia" w:asciiTheme="minorEastAsia" w:hAnsiTheme="minorEastAsia" w:eastAsiaTheme="minorEastAsia" w:cstheme="minorEastAsia"/>
                <w:color w:val="auto"/>
                <w:kern w:val="0"/>
                <w:szCs w:val="21"/>
                <w:lang w:val="en-US" w:eastAsia="zh-CN" w:bidi="ar"/>
              </w:rPr>
              <w:t>30</w:t>
            </w:r>
            <w:r>
              <w:rPr>
                <w:rFonts w:hint="eastAsia" w:asciiTheme="minorEastAsia" w:hAnsiTheme="minorEastAsia" w:eastAsiaTheme="minorEastAsia" w:cstheme="minorEastAsia"/>
                <w:color w:val="auto"/>
                <w:kern w:val="0"/>
                <w:szCs w:val="21"/>
                <w:lang w:bidi="ar"/>
              </w:rPr>
              <w:t>分</w:t>
            </w:r>
          </w:p>
        </w:tc>
        <w:tc>
          <w:tcPr>
            <w:tcW w:w="137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最后</w:t>
            </w:r>
            <w:r>
              <w:rPr>
                <w:rFonts w:hint="eastAsia" w:asciiTheme="minorEastAsia" w:hAnsiTheme="minorEastAsia" w:eastAsiaTheme="minorEastAsia" w:cstheme="minorEastAsia"/>
                <w:color w:val="auto"/>
                <w:kern w:val="0"/>
                <w:szCs w:val="21"/>
                <w:lang w:bidi="ar"/>
              </w:rPr>
              <w:t>报价</w:t>
            </w:r>
          </w:p>
        </w:tc>
        <w:tc>
          <w:tcPr>
            <w:tcW w:w="6512" w:type="dxa"/>
            <w:vAlign w:val="center"/>
          </w:tcPr>
          <w:p>
            <w:pPr>
              <w:widowControl/>
              <w:spacing w:line="260" w:lineRule="exact"/>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1、报价采用低价优先法计算，即满足</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采购文件要求且报价最低的报价为磋商基准价，其报价分为满分</w:t>
            </w:r>
            <w:r>
              <w:rPr>
                <w:rFonts w:hint="eastAsia" w:asciiTheme="minorEastAsia" w:hAnsiTheme="minorEastAsia" w:eastAsiaTheme="minorEastAsia" w:cstheme="minorEastAsia"/>
                <w:color w:val="auto"/>
                <w:lang w:val="en-US" w:eastAsia="zh-CN"/>
              </w:rPr>
              <w:t>30</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2、其他供应商的报价分按照下列公式计算：</w:t>
            </w:r>
          </w:p>
          <w:p>
            <w:pPr>
              <w:widowControl/>
              <w:spacing w:line="260" w:lineRule="exact"/>
              <w:jc w:val="left"/>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报价分=（磋商基准价/磋商报价）×</w:t>
            </w:r>
            <w:r>
              <w:rPr>
                <w:rFonts w:hint="eastAsia" w:asciiTheme="minorEastAsia" w:hAnsiTheme="minorEastAsia" w:eastAsiaTheme="minorEastAsia" w:cstheme="minorEastAsia"/>
                <w:color w:val="auto"/>
                <w:lang w:val="en-US" w:eastAsia="zh-CN"/>
              </w:rPr>
              <w:t>30</w:t>
            </w:r>
          </w:p>
          <w:p>
            <w:pPr>
              <w:widowControl/>
              <w:spacing w:line="260" w:lineRule="exact"/>
              <w:jc w:val="left"/>
              <w:textAlignment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备注：</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en-US" w:eastAsia="zh-CN"/>
              </w:rPr>
              <w:t>2、</w:t>
            </w:r>
            <w:r>
              <w:rPr>
                <w:rFonts w:hint="eastAsia" w:asciiTheme="minorEastAsia" w:hAnsiTheme="minorEastAsia" w:eastAsiaTheme="minorEastAsia" w:cstheme="minorEastAsia"/>
                <w:b/>
                <w:bCs/>
                <w:color w:val="auto"/>
              </w:rPr>
              <w:t>符合本磋商文件第</w:t>
            </w:r>
            <w:r>
              <w:rPr>
                <w:rFonts w:hint="eastAsia" w:asciiTheme="minorEastAsia" w:hAnsiTheme="minorEastAsia" w:eastAsiaTheme="minorEastAsia" w:cstheme="minorEastAsia"/>
                <w:b/>
                <w:bCs/>
                <w:color w:val="auto"/>
                <w:lang w:val="en-US" w:eastAsia="zh-CN"/>
              </w:rPr>
              <w:t>四</w:t>
            </w:r>
            <w:r>
              <w:rPr>
                <w:rFonts w:hint="eastAsia" w:asciiTheme="minorEastAsia" w:hAnsiTheme="minorEastAsia" w:eastAsiaTheme="minorEastAsia" w:cstheme="minorEastAsia"/>
                <w:b/>
                <w:bCs/>
                <w:color w:val="auto"/>
              </w:rPr>
              <w:t>章“政策支持”</w:t>
            </w:r>
            <w:r>
              <w:rPr>
                <w:rFonts w:hint="eastAsia" w:asciiTheme="minorEastAsia" w:hAnsiTheme="minorEastAsia" w:eastAsiaTheme="minorEastAsia" w:cstheme="minorEastAsia"/>
                <w:b/>
                <w:bCs/>
                <w:color w:val="auto"/>
                <w:lang w:val="en-US" w:eastAsia="zh-CN"/>
              </w:rPr>
              <w:t>条件</w:t>
            </w:r>
            <w:r>
              <w:rPr>
                <w:rFonts w:hint="eastAsia" w:asciiTheme="minorEastAsia" w:hAnsiTheme="minorEastAsia" w:eastAsiaTheme="minorEastAsia" w:cstheme="minorEastAsia"/>
                <w:b/>
                <w:bCs/>
                <w:color w:val="auto"/>
              </w:rPr>
              <w:t>的，在评审时予以价格扣除，用扣除后的价格参与评审。</w:t>
            </w:r>
          </w:p>
        </w:tc>
        <w:tc>
          <w:tcPr>
            <w:tcW w:w="664" w:type="dxa"/>
            <w:vAlign w:val="center"/>
          </w:tcPr>
          <w:p>
            <w:pPr>
              <w:widowControl/>
              <w:spacing w:line="260" w:lineRule="exact"/>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val="en-US" w:eastAsia="zh-CN" w:bidi="ar"/>
              </w:rPr>
              <w:t>30</w:t>
            </w:r>
            <w:r>
              <w:rPr>
                <w:rFonts w:hint="eastAsia" w:asciiTheme="minorEastAsia" w:hAnsiTheme="minorEastAsia" w:eastAsiaTheme="minorEastAsia" w:cstheme="minorEastAsia"/>
                <w:color w:val="auto"/>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20</w:t>
            </w:r>
            <w:r>
              <w:rPr>
                <w:rFonts w:hint="eastAsia" w:asciiTheme="minorEastAsia" w:hAnsiTheme="minorEastAsia" w:eastAsiaTheme="minorEastAsia" w:cstheme="minorEastAsia"/>
                <w:color w:val="auto"/>
                <w:spacing w:val="-6"/>
                <w:sz w:val="21"/>
                <w:szCs w:val="21"/>
              </w:rPr>
              <w:t>分</w:t>
            </w:r>
          </w:p>
        </w:tc>
        <w:tc>
          <w:tcPr>
            <w:tcW w:w="1376" w:type="dxa"/>
            <w:vAlign w:val="center"/>
          </w:tcPr>
          <w:p>
            <w:pPr>
              <w:spacing w:line="360" w:lineRule="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eastAsia="zh-CN"/>
              </w:rPr>
              <w:t>财务状况</w:t>
            </w:r>
          </w:p>
        </w:tc>
        <w:tc>
          <w:tcPr>
            <w:tcW w:w="6512" w:type="dxa"/>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Cs w:val="21"/>
                <w:lang w:bidi="ar"/>
              </w:rPr>
              <w:t>根据供应商提供的近三年（</w:t>
            </w:r>
            <w:r>
              <w:rPr>
                <w:rFonts w:hint="eastAsia" w:asciiTheme="minorEastAsia" w:hAnsiTheme="minorEastAsia" w:eastAsiaTheme="minorEastAsia" w:cstheme="minorEastAsia"/>
                <w:color w:val="auto"/>
                <w:spacing w:val="-6"/>
                <w:sz w:val="21"/>
                <w:szCs w:val="21"/>
                <w:lang w:val="en-US" w:eastAsia="zh-CN"/>
              </w:rPr>
              <w:t>2016、2017、2018或2017、2018、2019</w:t>
            </w:r>
            <w:r>
              <w:rPr>
                <w:rFonts w:hint="eastAsia" w:ascii="宋体" w:hAnsi="宋体" w:cs="宋体"/>
                <w:color w:val="auto"/>
                <w:kern w:val="0"/>
                <w:szCs w:val="21"/>
                <w:lang w:bidi="ar"/>
              </w:rPr>
              <w:t>）财务报告，对其经营状况、财务状况相互比较：连续盈利，偿债能力、盈利能力和抗风险能力强的，得4分；盈利情况一般，偿债能力和抗风险能力较弱的，得2分；无盈利，偿债能力和抗风险能力差的，得1分；（成立不足三年的按公司成立时的间起算）</w:t>
            </w:r>
          </w:p>
        </w:tc>
        <w:tc>
          <w:tcPr>
            <w:tcW w:w="664" w:type="dxa"/>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kern w:val="0"/>
                <w:sz w:val="21"/>
                <w:szCs w:val="21"/>
                <w:lang w:val="en-US" w:eastAsia="zh-CN"/>
              </w:rPr>
              <w:t xml:space="preserve">4分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spacing w:line="360" w:lineRule="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sz w:val="21"/>
                <w:szCs w:val="21"/>
                <w:lang w:eastAsia="zh-CN"/>
              </w:rPr>
              <w:t>类似业绩</w:t>
            </w:r>
          </w:p>
        </w:tc>
        <w:tc>
          <w:tcPr>
            <w:tcW w:w="6512" w:type="dxa"/>
            <w:vAlign w:val="center"/>
          </w:tcPr>
          <w:p>
            <w:pPr>
              <w:spacing w:line="360" w:lineRule="auto"/>
              <w:jc w:val="left"/>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sz w:val="21"/>
                <w:szCs w:val="21"/>
              </w:rPr>
              <w:t>近三年（</w:t>
            </w:r>
            <w:r>
              <w:rPr>
                <w:rFonts w:hint="eastAsia" w:asciiTheme="minorEastAsia" w:hAnsiTheme="minorEastAsia" w:eastAsiaTheme="minorEastAsia" w:cstheme="minorEastAsia"/>
                <w:color w:val="auto"/>
                <w:spacing w:val="-6"/>
                <w:sz w:val="21"/>
                <w:szCs w:val="21"/>
                <w:lang w:eastAsia="zh-CN"/>
              </w:rPr>
              <w:t>磋商</w:t>
            </w:r>
            <w:r>
              <w:rPr>
                <w:rFonts w:hint="eastAsia" w:ascii="宋体" w:hAnsi="宋体" w:cs="宋体"/>
                <w:color w:val="auto"/>
                <w:sz w:val="21"/>
                <w:szCs w:val="21"/>
              </w:rPr>
              <w:t>截止时间往前推算36个月）承担过的类似项目业绩一个得2分，最高得8分。（须提供中标通知书及合同复印件加盖公章）</w:t>
            </w:r>
          </w:p>
        </w:tc>
        <w:tc>
          <w:tcPr>
            <w:tcW w:w="664" w:type="dxa"/>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sz w:val="21"/>
                <w:szCs w:val="21"/>
                <w:lang w:val="en-US" w:eastAsia="zh-CN"/>
              </w:rPr>
              <w:t>8</w:t>
            </w:r>
            <w:r>
              <w:rPr>
                <w:rFonts w:hint="eastAsia" w:asciiTheme="minorEastAsia" w:hAnsiTheme="minorEastAsia" w:eastAsiaTheme="minorEastAsia" w:cstheme="minorEastAsia"/>
                <w:color w:val="auto"/>
                <w:spacing w:val="-6"/>
                <w:kern w:val="0"/>
                <w:sz w:val="21"/>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spacing w:line="360" w:lineRule="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kern w:val="0"/>
                <w:sz w:val="21"/>
                <w:szCs w:val="21"/>
                <w:lang w:eastAsia="zh-CN"/>
              </w:rPr>
              <w:t>用户评价</w:t>
            </w:r>
          </w:p>
        </w:tc>
        <w:tc>
          <w:tcPr>
            <w:tcW w:w="6512" w:type="dxa"/>
            <w:vAlign w:val="center"/>
          </w:tcPr>
          <w:p>
            <w:pPr>
              <w:spacing w:line="360" w:lineRule="auto"/>
              <w:jc w:val="left"/>
              <w:rPr>
                <w:rFonts w:hint="eastAsia" w:asciiTheme="minorEastAsia" w:hAnsiTheme="minorEastAsia" w:eastAsiaTheme="minorEastAsia" w:cstheme="minorEastAsia"/>
                <w:color w:val="auto"/>
                <w:spacing w:val="-6"/>
                <w:sz w:val="21"/>
                <w:szCs w:val="21"/>
              </w:rPr>
            </w:pPr>
            <w:r>
              <w:rPr>
                <w:rFonts w:hint="eastAsia" w:ascii="宋体" w:hAnsi="宋体" w:cs="宋体"/>
                <w:color w:val="auto"/>
                <w:sz w:val="21"/>
                <w:szCs w:val="21"/>
              </w:rPr>
              <w:t>提供近三年（</w:t>
            </w:r>
            <w:r>
              <w:rPr>
                <w:rFonts w:hint="eastAsia" w:asciiTheme="minorEastAsia" w:hAnsiTheme="minorEastAsia" w:eastAsiaTheme="minorEastAsia" w:cstheme="minorEastAsia"/>
                <w:color w:val="auto"/>
                <w:spacing w:val="-6"/>
                <w:sz w:val="21"/>
                <w:szCs w:val="21"/>
                <w:lang w:eastAsia="zh-CN"/>
              </w:rPr>
              <w:t>磋商</w:t>
            </w:r>
            <w:r>
              <w:rPr>
                <w:rFonts w:hint="eastAsia" w:ascii="宋体" w:hAnsi="宋体" w:cs="宋体"/>
                <w:color w:val="auto"/>
                <w:sz w:val="21"/>
                <w:szCs w:val="21"/>
              </w:rPr>
              <w:t>截止时间往前推算36个月）用户出具的满意评价证明（盖用户单位公章），每提供一个得1分，最高得4分。（需提供不同单位出具加盖公章的满意评价证明）</w:t>
            </w:r>
          </w:p>
        </w:tc>
        <w:tc>
          <w:tcPr>
            <w:tcW w:w="664" w:type="dxa"/>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kern w:val="0"/>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tcBorders>
              <w:bottom w:val="single" w:color="auto" w:sz="4" w:space="0"/>
            </w:tcBorders>
            <w:vAlign w:val="center"/>
          </w:tcPr>
          <w:p>
            <w:pPr>
              <w:spacing w:line="360" w:lineRule="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eastAsia="zh-CN"/>
              </w:rPr>
              <w:t>体系认证</w:t>
            </w:r>
          </w:p>
        </w:tc>
        <w:tc>
          <w:tcPr>
            <w:tcW w:w="6512" w:type="dxa"/>
            <w:tcBorders>
              <w:bottom w:val="single" w:color="auto" w:sz="4" w:space="0"/>
            </w:tcBorders>
            <w:vAlign w:val="center"/>
          </w:tcPr>
          <w:p>
            <w:pPr>
              <w:spacing w:line="360" w:lineRule="auto"/>
              <w:jc w:val="left"/>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kern w:val="0"/>
                <w:szCs w:val="21"/>
                <w:lang w:bidi="ar"/>
              </w:rPr>
              <w:t>供应商</w:t>
            </w:r>
            <w:r>
              <w:rPr>
                <w:rFonts w:hint="eastAsia" w:ascii="宋体" w:hAnsi="宋体" w:cs="宋体"/>
                <w:color w:val="auto"/>
                <w:sz w:val="21"/>
                <w:szCs w:val="21"/>
              </w:rPr>
              <w:t>提供OHSAS1800职业健康体系认证证书、ISO9001质量管理体系认证证书、ISO14001环境管理体系认证。每提供1 个证书得1分，不提供的不得分。</w:t>
            </w:r>
          </w:p>
        </w:tc>
        <w:tc>
          <w:tcPr>
            <w:tcW w:w="664" w:type="dxa"/>
            <w:tcBorders>
              <w:bottom w:val="single" w:color="auto" w:sz="4" w:space="0"/>
            </w:tcBorders>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tcBorders>
              <w:top w:val="single" w:color="auto" w:sz="4" w:space="0"/>
            </w:tcBorders>
            <w:vAlign w:val="center"/>
          </w:tcPr>
          <w:p>
            <w:pPr>
              <w:spacing w:line="360" w:lineRule="auto"/>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sz w:val="21"/>
                <w:szCs w:val="21"/>
              </w:rPr>
              <w:t>标书制作</w:t>
            </w:r>
          </w:p>
        </w:tc>
        <w:tc>
          <w:tcPr>
            <w:tcW w:w="6512" w:type="dxa"/>
            <w:tcBorders>
              <w:top w:val="single" w:color="auto" w:sz="4" w:space="0"/>
            </w:tcBorders>
            <w:vAlign w:val="center"/>
          </w:tcPr>
          <w:p>
            <w:pPr>
              <w:spacing w:line="360" w:lineRule="auto"/>
              <w:jc w:val="left"/>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sz w:val="21"/>
                <w:szCs w:val="21"/>
              </w:rPr>
              <w:t>响应文件逐页有连续页码，并有详细目录，目录与有关材料装订顺序对应清晰，查阅方便的得0.5分；有评分导引表的得0.5分</w:t>
            </w:r>
          </w:p>
        </w:tc>
        <w:tc>
          <w:tcPr>
            <w:tcW w:w="664" w:type="dxa"/>
            <w:tcBorders>
              <w:top w:val="single" w:color="auto" w:sz="4" w:space="0"/>
            </w:tcBorders>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50</w:t>
            </w:r>
            <w:r>
              <w:rPr>
                <w:rFonts w:hint="eastAsia" w:asciiTheme="minorEastAsia" w:hAnsiTheme="minorEastAsia" w:eastAsiaTheme="minorEastAsia" w:cstheme="minorEastAsia"/>
                <w:color w:val="auto"/>
                <w:spacing w:val="-6"/>
                <w:sz w:val="21"/>
                <w:szCs w:val="21"/>
              </w:rPr>
              <w:t>分</w:t>
            </w:r>
          </w:p>
        </w:tc>
        <w:tc>
          <w:tcPr>
            <w:tcW w:w="1376" w:type="dxa"/>
            <w:vAlign w:val="center"/>
          </w:tcPr>
          <w:p>
            <w:pPr>
              <w:spacing w:line="360" w:lineRule="auto"/>
              <w:rPr>
                <w:rFonts w:hint="eastAsia" w:asciiTheme="minorEastAsia" w:hAnsiTheme="minorEastAsia" w:eastAsiaTheme="minorEastAsia" w:cstheme="minorEastAsia"/>
                <w:color w:val="auto"/>
                <w:spacing w:val="-6"/>
                <w:sz w:val="21"/>
                <w:szCs w:val="21"/>
              </w:rPr>
            </w:pPr>
            <w:r>
              <w:rPr>
                <w:rFonts w:hint="eastAsia"/>
                <w:color w:val="auto"/>
              </w:rPr>
              <w:t>技术响应</w:t>
            </w:r>
          </w:p>
        </w:tc>
        <w:tc>
          <w:tcPr>
            <w:tcW w:w="6512" w:type="dxa"/>
            <w:vAlign w:val="center"/>
          </w:tcPr>
          <w:p>
            <w:pPr>
              <w:widowControl/>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供应商所投产品技术参数响应情况占</w:t>
            </w:r>
            <w:r>
              <w:rPr>
                <w:rFonts w:hint="eastAsia" w:asciiTheme="minorEastAsia" w:hAnsiTheme="minorEastAsia" w:eastAsiaTheme="minorEastAsia" w:cstheme="minorEastAsia"/>
                <w:color w:val="auto"/>
                <w:lang w:val="en-US" w:eastAsia="zh-CN"/>
              </w:rPr>
              <w:t>35</w:t>
            </w:r>
            <w:r>
              <w:rPr>
                <w:rFonts w:hint="eastAsia" w:asciiTheme="minorEastAsia" w:hAnsiTheme="minorEastAsia" w:eastAsiaTheme="minorEastAsia" w:cstheme="minorEastAsia"/>
                <w:color w:val="auto"/>
              </w:rPr>
              <w:t>分，具体由磋商小组根据供应商的响应文件中产品情况、《技术响应、偏离说明表》等有关资料打分。其中：完全满足磋商文件技术参数要求的得</w:t>
            </w:r>
            <w:r>
              <w:rPr>
                <w:rFonts w:hint="eastAsia" w:asciiTheme="minorEastAsia" w:hAnsiTheme="minorEastAsia" w:eastAsiaTheme="minorEastAsia" w:cstheme="minorEastAsia"/>
                <w:color w:val="auto"/>
                <w:lang w:val="en-US" w:eastAsia="zh-CN"/>
              </w:rPr>
              <w:t>35</w:t>
            </w:r>
            <w:r>
              <w:rPr>
                <w:rFonts w:hint="eastAsia" w:asciiTheme="minorEastAsia" w:hAnsiTheme="minorEastAsia" w:eastAsiaTheme="minorEastAsia" w:cstheme="minorEastAsia"/>
                <w:color w:val="auto"/>
              </w:rPr>
              <w:t xml:space="preserve">分；有一项不满足的扣 </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分，扣完为止。</w:t>
            </w:r>
          </w:p>
          <w:p>
            <w:pPr>
              <w:spacing w:line="360" w:lineRule="auto"/>
              <w:ind w:left="-4" w:leftChars="-2" w:firstLine="2" w:firstLineChars="1"/>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rPr>
              <w:t>备注：复制磋商文件技术要求作为实际响应数据或投标响应数据无对应支持文件的，其技术响应将可能按负偏离处理。参数需列出证明文件予以佐证,未予以佐证视为不响应。（主要技术参数以提供原厂确认并盖章的技术参数或原厂出具的产品宣传彩页或打印的官网资料截图资料为准）</w:t>
            </w:r>
          </w:p>
        </w:tc>
        <w:tc>
          <w:tcPr>
            <w:tcW w:w="664" w:type="dxa"/>
            <w:vAlign w:val="center"/>
          </w:tcPr>
          <w:p>
            <w:pPr>
              <w:spacing w:line="360" w:lineRule="auto"/>
              <w:ind w:left="-4" w:leftChars="-2" w:firstLine="2" w:firstLineChars="1"/>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lang w:val="en-US" w:eastAsia="zh-CN"/>
              </w:rPr>
              <w:t>35</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rPr>
              <w:t>人员组成情况</w:t>
            </w:r>
          </w:p>
        </w:tc>
        <w:tc>
          <w:tcPr>
            <w:tcW w:w="6512" w:type="dxa"/>
            <w:vAlign w:val="center"/>
          </w:tcPr>
          <w:p>
            <w:pPr>
              <w:widowControl/>
              <w:spacing w:line="360" w:lineRule="auto"/>
              <w:jc w:val="left"/>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实施方案情况，包括人员组织、交货期、质量保证措施等进行评分，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科学、合理，针对性强，</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合理，可行，</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欠合理，基本可行，</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widowControl/>
              <w:spacing w:line="360" w:lineRule="auto"/>
              <w:rPr>
                <w:rFonts w:hint="eastAsia" w:asciiTheme="minorEastAsia" w:hAnsiTheme="minorEastAsia" w:eastAsiaTheme="minorEastAsia" w:cstheme="minorEastAsia"/>
                <w:color w:val="auto"/>
                <w:sz w:val="21"/>
                <w:szCs w:val="21"/>
              </w:rPr>
            </w:pPr>
            <w:r>
              <w:rPr>
                <w:rFonts w:hint="eastAsia" w:ascii="宋体" w:hAnsi="宋体" w:cs="宋体"/>
                <w:color w:val="auto"/>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rPr>
              <w:t>实施、培训和验收方案</w:t>
            </w:r>
          </w:p>
        </w:tc>
        <w:tc>
          <w:tcPr>
            <w:tcW w:w="6512" w:type="dxa"/>
            <w:vAlign w:val="center"/>
          </w:tcPr>
          <w:p>
            <w:pPr>
              <w:widowControl/>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提供实施、培训和验收方案，实施、培训和验收方案具有可操作性、合理性和可行性，依据对实施、培训、验收方案等的描述及承诺等进行评分，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科学、合理，针对性强，</w:t>
            </w:r>
            <w:r>
              <w:rPr>
                <w:rFonts w:hint="eastAsia" w:ascii="宋体" w:hAnsi="宋体" w:cs="宋体"/>
                <w:color w:val="auto"/>
                <w:kern w:val="0"/>
                <w:szCs w:val="21"/>
                <w:lang w:val="en-US" w:eastAsia="zh-CN"/>
              </w:rPr>
              <w:t>3</w:t>
            </w:r>
            <w:r>
              <w:rPr>
                <w:rFonts w:hint="eastAsia" w:ascii="宋体" w:hAnsi="宋体" w:cs="宋体"/>
                <w:color w:val="auto"/>
                <w:kern w:val="0"/>
                <w:szCs w:val="21"/>
              </w:rPr>
              <w:t xml:space="preserve"> 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合理，可行，</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欠合理，基本可行，</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widowControl/>
              <w:spacing w:line="360" w:lineRule="auto"/>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rPr>
              <w:t>售后服务方案</w:t>
            </w:r>
          </w:p>
        </w:tc>
        <w:tc>
          <w:tcPr>
            <w:tcW w:w="6512" w:type="dxa"/>
            <w:vAlign w:val="center"/>
          </w:tcPr>
          <w:p>
            <w:pPr>
              <w:widowControl/>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提供售后服务方案，根据售后服务方案设计的完整性、可行性等进行评分，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科学、合理，针对性强，</w:t>
            </w:r>
            <w:r>
              <w:rPr>
                <w:rFonts w:hint="eastAsia" w:ascii="宋体" w:hAnsi="宋体" w:cs="宋体"/>
                <w:color w:val="auto"/>
                <w:kern w:val="0"/>
                <w:szCs w:val="21"/>
                <w:lang w:val="en-US" w:eastAsia="zh-CN"/>
              </w:rPr>
              <w:t>3</w:t>
            </w:r>
            <w:r>
              <w:rPr>
                <w:rFonts w:hint="eastAsia" w:ascii="宋体" w:hAnsi="宋体" w:cs="宋体"/>
                <w:color w:val="auto"/>
                <w:kern w:val="0"/>
                <w:szCs w:val="21"/>
              </w:rPr>
              <w:t xml:space="preserve"> 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合理，可行，</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欠合理，基本可行，</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 分；</w:t>
            </w:r>
          </w:p>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rPr>
              <w:t>应急方案</w:t>
            </w:r>
          </w:p>
        </w:tc>
        <w:tc>
          <w:tcPr>
            <w:tcW w:w="6512" w:type="dxa"/>
            <w:vAlign w:val="center"/>
          </w:tcPr>
          <w:p>
            <w:pPr>
              <w:widowControl/>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提供系统应急方案，根据对</w:t>
            </w:r>
            <w:r>
              <w:rPr>
                <w:rFonts w:hint="eastAsia" w:asciiTheme="minorEastAsia" w:hAnsiTheme="minorEastAsia" w:eastAsiaTheme="minorEastAsia" w:cstheme="minorEastAsia"/>
                <w:color w:val="auto"/>
                <w:lang w:eastAsia="zh-CN"/>
              </w:rPr>
              <w:t>设备</w:t>
            </w:r>
            <w:r>
              <w:rPr>
                <w:rFonts w:hint="eastAsia" w:asciiTheme="minorEastAsia" w:hAnsiTheme="minorEastAsia" w:eastAsiaTheme="minorEastAsia" w:cstheme="minorEastAsia"/>
                <w:color w:val="auto"/>
              </w:rPr>
              <w:t>故障时处理方案等的描述及可</w:t>
            </w:r>
            <w:r>
              <w:rPr>
                <w:rFonts w:hint="eastAsia" w:asciiTheme="minorEastAsia" w:hAnsiTheme="minorEastAsia" w:eastAsiaTheme="minorEastAsia" w:cstheme="minorEastAsia"/>
                <w:color w:val="auto"/>
                <w:lang w:eastAsia="zh-CN"/>
              </w:rPr>
              <w:t>行</w:t>
            </w:r>
            <w:r>
              <w:rPr>
                <w:rFonts w:hint="eastAsia" w:asciiTheme="minorEastAsia" w:hAnsiTheme="minorEastAsia" w:eastAsiaTheme="minorEastAsia" w:cstheme="minorEastAsia"/>
                <w:color w:val="auto"/>
              </w:rPr>
              <w:t>性等进行评分，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科学、合理，针对性强，</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合理，可行，</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欠合理，基本可行，</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 分；</w:t>
            </w:r>
          </w:p>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rPr>
              <w:t>技术培训</w:t>
            </w:r>
          </w:p>
        </w:tc>
        <w:tc>
          <w:tcPr>
            <w:tcW w:w="6512" w:type="dxa"/>
            <w:vAlign w:val="center"/>
          </w:tcPr>
          <w:p>
            <w:pPr>
              <w:widowControl/>
              <w:spacing w:line="360" w:lineRule="auto"/>
              <w:jc w:val="left"/>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根据供应商提供</w:t>
            </w:r>
            <w:r>
              <w:rPr>
                <w:rFonts w:hint="eastAsia" w:asciiTheme="minorEastAsia" w:hAnsiTheme="minorEastAsia" w:eastAsiaTheme="minorEastAsia" w:cstheme="minorEastAsia"/>
                <w:color w:val="auto"/>
                <w:lang w:eastAsia="zh-CN"/>
              </w:rPr>
              <w:t>服务过程中</w:t>
            </w:r>
            <w:r>
              <w:rPr>
                <w:rFonts w:hint="eastAsia" w:asciiTheme="minorEastAsia" w:hAnsiTheme="minorEastAsia" w:eastAsiaTheme="minorEastAsia" w:cstheme="minorEastAsia"/>
                <w:color w:val="auto"/>
              </w:rPr>
              <w:t>的现场技术培训方案等进行评分，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科学、合理，针对性强，</w:t>
            </w:r>
            <w:r>
              <w:rPr>
                <w:rFonts w:hint="eastAsia" w:ascii="宋体" w:hAnsi="宋体" w:cs="宋体"/>
                <w:color w:val="auto"/>
                <w:kern w:val="0"/>
                <w:szCs w:val="21"/>
                <w:lang w:val="en-US" w:eastAsia="zh-CN"/>
              </w:rPr>
              <w:t>3</w:t>
            </w:r>
            <w:r>
              <w:rPr>
                <w:rFonts w:hint="eastAsia" w:ascii="宋体" w:hAnsi="宋体" w:cs="宋体"/>
                <w:color w:val="auto"/>
                <w:kern w:val="0"/>
                <w:szCs w:val="21"/>
              </w:rPr>
              <w:t xml:space="preserve"> 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合理，可行，</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widowControl/>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欠合理，基本可行，</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总分</w:t>
            </w:r>
          </w:p>
        </w:tc>
        <w:tc>
          <w:tcPr>
            <w:tcW w:w="8552" w:type="dxa"/>
            <w:gridSpan w:val="3"/>
            <w:vAlign w:val="center"/>
          </w:tcPr>
          <w:p>
            <w:pPr>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lang w:val="en-US" w:eastAsia="zh-CN"/>
              </w:rPr>
              <w:t>100</w:t>
            </w:r>
          </w:p>
        </w:tc>
      </w:tr>
    </w:tbl>
    <w:p>
      <w:pPr>
        <w:rPr>
          <w:rFonts w:hint="eastAsia" w:asciiTheme="minorEastAsia" w:hAnsiTheme="minorEastAsia" w:eastAsiaTheme="minorEastAsia" w:cstheme="minorEastAsia"/>
          <w:b/>
          <w:color w:val="auto"/>
          <w:szCs w:val="21"/>
        </w:rPr>
      </w:pPr>
      <w:bookmarkStart w:id="123" w:name="_Toc23609"/>
      <w:r>
        <w:rPr>
          <w:rFonts w:hint="eastAsia" w:asciiTheme="minorEastAsia" w:hAnsiTheme="minorEastAsia" w:eastAsiaTheme="minorEastAsia" w:cstheme="minorEastAsia"/>
          <w:b/>
          <w:color w:val="auto"/>
          <w:szCs w:val="21"/>
        </w:rPr>
        <w:br w:type="page"/>
      </w:r>
    </w:p>
    <w:p>
      <w:pPr>
        <w:spacing w:line="360" w:lineRule="auto"/>
        <w:outlineLvl w:val="1"/>
        <w:rPr>
          <w:rFonts w:hint="eastAsia" w:asciiTheme="minorEastAsia" w:hAnsiTheme="minorEastAsia" w:eastAsiaTheme="minorEastAsia" w:cstheme="minorEastAsia"/>
          <w:b/>
          <w:color w:val="auto"/>
          <w:szCs w:val="21"/>
          <w:lang w:eastAsia="zh-CN"/>
        </w:rPr>
      </w:pPr>
      <w:r>
        <w:rPr>
          <w:rFonts w:hint="eastAsia" w:asciiTheme="minorEastAsia" w:hAnsiTheme="minorEastAsia" w:eastAsiaTheme="minorEastAsia" w:cstheme="minorEastAsia"/>
          <w:b/>
          <w:color w:val="auto"/>
          <w:szCs w:val="21"/>
        </w:rPr>
        <w:t>评分细则</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02包：虚拟仿真</w:t>
      </w:r>
      <w:r>
        <w:rPr>
          <w:rFonts w:hint="eastAsia" w:asciiTheme="minorEastAsia" w:hAnsiTheme="minorEastAsia" w:eastAsiaTheme="minorEastAsia" w:cstheme="minorEastAsia"/>
          <w:b/>
          <w:color w:val="auto"/>
          <w:szCs w:val="21"/>
          <w:lang w:eastAsia="zh-CN"/>
        </w:rPr>
        <w:t>）</w:t>
      </w:r>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376"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512"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66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竞标</w:t>
            </w:r>
            <w:r>
              <w:rPr>
                <w:rFonts w:hint="eastAsia" w:asciiTheme="minorEastAsia" w:hAnsiTheme="minorEastAsia" w:eastAsiaTheme="minorEastAsia" w:cstheme="minorEastAsia"/>
                <w:color w:val="auto"/>
                <w:kern w:val="0"/>
                <w:szCs w:val="21"/>
                <w:lang w:bidi="ar"/>
              </w:rPr>
              <w:t>报价</w:t>
            </w:r>
            <w:r>
              <w:rPr>
                <w:rFonts w:hint="eastAsia" w:asciiTheme="minorEastAsia" w:hAnsiTheme="minorEastAsia" w:eastAsiaTheme="minorEastAsia" w:cstheme="minorEastAsia"/>
                <w:color w:val="auto"/>
                <w:kern w:val="0"/>
                <w:szCs w:val="21"/>
                <w:lang w:bidi="ar"/>
              </w:rPr>
              <w:br w:type="textWrapping"/>
            </w:r>
            <w:r>
              <w:rPr>
                <w:rFonts w:hint="eastAsia" w:asciiTheme="minorEastAsia" w:hAnsiTheme="minorEastAsia" w:eastAsiaTheme="minorEastAsia" w:cstheme="minorEastAsia"/>
                <w:color w:val="auto"/>
                <w:kern w:val="0"/>
                <w:szCs w:val="21"/>
                <w:lang w:val="en-US" w:eastAsia="zh-CN" w:bidi="ar"/>
              </w:rPr>
              <w:t>30</w:t>
            </w:r>
            <w:r>
              <w:rPr>
                <w:rFonts w:hint="eastAsia" w:asciiTheme="minorEastAsia" w:hAnsiTheme="minorEastAsia" w:eastAsiaTheme="minorEastAsia" w:cstheme="minorEastAsia"/>
                <w:color w:val="auto"/>
                <w:kern w:val="0"/>
                <w:szCs w:val="21"/>
                <w:lang w:bidi="ar"/>
              </w:rPr>
              <w:t>分</w:t>
            </w:r>
          </w:p>
        </w:tc>
        <w:tc>
          <w:tcPr>
            <w:tcW w:w="1376"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Cs w:val="21"/>
                <w:lang w:val="en-US" w:eastAsia="zh-CN" w:bidi="ar"/>
              </w:rPr>
              <w:t>最后</w:t>
            </w:r>
            <w:r>
              <w:rPr>
                <w:rFonts w:hint="eastAsia" w:asciiTheme="minorEastAsia" w:hAnsiTheme="minorEastAsia" w:eastAsiaTheme="minorEastAsia" w:cstheme="minorEastAsia"/>
                <w:color w:val="auto"/>
                <w:kern w:val="0"/>
                <w:szCs w:val="21"/>
                <w:lang w:bidi="ar"/>
              </w:rPr>
              <w:t>报价</w:t>
            </w:r>
          </w:p>
        </w:tc>
        <w:tc>
          <w:tcPr>
            <w:tcW w:w="6512" w:type="dxa"/>
            <w:vAlign w:val="center"/>
          </w:tcPr>
          <w:p>
            <w:pPr>
              <w:widowControl/>
              <w:spacing w:line="260" w:lineRule="exact"/>
              <w:jc w:val="left"/>
              <w:textAlignment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1、报价采用低价优先法计算，即满足</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采购文件要求且报价最低的报价为磋商基准价，其报价分为满分</w:t>
            </w:r>
            <w:r>
              <w:rPr>
                <w:rFonts w:hint="eastAsia" w:asciiTheme="minorEastAsia" w:hAnsiTheme="minorEastAsia" w:eastAsiaTheme="minorEastAsia" w:cstheme="minorEastAsia"/>
                <w:color w:val="auto"/>
                <w:lang w:val="en-US" w:eastAsia="zh-CN"/>
              </w:rPr>
              <w:t>30</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2、其他供应商的报价分按照下列公式计算：</w:t>
            </w:r>
          </w:p>
          <w:p>
            <w:pPr>
              <w:widowControl/>
              <w:spacing w:line="260" w:lineRule="exact"/>
              <w:jc w:val="left"/>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报价分=（磋商基准价/磋商报价）×</w:t>
            </w:r>
            <w:r>
              <w:rPr>
                <w:rFonts w:hint="eastAsia" w:asciiTheme="minorEastAsia" w:hAnsiTheme="minorEastAsia" w:eastAsiaTheme="minorEastAsia" w:cstheme="minorEastAsia"/>
                <w:color w:val="auto"/>
                <w:lang w:val="en-US" w:eastAsia="zh-CN"/>
              </w:rPr>
              <w:t>30</w:t>
            </w:r>
          </w:p>
          <w:p>
            <w:pPr>
              <w:widowControl/>
              <w:spacing w:line="260" w:lineRule="exact"/>
              <w:jc w:val="left"/>
              <w:textAlignment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备注：</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60" w:lineRule="exact"/>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en-US" w:eastAsia="zh-CN"/>
              </w:rPr>
              <w:t>2、</w:t>
            </w:r>
            <w:r>
              <w:rPr>
                <w:rFonts w:hint="eastAsia" w:asciiTheme="minorEastAsia" w:hAnsiTheme="minorEastAsia" w:eastAsiaTheme="minorEastAsia" w:cstheme="minorEastAsia"/>
                <w:b/>
                <w:bCs/>
                <w:color w:val="auto"/>
              </w:rPr>
              <w:t>符合本磋商文件第</w:t>
            </w:r>
            <w:r>
              <w:rPr>
                <w:rFonts w:hint="eastAsia" w:asciiTheme="minorEastAsia" w:hAnsiTheme="minorEastAsia" w:eastAsiaTheme="minorEastAsia" w:cstheme="minorEastAsia"/>
                <w:b/>
                <w:bCs/>
                <w:color w:val="auto"/>
                <w:lang w:val="en-US" w:eastAsia="zh-CN"/>
              </w:rPr>
              <w:t>四</w:t>
            </w:r>
            <w:r>
              <w:rPr>
                <w:rFonts w:hint="eastAsia" w:asciiTheme="minorEastAsia" w:hAnsiTheme="minorEastAsia" w:eastAsiaTheme="minorEastAsia" w:cstheme="minorEastAsia"/>
                <w:b/>
                <w:bCs/>
                <w:color w:val="auto"/>
              </w:rPr>
              <w:t>章“政策支持”</w:t>
            </w:r>
            <w:r>
              <w:rPr>
                <w:rFonts w:hint="eastAsia" w:asciiTheme="minorEastAsia" w:hAnsiTheme="minorEastAsia" w:eastAsiaTheme="minorEastAsia" w:cstheme="minorEastAsia"/>
                <w:b/>
                <w:bCs/>
                <w:color w:val="auto"/>
                <w:lang w:val="en-US" w:eastAsia="zh-CN"/>
              </w:rPr>
              <w:t>条件</w:t>
            </w:r>
            <w:r>
              <w:rPr>
                <w:rFonts w:hint="eastAsia" w:asciiTheme="minorEastAsia" w:hAnsiTheme="minorEastAsia" w:eastAsiaTheme="minorEastAsia" w:cstheme="minorEastAsia"/>
                <w:b/>
                <w:bCs/>
                <w:color w:val="auto"/>
              </w:rPr>
              <w:t>的，在评审时予以价格扣除，用扣除后的价格参与评审。</w:t>
            </w:r>
          </w:p>
        </w:tc>
        <w:tc>
          <w:tcPr>
            <w:tcW w:w="664" w:type="dxa"/>
            <w:vAlign w:val="center"/>
          </w:tcPr>
          <w:p>
            <w:pPr>
              <w:widowControl/>
              <w:spacing w:line="260" w:lineRule="exact"/>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lang w:val="en-US" w:eastAsia="zh-CN" w:bidi="ar"/>
              </w:rPr>
              <w:t>30</w:t>
            </w:r>
            <w:r>
              <w:rPr>
                <w:rFonts w:hint="eastAsia" w:asciiTheme="minorEastAsia" w:hAnsiTheme="minorEastAsia" w:eastAsiaTheme="minorEastAsia" w:cstheme="minorEastAsia"/>
                <w:color w:val="auto"/>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20</w:t>
            </w:r>
            <w:r>
              <w:rPr>
                <w:rFonts w:hint="eastAsia" w:asciiTheme="minorEastAsia" w:hAnsiTheme="minorEastAsia" w:eastAsiaTheme="minorEastAsia" w:cstheme="minorEastAsia"/>
                <w:color w:val="auto"/>
                <w:spacing w:val="-6"/>
                <w:sz w:val="21"/>
                <w:szCs w:val="21"/>
              </w:rPr>
              <w:t>分</w:t>
            </w:r>
          </w:p>
        </w:tc>
        <w:tc>
          <w:tcPr>
            <w:tcW w:w="1376" w:type="dxa"/>
            <w:vAlign w:val="center"/>
          </w:tcPr>
          <w:p>
            <w:pPr>
              <w:jc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spacing w:val="-6"/>
                <w:kern w:val="0"/>
                <w:sz w:val="21"/>
                <w:szCs w:val="21"/>
              </w:rPr>
              <w:t>类似业绩</w:t>
            </w:r>
          </w:p>
        </w:tc>
        <w:tc>
          <w:tcPr>
            <w:tcW w:w="6512" w:type="dxa"/>
            <w:vAlign w:val="center"/>
          </w:tcPr>
          <w:p>
            <w:pPr>
              <w:rPr>
                <w:rFonts w:hint="eastAsia" w:asciiTheme="minorEastAsia" w:hAnsiTheme="minorEastAsia" w:eastAsiaTheme="minorEastAsia" w:cstheme="minorEastAsia"/>
                <w:spacing w:val="-6"/>
                <w:sz w:val="21"/>
                <w:szCs w:val="21"/>
              </w:rPr>
            </w:pPr>
            <w:r>
              <w:t>近</w:t>
            </w:r>
            <w:r>
              <w:rPr>
                <w:rFonts w:hint="eastAsia"/>
              </w:rPr>
              <w:t>三</w:t>
            </w:r>
            <w:r>
              <w:t>年（磋商截止时间往前推算36个月）具有类似采购业绩的，每个得</w:t>
            </w:r>
            <w:r>
              <w:rPr>
                <w:rFonts w:hint="eastAsia"/>
                <w:lang w:val="en-US" w:eastAsia="zh-CN"/>
              </w:rPr>
              <w:t>1</w:t>
            </w:r>
            <w:r>
              <w:t>分，最多得</w:t>
            </w:r>
            <w:r>
              <w:rPr>
                <w:rFonts w:hint="eastAsia"/>
                <w:lang w:val="en-US" w:eastAsia="zh-CN"/>
              </w:rPr>
              <w:t>4</w:t>
            </w:r>
            <w:r>
              <w:t>分；（需提供合同真彩扫描件并加盖公章，未提供不得分）</w:t>
            </w:r>
          </w:p>
        </w:tc>
        <w:tc>
          <w:tcPr>
            <w:tcW w:w="664" w:type="dxa"/>
            <w:vAlign w:val="center"/>
          </w:tcPr>
          <w:p>
            <w:pPr>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spacing w:line="360" w:lineRule="auto"/>
              <w:jc w:val="center"/>
              <w:rPr>
                <w:rFonts w:hint="eastAsia" w:asciiTheme="minorEastAsia" w:hAnsiTheme="minorEastAsia" w:eastAsiaTheme="minorEastAsia" w:cstheme="minorEastAsia"/>
                <w:spacing w:val="-6"/>
                <w:kern w:val="0"/>
                <w:sz w:val="21"/>
                <w:szCs w:val="21"/>
              </w:rPr>
            </w:pPr>
            <w:r>
              <w:rPr>
                <w:rFonts w:hint="eastAsia" w:ascii="宋体" w:hAnsi="宋体" w:cs="宋体"/>
                <w:spacing w:val="-6"/>
                <w:szCs w:val="21"/>
              </w:rPr>
              <w:t>财务状况</w:t>
            </w:r>
          </w:p>
        </w:tc>
        <w:tc>
          <w:tcPr>
            <w:tcW w:w="6512" w:type="dxa"/>
            <w:vAlign w:val="center"/>
          </w:tcPr>
          <w:p>
            <w:pPr>
              <w:spacing w:line="360" w:lineRule="auto"/>
              <w:rPr>
                <w:rFonts w:ascii="宋体" w:hAnsi="宋体" w:cs="宋体"/>
                <w:spacing w:val="-6"/>
                <w:szCs w:val="21"/>
              </w:rPr>
            </w:pPr>
            <w:r>
              <w:rPr>
                <w:rFonts w:hint="eastAsia" w:ascii="宋体" w:hAnsi="宋体" w:cs="宋体"/>
                <w:spacing w:val="-6"/>
                <w:szCs w:val="21"/>
              </w:rPr>
              <w:t>根据供应商提供的近三年（2016、2017、2018或2017、2018、2019）财务报告，对其经营状况、财务状况相互比较：</w:t>
            </w:r>
          </w:p>
          <w:p>
            <w:pPr>
              <w:spacing w:line="360" w:lineRule="auto"/>
              <w:rPr>
                <w:rFonts w:ascii="宋体" w:hAnsi="宋体" w:cs="宋体"/>
                <w:spacing w:val="-6"/>
                <w:szCs w:val="21"/>
              </w:rPr>
            </w:pPr>
            <w:r>
              <w:rPr>
                <w:rFonts w:hint="eastAsia" w:ascii="宋体" w:hAnsi="宋体" w:cs="宋体"/>
                <w:spacing w:val="-6"/>
                <w:szCs w:val="21"/>
              </w:rPr>
              <w:t>连续盈利，偿债能力、盈利能力和抗风险能力强的，得</w:t>
            </w:r>
            <w:r>
              <w:rPr>
                <w:rFonts w:hint="eastAsia" w:ascii="宋体" w:hAnsi="宋体" w:cs="宋体"/>
                <w:spacing w:val="-6"/>
                <w:szCs w:val="21"/>
                <w:lang w:val="en-US" w:eastAsia="zh-CN"/>
              </w:rPr>
              <w:t>3</w:t>
            </w:r>
            <w:r>
              <w:rPr>
                <w:rFonts w:hint="eastAsia" w:ascii="宋体" w:hAnsi="宋体" w:cs="宋体"/>
                <w:spacing w:val="-6"/>
                <w:szCs w:val="21"/>
              </w:rPr>
              <w:t>分；</w:t>
            </w:r>
          </w:p>
          <w:p>
            <w:pPr>
              <w:spacing w:line="360" w:lineRule="auto"/>
              <w:rPr>
                <w:rFonts w:ascii="宋体" w:hAnsi="宋体" w:cs="宋体"/>
                <w:spacing w:val="-6"/>
                <w:szCs w:val="21"/>
              </w:rPr>
            </w:pPr>
            <w:r>
              <w:rPr>
                <w:rFonts w:hint="eastAsia" w:ascii="宋体" w:hAnsi="宋体" w:cs="宋体"/>
                <w:spacing w:val="-6"/>
                <w:szCs w:val="21"/>
              </w:rPr>
              <w:t>盈利情况一般，偿债能力和抗风险能力较弱的，得</w:t>
            </w:r>
            <w:r>
              <w:rPr>
                <w:rFonts w:hint="eastAsia" w:ascii="宋体" w:hAnsi="宋体" w:cs="宋体"/>
                <w:spacing w:val="-6"/>
                <w:szCs w:val="21"/>
                <w:lang w:val="en-US" w:eastAsia="zh-CN"/>
              </w:rPr>
              <w:t>2</w:t>
            </w:r>
            <w:r>
              <w:rPr>
                <w:rFonts w:hint="eastAsia" w:ascii="宋体" w:hAnsi="宋体" w:cs="宋体"/>
                <w:spacing w:val="-6"/>
                <w:szCs w:val="21"/>
              </w:rPr>
              <w:t>分；</w:t>
            </w:r>
          </w:p>
          <w:p>
            <w:pPr>
              <w:spacing w:line="360" w:lineRule="auto"/>
              <w:rPr>
                <w:rFonts w:ascii="宋体" w:hAnsi="宋体" w:cs="宋体"/>
                <w:spacing w:val="-6"/>
                <w:szCs w:val="21"/>
              </w:rPr>
            </w:pPr>
            <w:r>
              <w:rPr>
                <w:rFonts w:hint="eastAsia" w:ascii="宋体" w:hAnsi="宋体" w:cs="宋体"/>
                <w:spacing w:val="-6"/>
                <w:szCs w:val="21"/>
              </w:rPr>
              <w:t>无盈利，偿债能力和抗风险能力差的，得</w:t>
            </w:r>
            <w:r>
              <w:rPr>
                <w:rFonts w:hint="eastAsia" w:ascii="宋体" w:hAnsi="宋体" w:cs="宋体"/>
                <w:spacing w:val="-6"/>
                <w:szCs w:val="21"/>
                <w:lang w:val="en-US" w:eastAsia="zh-CN"/>
              </w:rPr>
              <w:t>1</w:t>
            </w:r>
            <w:r>
              <w:rPr>
                <w:rFonts w:hint="eastAsia" w:ascii="宋体" w:hAnsi="宋体" w:cs="宋体"/>
                <w:spacing w:val="-6"/>
                <w:szCs w:val="21"/>
              </w:rPr>
              <w:t>分；</w:t>
            </w:r>
          </w:p>
          <w:p>
            <w:pPr>
              <w:spacing w:line="360" w:lineRule="auto"/>
              <w:rPr>
                <w:rFonts w:hint="eastAsia" w:asciiTheme="minorEastAsia" w:hAnsiTheme="minorEastAsia" w:eastAsiaTheme="minorEastAsia" w:cstheme="minorEastAsia"/>
                <w:spacing w:val="-6"/>
                <w:kern w:val="0"/>
                <w:sz w:val="21"/>
                <w:szCs w:val="21"/>
              </w:rPr>
            </w:pPr>
            <w:r>
              <w:rPr>
                <w:rFonts w:hint="eastAsia" w:ascii="宋体" w:hAnsi="宋体" w:cs="宋体"/>
                <w:spacing w:val="-6"/>
                <w:szCs w:val="21"/>
              </w:rPr>
              <w:t>（成立不足三年的按公司成立时间起算）</w:t>
            </w:r>
          </w:p>
        </w:tc>
        <w:tc>
          <w:tcPr>
            <w:tcW w:w="664" w:type="dxa"/>
            <w:vAlign w:val="center"/>
          </w:tcPr>
          <w:p>
            <w:pPr>
              <w:spacing w:line="360" w:lineRule="auto"/>
              <w:jc w:val="center"/>
              <w:rPr>
                <w:rFonts w:hint="eastAsia" w:asciiTheme="minorEastAsia" w:hAnsiTheme="minorEastAsia" w:eastAsiaTheme="minorEastAsia" w:cstheme="minorEastAsia"/>
                <w:spacing w:val="-6"/>
                <w:kern w:val="0"/>
                <w:sz w:val="21"/>
                <w:szCs w:val="21"/>
              </w:rPr>
            </w:pPr>
            <w:r>
              <w:rPr>
                <w:rFonts w:hint="eastAsia" w:ascii="宋体" w:hAnsi="宋体" w:cs="宋体"/>
                <w:spacing w:val="-6"/>
                <w:szCs w:val="21"/>
                <w:lang w:val="en-US" w:eastAsia="zh-CN"/>
              </w:rPr>
              <w:t>3</w:t>
            </w:r>
            <w:r>
              <w:rPr>
                <w:rFonts w:hint="eastAsia" w:ascii="宋体" w:hAnsi="宋体" w:cs="宋体"/>
                <w:spacing w:val="-6"/>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jc w:val="center"/>
              <w:rPr>
                <w:rFonts w:hint="eastAsia" w:asciiTheme="minorEastAsia" w:hAnsiTheme="minorEastAsia" w:eastAsiaTheme="minorEastAsia" w:cstheme="minorEastAsia"/>
                <w:color w:val="000000"/>
                <w:spacing w:val="-6"/>
                <w:sz w:val="21"/>
                <w:szCs w:val="21"/>
                <w:lang w:eastAsia="zh-CN"/>
              </w:rPr>
            </w:pPr>
            <w:r>
              <w:rPr>
                <w:rFonts w:hint="eastAsia" w:asciiTheme="minorEastAsia" w:hAnsiTheme="minorEastAsia" w:eastAsiaTheme="minorEastAsia" w:cstheme="minorEastAsia"/>
                <w:color w:val="000000"/>
                <w:spacing w:val="-6"/>
                <w:sz w:val="21"/>
                <w:szCs w:val="21"/>
                <w:lang w:eastAsia="zh-CN"/>
              </w:rPr>
              <w:t>企业实力</w:t>
            </w:r>
          </w:p>
        </w:tc>
        <w:tc>
          <w:tcPr>
            <w:tcW w:w="6512" w:type="dxa"/>
            <w:vAlign w:val="center"/>
          </w:tcPr>
          <w:p>
            <w:pPr>
              <w:numPr>
                <w:ilvl w:val="0"/>
                <w:numId w:val="0"/>
              </w:numPr>
              <w:autoSpaceDE w:val="0"/>
              <w:autoSpaceDN w:val="0"/>
              <w:adjustRightInd w:val="0"/>
              <w:spacing w:line="360" w:lineRule="auto"/>
              <w:ind w:right="71" w:rightChars="34"/>
              <w:rPr>
                <w:rFonts w:hint="eastAsia"/>
              </w:rPr>
            </w:pPr>
            <w:r>
              <w:rPr>
                <w:rFonts w:hint="eastAsia"/>
                <w:lang w:val="en-US" w:eastAsia="zh-CN"/>
              </w:rPr>
              <w:t>1.</w:t>
            </w:r>
            <w:r>
              <w:rPr>
                <w:rFonts w:hint="eastAsia"/>
              </w:rPr>
              <w:t>供应商具有有效的</w:t>
            </w:r>
            <w:r>
              <w:t xml:space="preserve"> ISO9001 </w:t>
            </w:r>
            <w:r>
              <w:rPr>
                <w:rFonts w:hint="eastAsia"/>
              </w:rPr>
              <w:t>质量管理体系认证得</w:t>
            </w:r>
            <w:r>
              <w:t>1</w:t>
            </w:r>
            <w:r>
              <w:rPr>
                <w:rFonts w:hint="eastAsia"/>
              </w:rPr>
              <w:t>分</w:t>
            </w:r>
            <w:r>
              <w:rPr>
                <w:rFonts w:hint="eastAsia"/>
                <w:lang w:eastAsia="zh-CN"/>
              </w:rPr>
              <w:t>，</w:t>
            </w:r>
            <w:r>
              <w:rPr>
                <w:rFonts w:hint="eastAsia"/>
              </w:rPr>
              <w:t>没有</w:t>
            </w:r>
            <w:r>
              <w:rPr>
                <w:rFonts w:hint="eastAsia"/>
                <w:lang w:eastAsia="zh-CN"/>
              </w:rPr>
              <w:t>不</w:t>
            </w:r>
            <w:r>
              <w:rPr>
                <w:rFonts w:hint="eastAsia"/>
              </w:rPr>
              <w:t>得分；（</w:t>
            </w:r>
            <w:r>
              <w:rPr>
                <w:rFonts w:hint="eastAsia"/>
                <w:lang w:eastAsia="zh-CN"/>
              </w:rPr>
              <w:t>须</w:t>
            </w:r>
            <w:r>
              <w:rPr>
                <w:rFonts w:hint="eastAsia"/>
              </w:rPr>
              <w:t>提供复印件加盖公章）</w:t>
            </w:r>
            <w:r>
              <w:rPr>
                <w:rFonts w:hint="eastAsia"/>
              </w:rPr>
              <w:br w:type="textWrapping"/>
            </w:r>
            <w:r>
              <w:rPr>
                <w:color w:val="auto"/>
              </w:rPr>
              <w:t>2.</w:t>
            </w:r>
            <w:r>
              <w:rPr>
                <w:rFonts w:hint="eastAsia"/>
                <w:color w:val="auto"/>
              </w:rPr>
              <w:t>供应商是省级软件行业协会会员单位得2分，</w:t>
            </w:r>
            <w:r>
              <w:rPr>
                <w:rFonts w:hint="eastAsia"/>
                <w:color w:val="auto"/>
                <w:lang w:eastAsia="zh-CN"/>
              </w:rPr>
              <w:t>市级</w:t>
            </w:r>
            <w:r>
              <w:rPr>
                <w:rFonts w:hint="eastAsia"/>
                <w:color w:val="auto"/>
              </w:rPr>
              <w:t>软件行业协会会员单位得</w:t>
            </w:r>
            <w:r>
              <w:rPr>
                <w:rFonts w:hint="eastAsia"/>
                <w:color w:val="auto"/>
                <w:lang w:val="en-US" w:eastAsia="zh-CN"/>
              </w:rPr>
              <w:t>1</w:t>
            </w:r>
            <w:r>
              <w:rPr>
                <w:rFonts w:hint="eastAsia"/>
                <w:color w:val="auto"/>
              </w:rPr>
              <w:t>分</w:t>
            </w:r>
            <w:r>
              <w:rPr>
                <w:rFonts w:hint="eastAsia"/>
                <w:color w:val="auto"/>
                <w:lang w:eastAsia="zh-CN"/>
              </w:rPr>
              <w:t>，</w:t>
            </w:r>
            <w:r>
              <w:rPr>
                <w:rFonts w:hint="eastAsia"/>
                <w:color w:val="auto"/>
              </w:rPr>
              <w:t>没有</w:t>
            </w:r>
            <w:r>
              <w:rPr>
                <w:rFonts w:hint="eastAsia"/>
                <w:color w:val="auto"/>
                <w:lang w:eastAsia="zh-CN"/>
              </w:rPr>
              <w:t>不</w:t>
            </w:r>
            <w:r>
              <w:rPr>
                <w:rFonts w:hint="eastAsia"/>
                <w:color w:val="auto"/>
              </w:rPr>
              <w:t>得分；（</w:t>
            </w:r>
            <w:r>
              <w:rPr>
                <w:rFonts w:hint="eastAsia"/>
                <w:color w:val="auto"/>
                <w:lang w:eastAsia="zh-CN"/>
              </w:rPr>
              <w:t>须</w:t>
            </w:r>
            <w:r>
              <w:rPr>
                <w:rFonts w:hint="eastAsia"/>
                <w:color w:val="auto"/>
              </w:rPr>
              <w:t>提供复印件加盖公章）</w:t>
            </w:r>
            <w:r>
              <w:t xml:space="preserve">  </w:t>
            </w:r>
            <w:r>
              <w:br w:type="textWrapping"/>
            </w:r>
            <w:r>
              <w:t>3.</w:t>
            </w:r>
            <w:r>
              <w:rPr>
                <w:rFonts w:hint="eastAsia"/>
              </w:rPr>
              <w:t>供应商具有相关虚拟仿真软件《软件著作权证书》得3分，没有</w:t>
            </w:r>
            <w:r>
              <w:rPr>
                <w:rFonts w:hint="eastAsia"/>
                <w:lang w:eastAsia="zh-CN"/>
              </w:rPr>
              <w:t>不</w:t>
            </w:r>
            <w:r>
              <w:rPr>
                <w:rFonts w:hint="eastAsia"/>
              </w:rPr>
              <w:t>得分；（</w:t>
            </w:r>
            <w:r>
              <w:rPr>
                <w:rFonts w:hint="eastAsia"/>
                <w:lang w:eastAsia="zh-CN"/>
              </w:rPr>
              <w:t>须</w:t>
            </w:r>
            <w:r>
              <w:rPr>
                <w:rFonts w:hint="eastAsia"/>
              </w:rPr>
              <w:t>提供复印件加盖公章）</w:t>
            </w:r>
            <w:r>
              <w:rPr>
                <w:rFonts w:hint="eastAsia"/>
              </w:rPr>
              <w:br w:type="textWrapping"/>
            </w:r>
            <w:r>
              <w:rPr>
                <w:rFonts w:hint="eastAsia"/>
                <w:lang w:val="en-US" w:eastAsia="zh-CN"/>
              </w:rPr>
              <w:t>4.</w:t>
            </w:r>
            <w:r>
              <w:rPr>
                <w:rFonts w:hint="eastAsia"/>
              </w:rPr>
              <w:t>供应商具有高新技术企业证书得2分，没有</w:t>
            </w:r>
            <w:r>
              <w:rPr>
                <w:rFonts w:hint="eastAsia"/>
                <w:lang w:eastAsia="zh-CN"/>
              </w:rPr>
              <w:t>不</w:t>
            </w:r>
            <w:r>
              <w:rPr>
                <w:rFonts w:hint="eastAsia"/>
              </w:rPr>
              <w:t>得分</w:t>
            </w:r>
            <w:r>
              <w:rPr>
                <w:rFonts w:hint="eastAsia"/>
                <w:lang w:eastAsia="zh-CN"/>
              </w:rPr>
              <w:t>；</w:t>
            </w:r>
            <w:r>
              <w:rPr>
                <w:rFonts w:hint="eastAsia"/>
              </w:rPr>
              <w:t>（</w:t>
            </w:r>
            <w:r>
              <w:rPr>
                <w:rFonts w:hint="eastAsia"/>
                <w:lang w:eastAsia="zh-CN"/>
              </w:rPr>
              <w:t>须</w:t>
            </w:r>
            <w:r>
              <w:rPr>
                <w:rFonts w:hint="eastAsia"/>
              </w:rPr>
              <w:t>提供复印件加盖公章）</w:t>
            </w:r>
          </w:p>
        </w:tc>
        <w:tc>
          <w:tcPr>
            <w:tcW w:w="66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lang w:val="en-US" w:eastAsia="zh-CN"/>
              </w:rPr>
            </w:pPr>
            <w:r>
              <w:rPr>
                <w:rFonts w:hint="eastAsia" w:asciiTheme="minorEastAsia" w:hAnsiTheme="minorEastAsia" w:eastAsiaTheme="minorEastAsia" w:cstheme="minorEastAsia"/>
                <w:color w:val="000000"/>
                <w:spacing w:val="-6"/>
                <w:sz w:val="21"/>
                <w:szCs w:val="21"/>
                <w:lang w:val="en-US" w:eastAsia="zh-CN"/>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tcBorders>
              <w:bottom w:val="single" w:color="auto" w:sz="4" w:space="0"/>
            </w:tcBorders>
            <w:vAlign w:val="center"/>
          </w:tcPr>
          <w:p>
            <w:pPr>
              <w:jc w:val="center"/>
              <w:rPr>
                <w:rFonts w:hint="eastAsia" w:asciiTheme="minorEastAsia" w:hAnsiTheme="minorEastAsia" w:eastAsiaTheme="minorEastAsia" w:cstheme="minorEastAsia"/>
                <w:spacing w:val="-6"/>
                <w:kern w:val="0"/>
                <w:sz w:val="21"/>
                <w:szCs w:val="21"/>
                <w:lang w:eastAsia="zh-CN"/>
              </w:rPr>
            </w:pPr>
            <w:r>
              <w:rPr>
                <w:rFonts w:hint="eastAsia" w:asciiTheme="minorEastAsia" w:hAnsiTheme="minorEastAsia" w:eastAsiaTheme="minorEastAsia" w:cstheme="minorEastAsia"/>
                <w:spacing w:val="-6"/>
                <w:kern w:val="0"/>
                <w:sz w:val="21"/>
                <w:szCs w:val="21"/>
                <w:lang w:eastAsia="zh-CN"/>
              </w:rPr>
              <w:t>项目团队</w:t>
            </w:r>
          </w:p>
        </w:tc>
        <w:tc>
          <w:tcPr>
            <w:tcW w:w="6512"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r>
              <w:rPr>
                <w:rFonts w:hint="eastAsia"/>
              </w:rPr>
              <w:t>供应商拟派项目团队中的人员是通过国家认证的软件设计人员（具有计算机软件高级程序员证书）</w:t>
            </w:r>
            <w:r>
              <w:rPr>
                <w:rFonts w:hint="eastAsia"/>
                <w:lang w:eastAsia="zh-CN"/>
              </w:rPr>
              <w:t>，提供</w:t>
            </w:r>
            <w:r>
              <w:rPr>
                <w:rFonts w:hint="eastAsia"/>
                <w:lang w:val="en-US" w:eastAsia="zh-CN"/>
              </w:rPr>
              <w:t>1名得1分，最多得4分。</w:t>
            </w:r>
            <w:r>
              <w:rPr>
                <w:rFonts w:hint="eastAsia"/>
              </w:rPr>
              <w:t>（需提供</w:t>
            </w:r>
            <w:r>
              <w:rPr>
                <w:rFonts w:hint="eastAsia"/>
                <w:lang w:eastAsia="zh-CN"/>
              </w:rPr>
              <w:t>人员劳动合同、人员社保</w:t>
            </w:r>
            <w:r>
              <w:rPr>
                <w:rFonts w:hint="eastAsia"/>
              </w:rPr>
              <w:t>复印件并加盖公章）</w:t>
            </w:r>
          </w:p>
        </w:tc>
        <w:tc>
          <w:tcPr>
            <w:tcW w:w="66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lang w:val="en-US" w:eastAsia="zh-CN"/>
              </w:rPr>
            </w:pPr>
            <w:r>
              <w:rPr>
                <w:rFonts w:hint="eastAsia" w:asciiTheme="minorEastAsia" w:hAnsiTheme="minorEastAsia" w:eastAsiaTheme="minorEastAsia" w:cstheme="minorEastAsia"/>
                <w:spacing w:val="-6"/>
                <w:kern w:val="0"/>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tcBorders>
              <w:top w:val="single" w:color="auto" w:sz="4" w:space="0"/>
            </w:tcBorders>
            <w:vAlign w:val="center"/>
          </w:tcPr>
          <w:p>
            <w:pPr>
              <w:widowControl/>
              <w:jc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auto"/>
                <w:kern w:val="0"/>
                <w:sz w:val="21"/>
                <w:szCs w:val="21"/>
                <w:highlight w:val="none"/>
                <w:lang w:bidi="ar"/>
              </w:rPr>
              <w:t>响应文件规范性</w:t>
            </w:r>
          </w:p>
        </w:tc>
        <w:tc>
          <w:tcPr>
            <w:tcW w:w="6512" w:type="dxa"/>
            <w:tcBorders>
              <w:top w:val="single" w:color="auto" w:sz="4" w:space="0"/>
            </w:tcBorders>
            <w:vAlign w:val="center"/>
          </w:tcPr>
          <w:p>
            <w:pPr>
              <w:widowControl/>
              <w:jc w:val="left"/>
              <w:textAlignment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auto"/>
                <w:sz w:val="21"/>
                <w:szCs w:val="21"/>
                <w:highlight w:val="none"/>
              </w:rPr>
              <w:t>文件制作规范，字迹及图表清晰，查阅方便，有评分导引表的得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分；目录与有关材料装订及编排顺序对应清晰得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tc>
        <w:tc>
          <w:tcPr>
            <w:tcW w:w="664" w:type="dxa"/>
            <w:tcBorders>
              <w:top w:val="single" w:color="auto" w:sz="4" w:space="0"/>
            </w:tcBorders>
            <w:vAlign w:val="center"/>
          </w:tcPr>
          <w:p>
            <w:pPr>
              <w:autoSpaceDE w:val="0"/>
              <w:autoSpaceDN w:val="0"/>
              <w:adjustRightInd w:val="0"/>
              <w:ind w:right="71" w:rightChars="34"/>
              <w:jc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auto"/>
                <w:spacing w:val="-6"/>
                <w:kern w:val="0"/>
                <w:sz w:val="21"/>
                <w:szCs w:val="21"/>
                <w:highlight w:val="none"/>
                <w:lang w:val="en-US" w:eastAsia="zh-CN"/>
              </w:rPr>
              <w:t>1</w:t>
            </w:r>
            <w:r>
              <w:rPr>
                <w:rFonts w:hint="eastAsia" w:asciiTheme="minorEastAsia" w:hAnsiTheme="minorEastAsia" w:eastAsiaTheme="minorEastAsia" w:cstheme="minorEastAsia"/>
                <w:color w:val="auto"/>
                <w:spacing w:val="-6"/>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50</w:t>
            </w:r>
            <w:r>
              <w:rPr>
                <w:rFonts w:hint="eastAsia" w:asciiTheme="minorEastAsia" w:hAnsiTheme="minorEastAsia" w:eastAsiaTheme="minorEastAsia" w:cstheme="minorEastAsia"/>
                <w:color w:val="auto"/>
                <w:spacing w:val="-6"/>
                <w:sz w:val="21"/>
                <w:szCs w:val="21"/>
              </w:rPr>
              <w:t>分</w:t>
            </w:r>
          </w:p>
        </w:tc>
        <w:tc>
          <w:tcPr>
            <w:tcW w:w="1376" w:type="dxa"/>
            <w:vAlign w:val="center"/>
          </w:tcPr>
          <w:p>
            <w:pPr>
              <w:spacing w:line="360" w:lineRule="auto"/>
              <w:jc w:val="center"/>
              <w:rPr>
                <w:rFonts w:hint="eastAsia" w:asciiTheme="minorEastAsia" w:hAnsiTheme="minorEastAsia" w:eastAsiaTheme="minorEastAsia" w:cstheme="minorEastAsia"/>
                <w:spacing w:val="-6"/>
                <w:sz w:val="21"/>
                <w:szCs w:val="21"/>
              </w:rPr>
            </w:pPr>
            <w:r>
              <w:rPr>
                <w:rFonts w:hint="eastAsia"/>
              </w:rPr>
              <w:t>技术响应</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供应商所投产品技术参数响应情况占</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分，具体由磋商小组根据供应商的响应文件中产品情况、《技术响应、偏离说明表》等有关资料打分。</w:t>
            </w:r>
          </w:p>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其中：完全满足磋商文件技术参数要求的得</w:t>
            </w:r>
            <w:r>
              <w:rPr>
                <w:rFonts w:hint="eastAsia" w:asciiTheme="minorEastAsia" w:hAnsiTheme="minorEastAsia" w:eastAsiaTheme="minorEastAsia" w:cstheme="minorEastAsia"/>
                <w:lang w:val="en-US" w:eastAsia="zh-CN"/>
              </w:rPr>
              <w:t>40</w:t>
            </w:r>
            <w:r>
              <w:rPr>
                <w:rFonts w:hint="eastAsia" w:asciiTheme="minorEastAsia" w:hAnsiTheme="minorEastAsia" w:eastAsiaTheme="minorEastAsia" w:cstheme="minorEastAsia"/>
              </w:rPr>
              <w:t>分；在此基础上，磋商文件中标注 “★”的内容为重要条款。标注“★”的内容有一项不符合的则每项扣</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分，无标注“★”的内容有一项不符合的则每项扣 </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分扣完为止。</w:t>
            </w:r>
          </w:p>
          <w:p>
            <w:pPr>
              <w:widowControl/>
              <w:spacing w:line="360"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rPr>
              <w:t>备注：复制磋商文件技术要求作为实际响应数据或投标响应数据无对应支持文件的，其技术响应将可能按负偏离处理。参数需列出证明文件予以佐证,未予以佐证视为不响应。（主要技术参数以提供原厂确认并盖章的技术参数或原厂出具的产品宣传彩页或打印的官网资料截图资料为准）</w:t>
            </w:r>
          </w:p>
        </w:tc>
        <w:tc>
          <w:tcPr>
            <w:tcW w:w="664" w:type="dxa"/>
            <w:vAlign w:val="center"/>
          </w:tcPr>
          <w:p>
            <w:pPr>
              <w:spacing w:line="360" w:lineRule="auto"/>
              <w:jc w:val="center"/>
              <w:rPr>
                <w:rFonts w:hint="eastAsia" w:asciiTheme="minorEastAsia" w:hAnsiTheme="minorEastAsia" w:eastAsiaTheme="minorEastAsia" w:cstheme="minorEastAsia"/>
                <w:spacing w:val="-6"/>
                <w:sz w:val="21"/>
                <w:szCs w:val="21"/>
              </w:rPr>
            </w:pPr>
            <w:r>
              <w:rPr>
                <w:rFonts w:hint="eastAsia"/>
                <w:lang w:val="en-US" w:eastAsia="zh-CN"/>
              </w:rPr>
              <w:t>40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ind w:left="-4" w:leftChars="-2" w:firstLine="2" w:firstLineChars="1"/>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t>实施、培训和验收方案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供应商提供的实施、培训和验收方案需具有可操作性、合理性和可行性，依据对实施、培训、验收方案等的描述及承诺等进行评分，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w:t>
            </w:r>
            <w:r>
              <w:rPr>
                <w:rFonts w:hint="eastAsia" w:ascii="宋体" w:hAnsi="宋体" w:cs="宋体"/>
                <w:kern w:val="0"/>
                <w:szCs w:val="21"/>
                <w:lang w:val="en-US" w:eastAsia="zh-CN"/>
              </w:rPr>
              <w:t>3</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w:t>
            </w:r>
            <w:r>
              <w:rPr>
                <w:rFonts w:hint="eastAsia" w:ascii="宋体" w:hAnsi="宋体" w:cs="宋体"/>
                <w:kern w:val="0"/>
                <w:szCs w:val="21"/>
                <w:lang w:val="en-US" w:eastAsia="zh-CN"/>
              </w:rPr>
              <w:t>2</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w:t>
            </w:r>
            <w:r>
              <w:rPr>
                <w:rFonts w:hint="eastAsia" w:ascii="宋体" w:hAnsi="宋体" w:cs="宋体"/>
                <w:kern w:val="0"/>
                <w:szCs w:val="21"/>
                <w:lang w:val="en-US" w:eastAsia="zh-CN"/>
              </w:rPr>
              <w:t>1</w:t>
            </w:r>
            <w:r>
              <w:rPr>
                <w:rFonts w:hint="eastAsia" w:ascii="宋体" w:hAnsi="宋体" w:cs="宋体"/>
                <w:kern w:val="0"/>
                <w:szCs w:val="21"/>
              </w:rPr>
              <w:t>分；</w:t>
            </w:r>
          </w:p>
          <w:p>
            <w:pPr>
              <w:widowControl/>
              <w:spacing w:line="360" w:lineRule="auto"/>
              <w:rPr>
                <w:rFonts w:hint="eastAsia" w:asciiTheme="minorEastAsia" w:hAnsiTheme="minorEastAsia" w:eastAsiaTheme="minorEastAsia" w:cstheme="minorEastAsia"/>
                <w:sz w:val="21"/>
                <w:szCs w:val="21"/>
              </w:rPr>
            </w:pPr>
            <w:r>
              <w:rPr>
                <w:rFonts w:hint="eastAsia" w:ascii="宋体" w:hAnsi="宋体" w:cs="宋体"/>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rPr>
              <w:t>售后服务方案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提供售后服务方案，根据售后服务方案设计的完整性、可行性等进行评分，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w:t>
            </w:r>
            <w:r>
              <w:rPr>
                <w:rFonts w:hint="eastAsia" w:ascii="宋体" w:hAnsi="宋体" w:cs="宋体"/>
                <w:kern w:val="0"/>
                <w:szCs w:val="21"/>
                <w:lang w:val="en-US" w:eastAsia="zh-CN"/>
              </w:rPr>
              <w:t>3</w:t>
            </w:r>
            <w:r>
              <w:rPr>
                <w:rFonts w:hint="eastAsia" w:ascii="宋体" w:hAnsi="宋体" w:cs="宋体"/>
                <w:kern w:val="0"/>
                <w:szCs w:val="21"/>
              </w:rPr>
              <w:t xml:space="preserve"> 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w:t>
            </w:r>
            <w:r>
              <w:rPr>
                <w:rFonts w:hint="eastAsia" w:ascii="宋体" w:hAnsi="宋体" w:cs="宋体"/>
                <w:kern w:val="0"/>
                <w:szCs w:val="21"/>
                <w:lang w:val="en-US" w:eastAsia="zh-CN"/>
              </w:rPr>
              <w:t>2</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w:t>
            </w:r>
            <w:r>
              <w:rPr>
                <w:rFonts w:hint="eastAsia" w:ascii="宋体" w:hAnsi="宋体" w:cs="宋体"/>
                <w:kern w:val="0"/>
                <w:szCs w:val="21"/>
                <w:lang w:val="en-US" w:eastAsia="zh-CN"/>
              </w:rPr>
              <w:t>1</w:t>
            </w:r>
            <w:r>
              <w:rPr>
                <w:rFonts w:hint="eastAsia" w:ascii="宋体" w:hAnsi="宋体" w:cs="宋体"/>
                <w:kern w:val="0"/>
                <w:szCs w:val="21"/>
              </w:rPr>
              <w:t>分；</w:t>
            </w:r>
          </w:p>
          <w:p>
            <w:pPr>
              <w:widowControl/>
              <w:spacing w:line="360" w:lineRule="auto"/>
              <w:rPr>
                <w:rFonts w:hint="eastAsia" w:asciiTheme="minorEastAsia" w:hAnsiTheme="minorEastAsia" w:eastAsiaTheme="minorEastAsia" w:cstheme="minorEastAsia"/>
                <w:spacing w:val="-6"/>
                <w:kern w:val="0"/>
                <w:sz w:val="21"/>
                <w:szCs w:val="21"/>
              </w:rPr>
            </w:pPr>
            <w:r>
              <w:rPr>
                <w:rFonts w:hint="eastAsia" w:ascii="宋体" w:hAnsi="宋体" w:cs="宋体"/>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rPr>
              <w:t>应急方案</w:t>
            </w:r>
          </w:p>
        </w:tc>
        <w:tc>
          <w:tcPr>
            <w:tcW w:w="6512" w:type="dxa"/>
            <w:vAlign w:val="center"/>
          </w:tcPr>
          <w:p>
            <w:pPr>
              <w:widowControl/>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提供设备应急方案，根据对设备故障时处理方案等的描述及可性性等进行评分，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w:t>
            </w:r>
            <w:r>
              <w:rPr>
                <w:rFonts w:hint="eastAsia" w:ascii="宋体" w:hAnsi="宋体" w:cs="宋体"/>
                <w:kern w:val="0"/>
                <w:szCs w:val="21"/>
                <w:lang w:val="en-US" w:eastAsia="zh-CN"/>
              </w:rPr>
              <w:t>2</w:t>
            </w:r>
            <w:r>
              <w:rPr>
                <w:rFonts w:hint="eastAsia" w:ascii="宋体" w:hAnsi="宋体" w:cs="宋体"/>
                <w:kern w:val="0"/>
                <w:szCs w:val="21"/>
              </w:rPr>
              <w:t xml:space="preserve"> 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w:t>
            </w:r>
            <w:r>
              <w:rPr>
                <w:rFonts w:hint="eastAsia" w:ascii="宋体" w:hAnsi="宋体" w:cs="宋体"/>
                <w:kern w:val="0"/>
                <w:szCs w:val="21"/>
                <w:lang w:val="en-US" w:eastAsia="zh-CN"/>
              </w:rPr>
              <w:t>1</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w:t>
            </w:r>
            <w:r>
              <w:rPr>
                <w:rFonts w:hint="eastAsia" w:ascii="宋体" w:hAnsi="宋体" w:cs="宋体"/>
                <w:kern w:val="0"/>
                <w:szCs w:val="21"/>
                <w:lang w:val="en-US" w:eastAsia="zh-CN"/>
              </w:rPr>
              <w:t>0.5</w:t>
            </w:r>
            <w:r>
              <w:rPr>
                <w:rFonts w:hint="eastAsia" w:ascii="宋体" w:hAnsi="宋体" w:cs="宋体"/>
                <w:kern w:val="0"/>
                <w:szCs w:val="21"/>
              </w:rPr>
              <w:t>分；</w:t>
            </w:r>
          </w:p>
          <w:p>
            <w:pPr>
              <w:widowControl/>
              <w:spacing w:line="360" w:lineRule="auto"/>
              <w:rPr>
                <w:rFonts w:hint="eastAsia" w:asciiTheme="minorEastAsia" w:hAnsiTheme="minorEastAsia" w:eastAsiaTheme="minorEastAsia" w:cstheme="minorEastAsia"/>
                <w:spacing w:val="-6"/>
                <w:sz w:val="21"/>
                <w:szCs w:val="21"/>
              </w:rPr>
            </w:pPr>
            <w:r>
              <w:rPr>
                <w:rFonts w:hint="eastAsia" w:ascii="宋体" w:hAnsi="宋体" w:cs="宋体"/>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rPr>
              <w:t>技术培训</w:t>
            </w:r>
          </w:p>
        </w:tc>
        <w:tc>
          <w:tcPr>
            <w:tcW w:w="6512" w:type="dxa"/>
            <w:vAlign w:val="center"/>
          </w:tcPr>
          <w:p>
            <w:pPr>
              <w:widowControl/>
              <w:spacing w:line="360"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根据供应商提供的服务过程中现场技术培训方案等进行评分，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科学、合理，针对性强，</w:t>
            </w:r>
            <w:r>
              <w:rPr>
                <w:rFonts w:hint="eastAsia" w:ascii="宋体" w:hAnsi="宋体" w:cs="宋体"/>
                <w:kern w:val="0"/>
                <w:szCs w:val="21"/>
                <w:lang w:val="en-US" w:eastAsia="zh-CN"/>
              </w:rPr>
              <w:t>2</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合理，可行，</w:t>
            </w:r>
            <w:r>
              <w:rPr>
                <w:rFonts w:hint="eastAsia" w:ascii="宋体" w:hAnsi="宋体" w:cs="宋体"/>
                <w:kern w:val="0"/>
                <w:szCs w:val="21"/>
                <w:lang w:val="en-US" w:eastAsia="zh-CN"/>
              </w:rPr>
              <w:t>1</w:t>
            </w:r>
            <w:r>
              <w:rPr>
                <w:rFonts w:hint="eastAsia" w:ascii="宋体" w:hAnsi="宋体" w:cs="宋体"/>
                <w:kern w:val="0"/>
                <w:szCs w:val="21"/>
              </w:rPr>
              <w:t>分；</w:t>
            </w:r>
          </w:p>
          <w:p>
            <w:pPr>
              <w:widowControl/>
              <w:spacing w:line="360" w:lineRule="auto"/>
              <w:jc w:val="left"/>
              <w:textAlignment w:val="center"/>
              <w:rPr>
                <w:rFonts w:ascii="宋体" w:hAnsi="宋体" w:cs="宋体"/>
                <w:kern w:val="0"/>
                <w:szCs w:val="21"/>
              </w:rPr>
            </w:pPr>
            <w:r>
              <w:rPr>
                <w:rFonts w:hint="eastAsia" w:ascii="宋体" w:hAnsi="宋体" w:cs="宋体"/>
                <w:kern w:val="0"/>
                <w:szCs w:val="21"/>
              </w:rPr>
              <w:t>欠合理，基本可行，</w:t>
            </w:r>
            <w:r>
              <w:rPr>
                <w:rFonts w:hint="eastAsia" w:ascii="宋体" w:hAnsi="宋体" w:cs="宋体"/>
                <w:kern w:val="0"/>
                <w:szCs w:val="21"/>
                <w:lang w:val="en-US" w:eastAsia="zh-CN"/>
              </w:rPr>
              <w:t>0.5</w:t>
            </w:r>
            <w:r>
              <w:rPr>
                <w:rFonts w:hint="eastAsia" w:ascii="宋体" w:hAnsi="宋体" w:cs="宋体"/>
                <w:kern w:val="0"/>
                <w:szCs w:val="21"/>
              </w:rPr>
              <w:t xml:space="preserve"> 分；</w:t>
            </w:r>
          </w:p>
          <w:p>
            <w:pPr>
              <w:widowControl/>
              <w:spacing w:line="360" w:lineRule="auto"/>
              <w:rPr>
                <w:rFonts w:hint="eastAsia" w:asciiTheme="minorEastAsia" w:hAnsiTheme="minorEastAsia" w:eastAsiaTheme="minorEastAsia" w:cstheme="minorEastAsia"/>
                <w:spacing w:val="-6"/>
                <w:sz w:val="21"/>
                <w:szCs w:val="21"/>
              </w:rPr>
            </w:pPr>
            <w:r>
              <w:rPr>
                <w:rFonts w:hint="eastAsia" w:ascii="宋体" w:hAnsi="宋体" w:cs="宋体"/>
                <w:kern w:val="0"/>
                <w:szCs w:val="21"/>
              </w:rPr>
              <w:t>不可行，0 分。</w:t>
            </w:r>
          </w:p>
        </w:tc>
        <w:tc>
          <w:tcPr>
            <w:tcW w:w="664" w:type="dxa"/>
            <w:vAlign w:val="center"/>
          </w:tcPr>
          <w:p>
            <w:pPr>
              <w:widowControl/>
              <w:spacing w:line="360"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总分</w:t>
            </w:r>
          </w:p>
        </w:tc>
        <w:tc>
          <w:tcPr>
            <w:tcW w:w="8552" w:type="dxa"/>
            <w:gridSpan w:val="3"/>
            <w:vAlign w:val="center"/>
          </w:tcPr>
          <w:p>
            <w:pPr>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br w:type="textWrapping"/>
      </w: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23"/>
    </w:p>
    <w:p>
      <w:pPr>
        <w:numPr>
          <w:ilvl w:val="3"/>
          <w:numId w:val="39"/>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40"/>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40"/>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40"/>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9"/>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9"/>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9"/>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24" w:name="_Toc2115"/>
      <w:r>
        <w:rPr>
          <w:rFonts w:hint="eastAsia" w:asciiTheme="minorEastAsia" w:hAnsiTheme="minorEastAsia" w:eastAsiaTheme="minorEastAsia" w:cstheme="minorEastAsia"/>
          <w:b/>
          <w:szCs w:val="21"/>
          <w:lang w:val="en-US" w:eastAsia="zh-CN"/>
        </w:rPr>
        <w:t>五、磋商及评审步骤</w:t>
      </w:r>
      <w:bookmarkEnd w:id="124"/>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rPr>
          <w:rFonts w:hint="eastAsia" w:asciiTheme="minorEastAsia" w:hAnsiTheme="minorEastAsia" w:eastAsiaTheme="minorEastAsia" w:cstheme="minorEastAsia"/>
          <w:b w:val="0"/>
          <w:kern w:val="0"/>
          <w:szCs w:val="21"/>
        </w:rPr>
      </w:pPr>
      <w:bookmarkStart w:id="125" w:name="_Toc211783328"/>
      <w:bookmarkStart w:id="126" w:name="_Toc318643471"/>
      <w:bookmarkStart w:id="127" w:name="_Toc20360"/>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125"/>
      <w:bookmarkEnd w:id="126"/>
      <w:r>
        <w:rPr>
          <w:rFonts w:hint="eastAsia" w:asciiTheme="minorEastAsia" w:hAnsiTheme="minorEastAsia" w:eastAsiaTheme="minorEastAsia" w:cstheme="minorEastAsia"/>
          <w:sz w:val="36"/>
          <w:szCs w:val="36"/>
          <w:lang w:val="en-US" w:eastAsia="zh-CN"/>
        </w:rPr>
        <w:t>格式</w:t>
      </w:r>
      <w:bookmarkEnd w:id="127"/>
    </w:p>
    <w:p>
      <w:pPr>
        <w:spacing w:line="360" w:lineRule="auto"/>
        <w:rPr>
          <w:rFonts w:asciiTheme="minorEastAsia" w:hAnsiTheme="minorEastAsia" w:eastAsiaTheme="minorEastAsia" w:cstheme="minorEastAsia"/>
          <w:b/>
          <w:bCs/>
          <w:szCs w:val="21"/>
        </w:rPr>
      </w:pPr>
      <w:bookmarkStart w:id="128" w:name="_Toc16771"/>
      <w:r>
        <w:rPr>
          <w:rFonts w:hint="eastAsia" w:asciiTheme="minorEastAsia" w:hAnsiTheme="minorEastAsia" w:eastAsiaTheme="minorEastAsia" w:cstheme="minorEastAsia"/>
          <w:b/>
          <w:bCs/>
          <w:szCs w:val="21"/>
        </w:rPr>
        <w:t>国产设备合同：</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合同签订地点：</w:t>
      </w:r>
      <w:r>
        <w:rPr>
          <w:rFonts w:hint="eastAsia" w:asciiTheme="minorEastAsia" w:hAnsiTheme="minorEastAsia" w:eastAsiaTheme="minorEastAsia" w:cstheme="minorEastAsia"/>
          <w:szCs w:val="21"/>
          <w:u w:val="single"/>
        </w:rPr>
        <w:t>中国武汉洪山</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需求方：华中农业大学                   （以下简称甲方）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供应方：                               （以下简称乙方）</w:t>
      </w:r>
    </w:p>
    <w:p>
      <w:pPr>
        <w:spacing w:line="360" w:lineRule="auto"/>
        <w:rPr>
          <w:rFonts w:asciiTheme="minorEastAsia" w:hAnsiTheme="minorEastAsia" w:eastAsiaTheme="minorEastAsia" w:cstheme="minorEastAsia"/>
          <w:szCs w:val="21"/>
        </w:rPr>
      </w:pPr>
    </w:p>
    <w:p>
      <w:pPr>
        <w:pStyle w:val="11"/>
        <w:spacing w:line="360" w:lineRule="auto"/>
        <w:ind w:right="-153" w:rightChars="-7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依据学校集中采购（采购编号： ）结果</w:t>
      </w:r>
      <w:r>
        <w:rPr>
          <w:rFonts w:hint="eastAsia" w:asciiTheme="minorEastAsia" w:hAnsiTheme="minorEastAsia" w:eastAsiaTheme="minorEastAsia" w:cstheme="minorEastAsia"/>
          <w:i/>
          <w:szCs w:val="21"/>
        </w:rPr>
        <w:t>（非学校集中采购则删除）</w:t>
      </w:r>
      <w:r>
        <w:rPr>
          <w:rFonts w:hint="eastAsia" w:asciiTheme="minorEastAsia" w:hAnsiTheme="minorEastAsia" w:eastAsiaTheme="minorEastAsia" w:cstheme="minorEastAsia"/>
          <w:szCs w:val="21"/>
        </w:rPr>
        <w:t>，根据《中华人民共和国合同法》。为明确甲、乙双方责任，双方本着平等互利的原则，就甲方向乙方购买等的有关事项订立本合同。</w:t>
      </w:r>
    </w:p>
    <w:p>
      <w:pPr>
        <w:numPr>
          <w:ilvl w:val="0"/>
          <w:numId w:val="4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产品名称、规格型号、厂家、数量、单价、金额见下表。</w:t>
      </w:r>
    </w:p>
    <w:tbl>
      <w:tblPr>
        <w:tblStyle w:val="26"/>
        <w:tblW w:w="8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12"/>
        <w:gridCol w:w="2420"/>
        <w:gridCol w:w="1247"/>
        <w:gridCol w:w="813"/>
        <w:gridCol w:w="72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12"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w:t>
            </w:r>
          </w:p>
        </w:tc>
        <w:tc>
          <w:tcPr>
            <w:tcW w:w="2420"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规格型号及技术指标</w:t>
            </w:r>
          </w:p>
        </w:tc>
        <w:tc>
          <w:tcPr>
            <w:tcW w:w="124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81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2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1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12" w:type="dxa"/>
            <w:vAlign w:val="center"/>
          </w:tcPr>
          <w:p>
            <w:pPr>
              <w:spacing w:line="360" w:lineRule="auto"/>
              <w:rPr>
                <w:rFonts w:asciiTheme="minorEastAsia" w:hAnsiTheme="minorEastAsia" w:eastAsiaTheme="minorEastAsia" w:cstheme="minorEastAsia"/>
                <w:szCs w:val="21"/>
              </w:rPr>
            </w:pPr>
          </w:p>
        </w:tc>
        <w:tc>
          <w:tcPr>
            <w:tcW w:w="2420" w:type="dxa"/>
            <w:vAlign w:val="center"/>
          </w:tcPr>
          <w:p>
            <w:pPr>
              <w:spacing w:line="360" w:lineRule="auto"/>
              <w:rPr>
                <w:rFonts w:asciiTheme="minorEastAsia" w:hAnsiTheme="minorEastAsia" w:eastAsiaTheme="minorEastAsia" w:cstheme="minorEastAsia"/>
                <w:szCs w:val="21"/>
              </w:rPr>
            </w:pPr>
          </w:p>
        </w:tc>
        <w:tc>
          <w:tcPr>
            <w:tcW w:w="1247" w:type="dxa"/>
            <w:vAlign w:val="center"/>
          </w:tcPr>
          <w:p>
            <w:pPr>
              <w:spacing w:line="360" w:lineRule="auto"/>
              <w:jc w:val="center"/>
              <w:rPr>
                <w:rFonts w:asciiTheme="minorEastAsia" w:hAnsiTheme="minorEastAsia" w:eastAsiaTheme="minorEastAsia" w:cstheme="minorEastAsia"/>
                <w:szCs w:val="21"/>
              </w:rPr>
            </w:pPr>
          </w:p>
        </w:tc>
        <w:tc>
          <w:tcPr>
            <w:tcW w:w="813" w:type="dxa"/>
            <w:vAlign w:val="center"/>
          </w:tcPr>
          <w:p>
            <w:pPr>
              <w:spacing w:line="360" w:lineRule="auto"/>
              <w:jc w:val="center"/>
              <w:rPr>
                <w:rFonts w:asciiTheme="minorEastAsia" w:hAnsiTheme="minorEastAsia" w:eastAsiaTheme="minorEastAsia" w:cstheme="minorEastAsia"/>
                <w:szCs w:val="21"/>
              </w:rPr>
            </w:pPr>
          </w:p>
        </w:tc>
        <w:tc>
          <w:tcPr>
            <w:tcW w:w="723" w:type="dxa"/>
            <w:vAlign w:val="center"/>
          </w:tcPr>
          <w:p>
            <w:pPr>
              <w:spacing w:line="360" w:lineRule="auto"/>
              <w:jc w:val="right"/>
              <w:rPr>
                <w:rFonts w:asciiTheme="minorEastAsia" w:hAnsiTheme="minorEastAsia" w:eastAsiaTheme="minorEastAsia" w:cstheme="minorEastAsia"/>
                <w:szCs w:val="21"/>
              </w:rPr>
            </w:pPr>
          </w:p>
        </w:tc>
        <w:tc>
          <w:tcPr>
            <w:tcW w:w="1182" w:type="dxa"/>
            <w:vAlign w:val="center"/>
          </w:tcPr>
          <w:p>
            <w:pPr>
              <w:spacing w:line="360" w:lineRule="auto"/>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434" w:type="dxa"/>
            <w:gridSpan w:val="2"/>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   计</w:t>
            </w:r>
          </w:p>
        </w:tc>
        <w:tc>
          <w:tcPr>
            <w:tcW w:w="6385" w:type="dxa"/>
            <w:gridSpan w:val="5"/>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人民币元整(</w:t>
            </w:r>
            <w:r>
              <w:rPr>
                <w:rFonts w:hint="eastAsia" w:asciiTheme="minorEastAsia" w:hAnsiTheme="minorEastAsia" w:eastAsiaTheme="minorEastAsia" w:cstheme="minorEastAsia"/>
                <w:szCs w:val="21"/>
                <w:u w:val="single"/>
              </w:rPr>
              <w:t>￥   .00</w:t>
            </w:r>
            <w:r>
              <w:rPr>
                <w:rFonts w:hint="eastAsia" w:asciiTheme="minorEastAsia" w:hAnsiTheme="minorEastAsia" w:eastAsiaTheme="minorEastAsia" w:cstheme="minorEastAsia"/>
                <w:szCs w:val="21"/>
              </w:rPr>
              <w:t>)</w:t>
            </w:r>
          </w:p>
        </w:tc>
      </w:tr>
    </w:tbl>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注：配置、性能、功能等指标见附件</w:t>
      </w:r>
      <w:r>
        <w:rPr>
          <w:rFonts w:hint="eastAsia" w:asciiTheme="minorEastAsia" w:hAnsiTheme="minorEastAsia" w:eastAsiaTheme="minorEastAsia" w:cstheme="minorEastAsia"/>
          <w:i/>
          <w:szCs w:val="21"/>
        </w:rPr>
        <w:t>（如无则删除）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二．产品的质量要求和技术标准按国家或双方认可的产品技术标准。</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三、合同金额</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合同总金额为：人民币元整(￥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四、履约保证金及付款方式：采用以下方式 。</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无履约保证金，经甲方验收合格并收到乙方发票后</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天内，甲方向乙方支付合同总金额的100%，计人民币元整（￥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2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②</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履约保证金：合同签订前，乙方向甲方支付合同总额的5%，计人民币元整（￥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）作为履约保证金，自验收合格之日起自动转为质量保证金。</w:t>
      </w:r>
    </w:p>
    <w:p>
      <w:pPr>
        <w:tabs>
          <w:tab w:val="left" w:pos="-105"/>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付款方式：经甲方验收合格并收到乙方发票后</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天内，甲方向乙方支付合同总金额的100%，计人民币元整（￥</w:t>
      </w:r>
      <w:r>
        <w:rPr>
          <w:rFonts w:hint="eastAsia" w:asciiTheme="minorEastAsia" w:hAnsiTheme="minorEastAsia" w:eastAsiaTheme="minorEastAsia" w:cstheme="minorEastAsia"/>
          <w:szCs w:val="21"/>
          <w:u w:val="single"/>
        </w:rPr>
        <w:t xml:space="preserve">  .00</w:t>
      </w:r>
      <w:r>
        <w:rPr>
          <w:rFonts w:hint="eastAsia" w:asciiTheme="minorEastAsia" w:hAnsiTheme="minorEastAsia" w:eastAsiaTheme="minorEastAsia" w:cstheme="minorEastAsia"/>
          <w:szCs w:val="21"/>
        </w:rPr>
        <w:t>）；货物验收合格后安全运行一年（自验收合格之日起计算），如无质量及售后服务等其他违约事项，甲方向乙方无息退还质量保证金。</w:t>
      </w:r>
    </w:p>
    <w:p>
      <w:pPr>
        <w:tabs>
          <w:tab w:val="left" w:pos="306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五．到货及培训：</w:t>
      </w:r>
    </w:p>
    <w:p>
      <w:pPr>
        <w:tabs>
          <w:tab w:val="left" w:pos="306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乙方于年月日前将货运到甲方指定地点（具体时间以甲方通知为准），乙方负责产品的安装调试以及技术支持，并对甲方操作（管理）人员进行必要的技术培训和操作指导，保证产品能正常运行。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六．质保期和售后服务：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（1）从甲方验收合格之日起年。质保期内，乙方为甲方提供免费服务和免费更换（人为损坏除外）。</w:t>
      </w:r>
    </w:p>
    <w:p>
      <w:pPr>
        <w:tabs>
          <w:tab w:val="left" w:pos="3060"/>
        </w:tabs>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售后服务联系人及联系电话：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（2）若产品出现故障，乙方应在接到通知后小时内到现场提供服务。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（3）质保期后，若产品出现故障，乙方应提供维修服务，只收材料成本费。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（4）其他服务：</w:t>
      </w:r>
      <w:r>
        <w:rPr>
          <w:rFonts w:hint="eastAsia" w:asciiTheme="minorEastAsia" w:hAnsiTheme="minorEastAsia" w:eastAsiaTheme="minorEastAsia" w:cstheme="minorEastAsia"/>
          <w:i/>
          <w:szCs w:val="21"/>
        </w:rPr>
        <w:t>（如没有则写无）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七．甲方的责任和义务：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（1）产品运抵甲方指定地点后，应立即组织人员对货物进行清点、签收。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（2）甲方收到产品时，如发现产品规格、型号、数量不符时，应及时通知乙方并要求乙方按要求更换或补充。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（3）产品正常运行</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天后由甲方组织验收。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（4）按合同按时支付约定的费用。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八．乙方的责任和义务：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（1）按合同要求，按时提供全新完好的产品，否则应向甲方全额赔偿损失。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（2）在产品运抵甲方指定交货地点前三天通知甲方。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（3）负责对甲方人员进行操作培训，使其达到熟练操作的水平，并提供操作手册、专用工具等；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（4）应长期提供技术咨询服务。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（5）其他承诺：</w:t>
      </w:r>
      <w:r>
        <w:rPr>
          <w:rFonts w:hint="eastAsia" w:asciiTheme="minorEastAsia" w:hAnsiTheme="minorEastAsia" w:eastAsiaTheme="minorEastAsia" w:cstheme="minorEastAsia"/>
          <w:i/>
          <w:szCs w:val="21"/>
        </w:rPr>
        <w:t>（如没有则写无）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甲方无正当理由拒收货物的，应向乙方支付合同总价款10% 的违约金。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甲方逾期付款的，每逾期一日应向乙方支付未付款项的0.03%/日的违约金。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 乙方逾期交付货物给甲方的，每逾期一日应按逾期交付部分总价的 0.03%/日 计算向甲方支付违约金。如乙方逾期30天仍未交齐货物或者交付货物不合格的，甲方有权终止合同，乙方应按合同总价的10%计算向甲方支付违约金，并全额退还甲方已付给乙方的钱款及其利息。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乙方交付货物的质量、规格，性能、技术指标及配置不符合合同或合同附件约定的，甲方有权向乙方提出更换货物及索赔，乙方应在甲方提出之日起的日内免费更换合格的货物，由此造成的时间延误视作乙方逾期交付，按本合同第八条第3款处理。 如经两次更换，货物质量仍不符合规定的，甲方有权终止合同，乙方应向甲方返还已付款项，并按合同总价的10%向甲方支付违约金，造成甲方经济损失的，还需赔偿甲方的直接经济损失。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10%向甲方支付违约金并赔偿因此给甲方造成的一切损失，包括但不限于因第三人向甲方主张权利而发生的全部诉讼费、律师费、差旅费、邮件费、公告费、鉴定和调查取证等费用。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十．其他条款：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（1）本合同未尽事宜，经双方协商，签订补充协议，其补充协议与本合同有同等法律效力。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（2）本合同附件作为合同的有效组成部分，具有同等法律效力。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（3）本合同如发生纠纷，甲乙双方应积极协商，协商不成时，任何一方可向甲方所在地法院起诉。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（4）本合同一式五份，甲方执四份，乙方执一份，具有同等法律效力。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（5）本合同经双方签字盖章之日起生效。</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甲方：华中农业大学（盖章）          乙方：（盖章）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i/>
          <w:szCs w:val="21"/>
        </w:rPr>
        <w:t>（签字）</w:t>
      </w:r>
      <w:r>
        <w:rPr>
          <w:rFonts w:hint="eastAsia" w:asciiTheme="minorEastAsia" w:hAnsiTheme="minorEastAsia" w:eastAsiaTheme="minorEastAsia" w:cstheme="minorEastAsia"/>
          <w:szCs w:val="21"/>
        </w:rPr>
        <w:t xml:space="preserve">                  委托代理人：</w:t>
      </w:r>
      <w:r>
        <w:rPr>
          <w:rFonts w:hint="eastAsia" w:asciiTheme="minorEastAsia" w:hAnsiTheme="minorEastAsia" w:eastAsiaTheme="minorEastAsia" w:cstheme="minorEastAsia"/>
          <w:i/>
          <w:szCs w:val="21"/>
        </w:rPr>
        <w:t>（签字）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                           联系方式：</w:t>
      </w:r>
    </w:p>
    <w:p>
      <w:pPr>
        <w:spacing w:line="360" w:lineRule="auto"/>
        <w:ind w:firstLine="420" w:firstLineChars="20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sectPr>
          <w:footerReference r:id="rId7" w:type="default"/>
          <w:type w:val="continuous"/>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szCs w:val="21"/>
        </w:rPr>
        <w:t xml:space="preserve">    年    月    日                        年    月    日</w:t>
      </w:r>
    </w:p>
    <w:p>
      <w:pP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竞争性磋商响应文件格式</w:t>
      </w:r>
      <w:bookmarkEnd w:id="128"/>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29" w:name="_Toc5751"/>
      <w:bookmarkStart w:id="130"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29"/>
    <w:bookmarkEnd w:id="130"/>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31" w:name="_Toc360174584"/>
      <w:bookmarkStart w:id="132" w:name="_Toc264644272"/>
      <w:bookmarkStart w:id="133" w:name="_Toc533330957"/>
      <w:bookmarkStart w:id="134" w:name="_Toc211783342"/>
      <w:bookmarkStart w:id="135" w:name="_Toc11320441"/>
      <w:bookmarkStart w:id="136" w:name="_Toc533331084"/>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31"/>
      <w:bookmarkEnd w:id="132"/>
    </w:p>
    <w:p>
      <w:pPr>
        <w:autoSpaceDE w:val="0"/>
        <w:autoSpaceDN w:val="0"/>
        <w:adjustRightInd w:val="0"/>
        <w:rPr>
          <w:rFonts w:hint="eastAsia" w:asciiTheme="minorEastAsia" w:hAnsiTheme="minorEastAsia" w:eastAsiaTheme="minorEastAsia" w:cstheme="minorEastAsia"/>
          <w:b/>
          <w:bCs/>
          <w:szCs w:val="21"/>
        </w:rPr>
      </w:pPr>
    </w:p>
    <w:p>
      <w:pPr>
        <w:adjustRightInd w:val="0"/>
        <w:snapToGri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rPr>
        <w:t>一</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rPr>
        <w:t>评分标准索引表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lang w:val="en-US" w:eastAsia="zh-CN"/>
        </w:rPr>
        <w:t>二</w:t>
      </w:r>
      <w:r>
        <w:rPr>
          <w:rFonts w:hint="eastAsia" w:asciiTheme="minorEastAsia" w:hAnsiTheme="minorEastAsia" w:eastAsiaTheme="minorEastAsia" w:cstheme="minorEastAsia"/>
          <w:b w:val="0"/>
          <w:bCs/>
        </w:rPr>
        <w:t>、磋商书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lang w:val="en-US" w:eastAsia="zh-CN"/>
        </w:rPr>
        <w:t>三</w:t>
      </w:r>
      <w:r>
        <w:rPr>
          <w:rFonts w:hint="eastAsia" w:asciiTheme="minorEastAsia" w:hAnsiTheme="minorEastAsia" w:eastAsiaTheme="minorEastAsia" w:cstheme="minorEastAsia"/>
          <w:b w:val="0"/>
          <w:bCs/>
        </w:rPr>
        <w:t>、法定代表人授权书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法定代表人身份证明书</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、报价一览表</w:t>
      </w:r>
      <w:r>
        <w:rPr>
          <w:rFonts w:hint="eastAsia" w:asciiTheme="minorEastAsia" w:hAnsiTheme="minorEastAsia" w:eastAsiaTheme="minorEastAsia" w:cstheme="minorEastAsia"/>
          <w:b w:val="0"/>
          <w:bCs/>
        </w:rPr>
        <w:t xml:space="preserve">      </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lang w:val="en-US" w:eastAsia="zh-CN"/>
        </w:rPr>
        <w:t>五</w:t>
      </w:r>
      <w:r>
        <w:rPr>
          <w:rFonts w:hint="eastAsia" w:asciiTheme="minorEastAsia" w:hAnsiTheme="minorEastAsia" w:eastAsiaTheme="minorEastAsia" w:cstheme="minorEastAsia"/>
          <w:b w:val="0"/>
          <w:bCs/>
          <w:szCs w:val="21"/>
        </w:rPr>
        <w:t>、报价费用构成表</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lang w:val="en-US" w:eastAsia="zh-CN"/>
        </w:rPr>
        <w:t>六</w:t>
      </w:r>
      <w:r>
        <w:rPr>
          <w:rFonts w:hint="eastAsia" w:asciiTheme="minorEastAsia" w:hAnsiTheme="minorEastAsia" w:eastAsiaTheme="minorEastAsia" w:cstheme="minorEastAsia"/>
          <w:b w:val="0"/>
          <w:bCs/>
          <w:szCs w:val="21"/>
        </w:rPr>
        <w:t>、耗材清单</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lang w:val="en-US" w:eastAsia="zh-CN"/>
        </w:rPr>
        <w:t>七、拟投入设备/备件、工具情况</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lang w:val="en-US" w:eastAsia="zh-CN"/>
        </w:rPr>
        <w:t>八</w:t>
      </w:r>
      <w:r>
        <w:rPr>
          <w:rFonts w:hint="eastAsia" w:asciiTheme="minorEastAsia" w:hAnsiTheme="minorEastAsia" w:eastAsiaTheme="minorEastAsia" w:cstheme="minorEastAsia"/>
          <w:b w:val="0"/>
          <w:bCs/>
          <w:szCs w:val="21"/>
        </w:rPr>
        <w:t>、</w:t>
      </w:r>
      <w:r>
        <w:rPr>
          <w:rFonts w:hint="eastAsia" w:asciiTheme="minorEastAsia" w:hAnsiTheme="minorEastAsia" w:eastAsiaTheme="minorEastAsia" w:cstheme="minorEastAsia"/>
          <w:b w:val="0"/>
          <w:bCs/>
          <w:szCs w:val="21"/>
          <w:lang w:eastAsia="zh-CN"/>
        </w:rPr>
        <w:t>缴纳</w:t>
      </w:r>
      <w:r>
        <w:rPr>
          <w:rFonts w:hint="eastAsia" w:asciiTheme="minorEastAsia" w:hAnsiTheme="minorEastAsia" w:eastAsiaTheme="minorEastAsia" w:cstheme="minorEastAsia"/>
          <w:b w:val="0"/>
          <w:bCs/>
          <w:szCs w:val="21"/>
        </w:rPr>
        <w:t>保证金的银行凭证</w:t>
      </w:r>
      <w:r>
        <w:rPr>
          <w:rFonts w:hint="eastAsia" w:asciiTheme="minorEastAsia" w:hAnsiTheme="minorEastAsia" w:eastAsiaTheme="minorEastAsia" w:cstheme="minorEastAsia"/>
          <w:b w:val="0"/>
          <w:bCs/>
          <w:szCs w:val="21"/>
          <w:lang w:eastAsia="zh-CN"/>
        </w:rPr>
        <w:t>（</w:t>
      </w:r>
      <w:r>
        <w:rPr>
          <w:rFonts w:hint="eastAsia" w:asciiTheme="minorEastAsia" w:hAnsiTheme="minorEastAsia" w:eastAsiaTheme="minorEastAsia" w:cstheme="minorEastAsia"/>
          <w:b w:val="0"/>
          <w:bCs/>
          <w:szCs w:val="21"/>
          <w:lang w:val="en-US" w:eastAsia="zh-CN"/>
        </w:rPr>
        <w:t>如有</w:t>
      </w:r>
      <w:r>
        <w:rPr>
          <w:rFonts w:hint="eastAsia" w:asciiTheme="minorEastAsia" w:hAnsiTheme="minorEastAsia" w:eastAsiaTheme="minorEastAsia" w:cstheme="minorEastAsia"/>
          <w:b w:val="0"/>
          <w:bCs/>
          <w:szCs w:val="21"/>
          <w:lang w:eastAsia="zh-CN"/>
        </w:rPr>
        <w:t>）</w:t>
      </w:r>
      <w:r>
        <w:rPr>
          <w:rFonts w:hint="eastAsia" w:asciiTheme="minorEastAsia" w:hAnsiTheme="minorEastAsia" w:eastAsiaTheme="minorEastAsia" w:cstheme="minorEastAsia"/>
          <w:b w:val="0"/>
          <w:bCs/>
          <w:szCs w:val="21"/>
          <w:lang w:eastAsia="zh-CN"/>
        </w:rPr>
        <w:br w:type="textWrapping"/>
      </w:r>
      <w:r>
        <w:rPr>
          <w:rFonts w:hint="eastAsia" w:asciiTheme="minorEastAsia" w:hAnsiTheme="minorEastAsia" w:eastAsiaTheme="minorEastAsia" w:cstheme="minorEastAsia"/>
          <w:b w:val="0"/>
          <w:bCs/>
          <w:szCs w:val="21"/>
          <w:lang w:val="en-US" w:eastAsia="zh-CN"/>
        </w:rPr>
        <w:t>九</w:t>
      </w:r>
      <w:r>
        <w:rPr>
          <w:rFonts w:hint="eastAsia" w:asciiTheme="minorEastAsia" w:hAnsiTheme="minorEastAsia" w:eastAsiaTheme="minorEastAsia" w:cstheme="minorEastAsia"/>
          <w:b w:val="0"/>
          <w:bCs/>
          <w:szCs w:val="21"/>
        </w:rPr>
        <w:t>、偏离说明表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szCs w:val="21"/>
        </w:rPr>
        <w:t>类似业绩一览表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一</w:t>
      </w:r>
      <w:r>
        <w:rPr>
          <w:rFonts w:hint="eastAsia" w:asciiTheme="minorEastAsia" w:hAnsiTheme="minorEastAsia" w:eastAsiaTheme="minorEastAsia" w:cstheme="minorEastAsia"/>
          <w:b w:val="0"/>
          <w:bCs/>
          <w:szCs w:val="21"/>
        </w:rPr>
        <w:t>、拟投入项目组人员一览表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二</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供应商的资格声明</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资格证明文件</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、报价技术文件</w:t>
      </w:r>
    </w:p>
    <w:p>
      <w:pPr>
        <w:adjustRightInd w:val="0"/>
        <w:snapToGrid w:val="0"/>
        <w:spacing w:line="360" w:lineRule="auto"/>
        <w:jc w:val="left"/>
        <w:outlineLvl w:val="9"/>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十</w:t>
      </w:r>
      <w:r>
        <w:rPr>
          <w:rFonts w:hint="eastAsia" w:asciiTheme="minorEastAsia" w:hAnsiTheme="minorEastAsia" w:eastAsiaTheme="minorEastAsia" w:cstheme="minorEastAsia"/>
          <w:b w:val="0"/>
          <w:bCs/>
          <w:lang w:val="en-US" w:eastAsia="zh-CN"/>
        </w:rPr>
        <w:t>五</w:t>
      </w:r>
      <w:r>
        <w:rPr>
          <w:rFonts w:hint="eastAsia" w:asciiTheme="minorEastAsia" w:hAnsiTheme="minorEastAsia" w:eastAsiaTheme="minorEastAsia" w:cstheme="minorEastAsia"/>
          <w:b w:val="0"/>
          <w:bCs/>
        </w:rPr>
        <w:t>、中小企业声明函</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十六、监狱企业证明文件</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p>
    <w:p>
      <w:pPr>
        <w:spacing w:line="360" w:lineRule="auto"/>
        <w:jc w:val="left"/>
        <w:outlineLvl w:val="9"/>
        <w:rPr>
          <w:rFonts w:hint="eastAsia" w:asciiTheme="minorEastAsia" w:hAnsiTheme="minorEastAsia" w:eastAsiaTheme="minorEastAsia" w:cstheme="minorEastAsia"/>
          <w:b w:val="0"/>
          <w:bCs/>
          <w:spacing w:val="6"/>
          <w:szCs w:val="21"/>
        </w:rPr>
      </w:pPr>
      <w:r>
        <w:rPr>
          <w:rFonts w:hint="eastAsia" w:asciiTheme="minorEastAsia" w:hAnsiTheme="minorEastAsia" w:eastAsiaTheme="minorEastAsia" w:cstheme="minorEastAsia"/>
          <w:b w:val="0"/>
          <w:bCs/>
          <w:lang w:val="en-US" w:eastAsia="zh-CN"/>
        </w:rPr>
        <w:t>十七</w:t>
      </w: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zh-CN"/>
        </w:rPr>
        <w:t>残疾人福利性单位声明函（若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十八、节能环保产品证明材料</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spacing w:val="6"/>
          <w:szCs w:val="21"/>
          <w:lang w:val="en-US" w:eastAsia="zh-CN"/>
        </w:rPr>
        <w:t>十九</w:t>
      </w:r>
      <w:r>
        <w:rPr>
          <w:rFonts w:hint="eastAsia" w:asciiTheme="minorEastAsia" w:hAnsiTheme="minorEastAsia" w:eastAsiaTheme="minorEastAsia" w:cstheme="minorEastAsia"/>
          <w:b w:val="0"/>
          <w:bCs/>
          <w:spacing w:val="6"/>
          <w:szCs w:val="21"/>
        </w:rPr>
        <w:t>、</w:t>
      </w:r>
      <w:r>
        <w:rPr>
          <w:rFonts w:hint="eastAsia" w:asciiTheme="minorEastAsia" w:hAnsiTheme="minorEastAsia" w:eastAsiaTheme="minorEastAsia" w:cstheme="minorEastAsia"/>
          <w:b w:val="0"/>
          <w:bCs/>
        </w:rPr>
        <w:t>无重大违法记录声明</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spacing w:val="6"/>
          <w:szCs w:val="21"/>
          <w:lang w:val="en-US" w:eastAsia="zh-CN"/>
        </w:rPr>
        <w:t>二十、参加本次政府采购活动前3年内发生诉讼及仲裁情况表</w:t>
      </w:r>
      <w:r>
        <w:rPr>
          <w:rFonts w:hint="eastAsia" w:asciiTheme="minorEastAsia" w:hAnsiTheme="minorEastAsia" w:eastAsiaTheme="minorEastAsia" w:cstheme="minorEastAsia"/>
          <w:b w:val="0"/>
          <w:bCs/>
          <w:spacing w:val="6"/>
          <w:szCs w:val="21"/>
        </w:rPr>
        <w:br w:type="textWrapping"/>
      </w:r>
      <w:r>
        <w:rPr>
          <w:rFonts w:hint="eastAsia" w:asciiTheme="minorEastAsia" w:hAnsiTheme="minorEastAsia" w:eastAsiaTheme="minorEastAsia" w:cstheme="minorEastAsia"/>
          <w:b w:val="0"/>
          <w:bCs/>
          <w:spacing w:val="6"/>
          <w:szCs w:val="21"/>
          <w:lang w:val="en-US" w:eastAsia="zh-CN"/>
        </w:rPr>
        <w:t>二十一、磋商供应商认为应该提交的其它文件（格式自拟）</w:t>
      </w:r>
      <w:r>
        <w:rPr>
          <w:rFonts w:hint="eastAsia" w:asciiTheme="minorEastAsia" w:hAnsiTheme="minorEastAsia" w:eastAsiaTheme="minorEastAsia" w:cstheme="minorEastAsia"/>
          <w:b w:val="0"/>
          <w:bCs/>
          <w:spacing w:val="6"/>
          <w:szCs w:val="21"/>
          <w:lang w:val="en-US" w:eastAsia="zh-CN"/>
        </w:rPr>
        <w:br w:type="textWrapping"/>
      </w:r>
      <w:r>
        <w:rPr>
          <w:rFonts w:hint="eastAsia" w:asciiTheme="minorEastAsia" w:hAnsiTheme="minorEastAsia" w:eastAsiaTheme="minorEastAsia" w:cstheme="minorEastAsia"/>
          <w:b w:val="0"/>
          <w:bCs/>
          <w:spacing w:val="6"/>
          <w:szCs w:val="21"/>
          <w:lang w:val="en-US" w:eastAsia="zh-CN"/>
        </w:rPr>
        <w:br w:type="textWrapping"/>
      </w:r>
    </w:p>
    <w:p>
      <w:pPr>
        <w:autoSpaceDE w:val="0"/>
        <w:autoSpaceDN w:val="0"/>
        <w:adjustRightInd w:val="0"/>
        <w:spacing w:line="48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注：竞争性磋商响应文件目录及内容每页须顺序编写页码。</w:t>
      </w:r>
    </w:p>
    <w:p>
      <w:pPr>
        <w:autoSpaceDE w:val="0"/>
        <w:autoSpaceDN w:val="0"/>
        <w:adjustRightInd w:val="0"/>
        <w:spacing w:line="480" w:lineRule="auto"/>
        <w:rPr>
          <w:rFonts w:hint="eastAsia" w:asciiTheme="minorEastAsia" w:hAnsiTheme="minorEastAsia" w:eastAsiaTheme="minorEastAsia" w:cstheme="minorEastAsia"/>
          <w:b/>
        </w:rPr>
      </w:pPr>
    </w:p>
    <w:p>
      <w:pPr>
        <w:autoSpaceDE w:val="0"/>
        <w:autoSpaceDN w:val="0"/>
        <w:adjustRightInd w:val="0"/>
        <w:spacing w:line="480" w:lineRule="auto"/>
        <w:rPr>
          <w:rFonts w:hint="eastAsia" w:asciiTheme="minorEastAsia" w:hAnsiTheme="minorEastAsia" w:eastAsiaTheme="minorEastAsia" w:cstheme="minorEastAsia"/>
          <w:b/>
        </w:rPr>
        <w:sectPr>
          <w:footerReference r:id="rId8" w:type="default"/>
          <w:type w:val="continuous"/>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7" w:name="_Toc22111"/>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b/>
        </w:rPr>
        <w:t>评分标准索引表</w:t>
      </w:r>
      <w:bookmarkEnd w:id="137"/>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28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519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100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c>
          <w:tcPr>
            <w:tcW w:w="111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1285"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5197" w:type="dxa"/>
            <w:vAlign w:val="center"/>
          </w:tcPr>
          <w:p>
            <w:pPr>
              <w:widowControl/>
              <w:spacing w:line="260" w:lineRule="exact"/>
              <w:jc w:val="left"/>
              <w:textAlignment w:val="center"/>
              <w:rPr>
                <w:rFonts w:hint="eastAsia"/>
              </w:rPr>
            </w:pPr>
          </w:p>
        </w:tc>
        <w:tc>
          <w:tcPr>
            <w:tcW w:w="1005" w:type="dxa"/>
            <w:vAlign w:val="center"/>
          </w:tcPr>
          <w:p>
            <w:pPr>
              <w:widowControl/>
              <w:spacing w:line="260" w:lineRule="exact"/>
              <w:jc w:val="center"/>
              <w:textAlignment w:val="center"/>
              <w:rPr>
                <w:rFonts w:hint="eastAsia"/>
              </w:rPr>
            </w:pPr>
          </w:p>
        </w:tc>
        <w:tc>
          <w:tcPr>
            <w:tcW w:w="1114" w:type="dxa"/>
            <w:vAlign w:val="center"/>
          </w:tcPr>
          <w:p>
            <w:pPr>
              <w:widowControl/>
              <w:spacing w:line="260" w:lineRule="exact"/>
              <w:jc w:val="center"/>
              <w:textAlignment w:val="center"/>
              <w:rPr>
                <w:rFonts w:hint="eastAsia" w:ascii="宋体" w:hAnsi="宋体" w:cs="宋体"/>
                <w:color w:val="FF0000"/>
                <w:kern w:val="0"/>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color w:val="000000"/>
                <w:spacing w:val="-6"/>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bottom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top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hint="eastAsia" w:asciiTheme="minorEastAsia" w:hAnsiTheme="minorEastAsia" w:eastAsiaTheme="minorEastAsia" w:cstheme="minorEastAsia"/>
                <w:sz w:val="21"/>
                <w:szCs w:val="21"/>
              </w:rPr>
            </w:pPr>
          </w:p>
        </w:tc>
        <w:tc>
          <w:tcPr>
            <w:tcW w:w="128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5197"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00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114" w:type="dxa"/>
            <w:vAlign w:val="center"/>
          </w:tcPr>
          <w:p>
            <w:pPr>
              <w:ind w:left="-4" w:leftChars="-2" w:firstLine="2" w:firstLineChars="1"/>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hint="eastAsia" w:asciiTheme="minorEastAsia" w:hAnsiTheme="minorEastAsia" w:eastAsiaTheme="minorEastAsia" w:cstheme="minorEastAsia"/>
                <w:sz w:val="21"/>
                <w:szCs w:val="21"/>
                <w:lang w:val="en-US" w:eastAsia="zh-CN"/>
              </w:rPr>
            </w:pPr>
          </w:p>
        </w:tc>
        <w:tc>
          <w:tcPr>
            <w:tcW w:w="7487" w:type="dxa"/>
            <w:gridSpan w:val="3"/>
            <w:vAlign w:val="center"/>
          </w:tcPr>
          <w:p>
            <w:pPr>
              <w:jc w:val="center"/>
              <w:rPr>
                <w:rFonts w:hint="eastAsia" w:asciiTheme="minorEastAsia" w:hAnsiTheme="minorEastAsia" w:eastAsiaTheme="minorEastAsia" w:cstheme="minorEastAsia"/>
                <w:spacing w:val="-6"/>
                <w:sz w:val="21"/>
                <w:szCs w:val="21"/>
              </w:rPr>
            </w:pPr>
          </w:p>
        </w:tc>
        <w:tc>
          <w:tcPr>
            <w:tcW w:w="1114" w:type="dxa"/>
            <w:vAlign w:val="center"/>
          </w:tcPr>
          <w:p>
            <w:pPr>
              <w:jc w:val="center"/>
              <w:rPr>
                <w:rFonts w:hint="eastAsia" w:asciiTheme="minorEastAsia" w:hAnsiTheme="minorEastAsia" w:eastAsiaTheme="minorEastAsia" w:cstheme="minorEastAsia"/>
                <w:spacing w:val="-6"/>
                <w:sz w:val="21"/>
                <w:szCs w:val="21"/>
                <w:lang w:val="en-US" w:eastAsia="zh-CN"/>
              </w:rPr>
            </w:pPr>
          </w:p>
        </w:tc>
      </w:tr>
    </w:tbl>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8" w:name="_Toc479184125"/>
      <w:bookmarkStart w:id="139" w:name="_Toc15789"/>
      <w:bookmarkStart w:id="140" w:name="_Toc30144"/>
      <w:bookmarkStart w:id="141" w:name="_Toc20684"/>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38"/>
      <w:bookmarkEnd w:id="139"/>
      <w:bookmarkEnd w:id="140"/>
      <w:bookmarkEnd w:id="141"/>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货物</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42"/>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3"/>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4"/>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42" w:name="_Toc2610"/>
      <w:bookmarkStart w:id="143" w:name="_Toc24205"/>
      <w:bookmarkStart w:id="144" w:name="_Toc13969"/>
      <w:bookmarkStart w:id="145" w:name="_Toc479184126"/>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42"/>
      <w:bookmarkEnd w:id="143"/>
      <w:bookmarkEnd w:id="144"/>
      <w:bookmarkEnd w:id="145"/>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6" w:name="_Toc479184127"/>
      <w:bookmarkStart w:id="147" w:name="_Toc424832832"/>
      <w:bookmarkStart w:id="148" w:name="_Toc30245"/>
      <w:bookmarkStart w:id="149" w:name="_Toc10475"/>
      <w:bookmarkStart w:id="150" w:name="_Toc432149008"/>
      <w:bookmarkStart w:id="151" w:name="_Toc360120184"/>
      <w:bookmarkStart w:id="152" w:name="_Toc29904"/>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46"/>
      <w:bookmarkEnd w:id="147"/>
      <w:bookmarkEnd w:id="148"/>
      <w:bookmarkEnd w:id="149"/>
      <w:bookmarkEnd w:id="150"/>
      <w:bookmarkEnd w:id="151"/>
      <w:bookmarkEnd w:id="152"/>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53" w:name="_Toc422466732"/>
      <w:bookmarkStart w:id="154" w:name="_Toc432149006"/>
      <w:r>
        <w:rPr>
          <w:rFonts w:hint="eastAsia" w:asciiTheme="minorEastAsia" w:hAnsiTheme="minorEastAsia" w:eastAsiaTheme="minorEastAsia" w:cstheme="minorEastAsia"/>
          <w:b/>
          <w:bCs/>
          <w:sz w:val="24"/>
        </w:rPr>
        <w:br w:type="page"/>
      </w:r>
      <w:bookmarkStart w:id="155" w:name="_Toc23856"/>
      <w:bookmarkStart w:id="156" w:name="_Toc479184128"/>
      <w:bookmarkStart w:id="157" w:name="_Toc4741"/>
      <w:bookmarkStart w:id="158" w:name="_Toc4301"/>
      <w:r>
        <w:rPr>
          <w:rFonts w:hint="eastAsia" w:asciiTheme="minorEastAsia" w:hAnsiTheme="minorEastAsia" w:eastAsiaTheme="minorEastAsia" w:cstheme="minorEastAsia"/>
          <w:b/>
          <w:bCs/>
          <w:szCs w:val="21"/>
          <w:lang w:val="en-US" w:eastAsia="zh-CN"/>
        </w:rPr>
        <w:t>四</w:t>
      </w:r>
      <w:r>
        <w:rPr>
          <w:rFonts w:hint="eastAsia" w:asciiTheme="minorEastAsia" w:hAnsiTheme="minorEastAsia" w:eastAsiaTheme="minorEastAsia" w:cstheme="minorEastAsia"/>
          <w:b/>
          <w:bCs/>
          <w:szCs w:val="21"/>
        </w:rPr>
        <w:t>、报价一览表</w:t>
      </w:r>
      <w:bookmarkEnd w:id="153"/>
      <w:bookmarkEnd w:id="154"/>
      <w:bookmarkEnd w:id="155"/>
      <w:bookmarkEnd w:id="156"/>
      <w:bookmarkEnd w:id="157"/>
      <w:bookmarkEnd w:id="158"/>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项目包号：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主要产品概况（如有）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请填写本项目核心产品的品牌、规格型号和制造商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59" w:name="_Toc460258117"/>
      <w:bookmarkStart w:id="160" w:name="_Toc259028723"/>
      <w:bookmarkStart w:id="161" w:name="_Toc424832831"/>
      <w:bookmarkStart w:id="162" w:name="_Toc432149007"/>
      <w:r>
        <w:rPr>
          <w:rFonts w:hint="eastAsia" w:asciiTheme="minorEastAsia" w:hAnsiTheme="minorEastAsia" w:eastAsiaTheme="minorEastAsia" w:cstheme="minorEastAsia"/>
          <w:b/>
          <w:bCs/>
          <w:sz w:val="24"/>
        </w:rPr>
        <w:br w:type="page"/>
      </w:r>
      <w:bookmarkStart w:id="163" w:name="_Toc479184129"/>
      <w:bookmarkStart w:id="164" w:name="_Toc18559"/>
      <w:bookmarkStart w:id="165" w:name="_Toc1079"/>
      <w:bookmarkStart w:id="166" w:name="_Toc31617"/>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w:t>
      </w:r>
      <w:bookmarkEnd w:id="159"/>
      <w:bookmarkEnd w:id="160"/>
      <w:bookmarkEnd w:id="163"/>
      <w:bookmarkEnd w:id="164"/>
      <w:bookmarkEnd w:id="165"/>
      <w:r>
        <w:rPr>
          <w:rFonts w:hint="eastAsia" w:asciiTheme="minorEastAsia" w:hAnsiTheme="minorEastAsia" w:eastAsiaTheme="minorEastAsia" w:cstheme="minorEastAsia"/>
          <w:b/>
          <w:bCs/>
          <w:szCs w:val="21"/>
          <w:lang w:eastAsia="zh-CN"/>
        </w:rPr>
        <w:t>报价费用构成表</w:t>
      </w:r>
      <w:bookmarkEnd w:id="166"/>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5"/>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7" w:name="_Toc28656"/>
      <w:bookmarkStart w:id="168" w:name="_Toc27104"/>
      <w:bookmarkStart w:id="169" w:name="_Toc26825"/>
      <w:bookmarkStart w:id="170" w:name="_Toc479184130"/>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、耗材清单</w:t>
      </w:r>
      <w:bookmarkEnd w:id="167"/>
      <w:bookmarkEnd w:id="168"/>
      <w:bookmarkEnd w:id="169"/>
      <w:bookmarkEnd w:id="170"/>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71" w:name="_Toc7535"/>
      <w:bookmarkStart w:id="172" w:name="_Toc4793"/>
      <w:bookmarkStart w:id="173" w:name="_Toc479184131"/>
      <w:bookmarkStart w:id="174" w:name="_Toc32726"/>
      <w:r>
        <w:rPr>
          <w:rFonts w:hint="eastAsia" w:asciiTheme="minorEastAsia" w:hAnsiTheme="minorEastAsia" w:eastAsiaTheme="minorEastAsia" w:cstheme="minorEastAsia"/>
          <w:b/>
          <w:bCs/>
          <w:szCs w:val="21"/>
          <w:lang w:val="en-US" w:eastAsia="zh-CN"/>
        </w:rPr>
        <w:t>七、拟投入设备/备件、工具情况</w:t>
      </w:r>
      <w:bookmarkEnd w:id="171"/>
      <w:bookmarkEnd w:id="172"/>
      <w:bookmarkEnd w:id="173"/>
      <w:bookmarkEnd w:id="174"/>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75" w:name="_Toc450827818"/>
      <w:bookmarkStart w:id="176" w:name="_Toc27053"/>
      <w:bookmarkStart w:id="177" w:name="_Toc10449"/>
      <w:bookmarkStart w:id="178" w:name="_Toc479184132"/>
      <w:bookmarkStart w:id="179" w:name="_Toc3195"/>
      <w:r>
        <w:rPr>
          <w:rFonts w:hint="eastAsia" w:asciiTheme="minorEastAsia" w:hAnsiTheme="minorEastAsia" w:eastAsiaTheme="minorEastAsia" w:cstheme="minorEastAsia"/>
          <w:b/>
          <w:bCs/>
          <w:szCs w:val="21"/>
          <w:lang w:val="en-US" w:eastAsia="zh-CN"/>
        </w:rPr>
        <w:t>八</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75"/>
      <w:bookmarkEnd w:id="176"/>
      <w:bookmarkEnd w:id="177"/>
      <w:bookmarkEnd w:id="178"/>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79"/>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61"/>
    <w:bookmarkEnd w:id="162"/>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0" w:name="_Toc422466736"/>
      <w:bookmarkStart w:id="181" w:name="_Toc4542"/>
      <w:bookmarkStart w:id="182" w:name="_Toc28200"/>
      <w:bookmarkStart w:id="183" w:name="_Toc479184133"/>
      <w:bookmarkStart w:id="184" w:name="_Toc432149012"/>
      <w:bookmarkStart w:id="185" w:name="_Toc1591"/>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、偏离说明表</w:t>
      </w:r>
      <w:bookmarkEnd w:id="180"/>
      <w:bookmarkEnd w:id="181"/>
      <w:bookmarkEnd w:id="182"/>
      <w:bookmarkEnd w:id="183"/>
      <w:bookmarkEnd w:id="184"/>
      <w:bookmarkEnd w:id="185"/>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响应审核（资格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9ED3A3"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9ED3A3" w:themeFill="background1" w:themeFillShade="D8"/>
              </w:rPr>
              <w:t>响应审核（</w:t>
            </w:r>
            <w:r>
              <w:rPr>
                <w:rFonts w:hint="eastAsia" w:asciiTheme="minorEastAsia" w:hAnsiTheme="minorEastAsia" w:eastAsiaTheme="minorEastAsia" w:cstheme="minorEastAsia"/>
                <w:b/>
                <w:szCs w:val="21"/>
                <w:shd w:val="clear" w:fill="9ED3A3" w:themeFill="background1" w:themeFillShade="D8"/>
                <w:lang w:val="en-US" w:eastAsia="zh-CN"/>
              </w:rPr>
              <w:t>符合性</w:t>
            </w:r>
            <w:r>
              <w:rPr>
                <w:rFonts w:hint="eastAsia" w:asciiTheme="minorEastAsia" w:hAnsiTheme="minorEastAsia" w:eastAsiaTheme="minorEastAsia" w:cstheme="minorEastAsia"/>
                <w:b/>
                <w:szCs w:val="21"/>
                <w:shd w:val="clear" w:fill="9ED3A3"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6"/>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6"/>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86" w:name="_Toc32060"/>
      <w:bookmarkStart w:id="187" w:name="_Toc362935521"/>
      <w:bookmarkStart w:id="188" w:name="_Toc479184134"/>
      <w:bookmarkStart w:id="189" w:name="_Toc432149013"/>
      <w:bookmarkStart w:id="190" w:name="_Toc28283"/>
      <w:bookmarkStart w:id="191" w:name="_Toc31755"/>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86"/>
      <w:bookmarkEnd w:id="187"/>
      <w:bookmarkEnd w:id="188"/>
      <w:bookmarkEnd w:id="189"/>
      <w:bookmarkEnd w:id="190"/>
      <w:r>
        <w:rPr>
          <w:rFonts w:hint="eastAsia" w:asciiTheme="minorEastAsia" w:hAnsiTheme="minorEastAsia" w:eastAsiaTheme="minorEastAsia" w:cstheme="minorEastAsia"/>
          <w:b/>
          <w:bCs/>
          <w:szCs w:val="21"/>
        </w:rPr>
        <w:br w:type="textWrapping"/>
      </w:r>
      <w:bookmarkEnd w:id="191"/>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92" w:name="_Toc454806053"/>
      <w:bookmarkStart w:id="193"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94" w:name="_Toc4834"/>
      <w:bookmarkStart w:id="195" w:name="_Toc479184135"/>
      <w:bookmarkStart w:id="196" w:name="_Toc30455"/>
      <w:bookmarkStart w:id="197" w:name="_Toc6612"/>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一</w:t>
      </w:r>
      <w:r>
        <w:rPr>
          <w:rFonts w:hint="eastAsia" w:asciiTheme="minorEastAsia" w:hAnsiTheme="minorEastAsia" w:eastAsiaTheme="minorEastAsia" w:cstheme="minorEastAsia"/>
          <w:b/>
          <w:bCs/>
          <w:szCs w:val="21"/>
        </w:rPr>
        <w:t>、拟投入项目组人员一览表</w:t>
      </w:r>
      <w:bookmarkEnd w:id="192"/>
      <w:bookmarkEnd w:id="193"/>
      <w:bookmarkEnd w:id="194"/>
      <w:bookmarkEnd w:id="195"/>
      <w:bookmarkEnd w:id="196"/>
      <w:bookmarkEnd w:id="197"/>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8" w:name="_Toc432149014"/>
      <w:bookmarkStart w:id="199" w:name="_Toc422466737"/>
      <w:bookmarkStart w:id="200" w:name="_Toc26838"/>
      <w:bookmarkStart w:id="201" w:name="_Toc479184136"/>
      <w:bookmarkStart w:id="202" w:name="_Toc2463"/>
      <w:bookmarkStart w:id="203" w:name="_Toc10429"/>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98"/>
      <w:bookmarkEnd w:id="199"/>
      <w:bookmarkEnd w:id="200"/>
      <w:bookmarkEnd w:id="201"/>
      <w:bookmarkEnd w:id="202"/>
      <w:bookmarkEnd w:id="203"/>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204" w:name="_Toc17527"/>
      <w:bookmarkStart w:id="205" w:name="_Toc259028731"/>
      <w:bookmarkStart w:id="206" w:name="_Toc17331"/>
      <w:bookmarkStart w:id="207" w:name="_Toc479184137"/>
      <w:bookmarkStart w:id="208" w:name="_Toc316"/>
      <w:bookmarkStart w:id="209" w:name="_Toc450827823"/>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204"/>
      <w:bookmarkEnd w:id="205"/>
      <w:bookmarkEnd w:id="206"/>
      <w:bookmarkEnd w:id="207"/>
      <w:bookmarkEnd w:id="208"/>
      <w:bookmarkEnd w:id="209"/>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10" w:name="_Toc5793"/>
      <w:bookmarkStart w:id="211" w:name="_Toc364868916"/>
      <w:bookmarkStart w:id="212" w:name="_Toc427239751"/>
      <w:bookmarkStart w:id="213" w:name="_Toc358447587"/>
      <w:bookmarkStart w:id="214" w:name="_Toc290207179"/>
      <w:bookmarkStart w:id="215" w:name="_Toc18555"/>
      <w:bookmarkStart w:id="216" w:name="_Toc32187"/>
      <w:r>
        <w:rPr>
          <w:rFonts w:hint="eastAsia" w:asciiTheme="minorEastAsia" w:hAnsiTheme="minorEastAsia" w:eastAsiaTheme="minorEastAsia" w:cstheme="minorEastAsia"/>
          <w:b/>
          <w:bCs/>
          <w:kern w:val="0"/>
          <w:szCs w:val="21"/>
          <w:lang w:val="en-US" w:eastAsia="zh-CN"/>
        </w:rPr>
        <w:t>十四、</w:t>
      </w:r>
      <w:bookmarkEnd w:id="210"/>
      <w:bookmarkEnd w:id="211"/>
      <w:bookmarkEnd w:id="212"/>
      <w:bookmarkEnd w:id="213"/>
      <w:bookmarkEnd w:id="214"/>
      <w:bookmarkEnd w:id="215"/>
      <w:bookmarkEnd w:id="216"/>
      <w:bookmarkStart w:id="217" w:name="_Toc27229"/>
      <w:bookmarkStart w:id="218" w:name="_Toc29785"/>
      <w:bookmarkStart w:id="219" w:name="_Toc460258123"/>
      <w:bookmarkStart w:id="220" w:name="_Toc479184138"/>
      <w:r>
        <w:rPr>
          <w:rFonts w:hint="eastAsia" w:asciiTheme="minorEastAsia" w:hAnsiTheme="minorEastAsia" w:eastAsiaTheme="minorEastAsia" w:cstheme="minorEastAsia"/>
          <w:b/>
        </w:rPr>
        <w:t>报价技术文件</w:t>
      </w:r>
      <w:bookmarkEnd w:id="217"/>
      <w:bookmarkEnd w:id="218"/>
      <w:bookmarkEnd w:id="219"/>
      <w:bookmarkEnd w:id="220"/>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7"/>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21" w:name="_Toc355802499"/>
      <w:bookmarkStart w:id="222" w:name="_Toc422466739"/>
      <w:bookmarkStart w:id="223" w:name="_Toc479184140"/>
      <w:bookmarkStart w:id="224" w:name="_Toc432149016"/>
      <w:bookmarkStart w:id="225" w:name="_Toc12119"/>
      <w:bookmarkStart w:id="226" w:name="_Toc8098"/>
      <w:bookmarkStart w:id="227" w:name="_Toc2101"/>
      <w:bookmarkStart w:id="228" w:name="_Toc22465"/>
      <w:bookmarkStart w:id="229" w:name="_Toc356836516"/>
      <w:bookmarkStart w:id="230" w:name="_Toc7704"/>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五</w:t>
      </w:r>
      <w:r>
        <w:rPr>
          <w:rFonts w:hint="eastAsia" w:asciiTheme="minorEastAsia" w:hAnsiTheme="minorEastAsia" w:eastAsiaTheme="minorEastAsia" w:cstheme="minorEastAsia"/>
          <w:b/>
        </w:rPr>
        <w:t>、中小企业声明函</w:t>
      </w:r>
      <w:bookmarkEnd w:id="221"/>
      <w:bookmarkEnd w:id="222"/>
      <w:bookmarkEnd w:id="223"/>
      <w:bookmarkEnd w:id="224"/>
      <w:bookmarkEnd w:id="225"/>
      <w:bookmarkEnd w:id="226"/>
      <w:bookmarkEnd w:id="227"/>
      <w:bookmarkEnd w:id="228"/>
      <w:bookmarkEnd w:id="229"/>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0"/>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31" w:name="OLE_LINK5"/>
      <w:r>
        <w:rPr>
          <w:rFonts w:hint="eastAsia" w:asciiTheme="minorEastAsia" w:hAnsiTheme="minorEastAsia" w:eastAsiaTheme="minorEastAsia" w:cstheme="minorEastAsia"/>
          <w:spacing w:val="6"/>
          <w:szCs w:val="21"/>
        </w:rPr>
        <w:t>______（请填写：中型、小型、微型）企业</w:t>
      </w:r>
      <w:bookmarkEnd w:id="231"/>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8"/>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8"/>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33"/>
    <w:bookmarkEnd w:id="134"/>
    <w:bookmarkEnd w:id="135"/>
    <w:bookmarkEnd w:id="136"/>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32" w:name="_Toc29270"/>
      <w:bookmarkStart w:id="233" w:name="_Toc30406"/>
      <w:bookmarkStart w:id="234" w:name="_Toc7229"/>
      <w:bookmarkStart w:id="235" w:name="_Toc479184141"/>
      <w:bookmarkStart w:id="236" w:name="_Toc476839034"/>
      <w:bookmarkStart w:id="237" w:name="_Toc4320"/>
      <w:r>
        <w:rPr>
          <w:rFonts w:hint="eastAsia" w:asciiTheme="minorEastAsia" w:hAnsiTheme="minorEastAsia" w:eastAsiaTheme="minorEastAsia" w:cstheme="minorEastAsia"/>
          <w:b/>
          <w:bCs/>
          <w:spacing w:val="6"/>
          <w:szCs w:val="21"/>
          <w:lang w:val="en-US" w:eastAsia="zh-CN"/>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2"/>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38" w:name="_Toc4952"/>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十七</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8"/>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9"/>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39" w:name="_Toc15506"/>
      <w:r>
        <w:rPr>
          <w:rFonts w:hint="eastAsia" w:asciiTheme="minorEastAsia" w:hAnsiTheme="minorEastAsia" w:eastAsiaTheme="minorEastAsia" w:cstheme="minorEastAsia"/>
          <w:b/>
          <w:lang w:val="en-US" w:eastAsia="zh-CN"/>
        </w:rPr>
        <w:t>十八、节能环保产品证明材料（若符合）</w:t>
      </w:r>
      <w:bookmarkEnd w:id="239"/>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40" w:name="_Toc11218"/>
      <w:r>
        <w:rPr>
          <w:rFonts w:hint="eastAsia" w:asciiTheme="minorEastAsia" w:hAnsiTheme="minorEastAsia" w:eastAsiaTheme="minorEastAsia" w:cstheme="minorEastAsia"/>
          <w:b/>
          <w:bCs/>
          <w:spacing w:val="6"/>
          <w:szCs w:val="21"/>
          <w:lang w:val="en-US" w:eastAsia="zh-CN"/>
        </w:rPr>
        <w:t>十九</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33"/>
      <w:bookmarkEnd w:id="234"/>
      <w:bookmarkEnd w:id="235"/>
      <w:bookmarkEnd w:id="236"/>
      <w:bookmarkEnd w:id="237"/>
      <w:bookmarkEnd w:id="240"/>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autoSpaceDE w:val="0"/>
        <w:autoSpaceDN w:val="0"/>
        <w:adjustRightInd w:val="0"/>
        <w:jc w:val="center"/>
        <w:rPr>
          <w:rFonts w:hint="eastAsia" w:asciiTheme="minorEastAsia" w:hAnsiTheme="minorEastAsia" w:eastAsiaTheme="minorEastAsia" w:cstheme="minorEastAsia"/>
          <w:szCs w:val="21"/>
        </w:rPr>
      </w:pPr>
    </w:p>
    <w:p>
      <w:pPr>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spacing w:line="360" w:lineRule="auto"/>
        <w:jc w:val="center"/>
        <w:outlineLvl w:val="1"/>
        <w:rPr>
          <w:rFonts w:hint="eastAsia"/>
        </w:rPr>
      </w:pPr>
      <w:r>
        <w:rPr>
          <w:rFonts w:hint="eastAsia" w:asciiTheme="minorEastAsia" w:hAnsiTheme="minorEastAsia" w:eastAsiaTheme="minorEastAsia" w:cstheme="minorEastAsia"/>
          <w:spacing w:val="6"/>
          <w:szCs w:val="21"/>
        </w:rPr>
        <w:br w:type="page"/>
      </w:r>
      <w:bookmarkStart w:id="241" w:name="_Toc11829"/>
      <w:r>
        <w:rPr>
          <w:rFonts w:hint="eastAsia" w:asciiTheme="minorEastAsia" w:hAnsiTheme="minorEastAsia" w:eastAsiaTheme="minorEastAsia" w:cstheme="minorEastAsia"/>
          <w:b/>
          <w:bCs/>
          <w:spacing w:val="6"/>
          <w:szCs w:val="21"/>
          <w:lang w:val="en-US" w:eastAsia="zh-CN"/>
        </w:rPr>
        <w:t>二十、参加本次政府采购活动前3年内发生诉讼及仲裁情况表</w:t>
      </w:r>
      <w:bookmarkEnd w:id="241"/>
    </w:p>
    <w:tbl>
      <w:tblPr>
        <w:tblStyle w:val="26"/>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诉</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讼</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仲</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裁</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 </w:t>
      </w:r>
    </w:p>
    <w:p>
      <w:pPr>
        <w:spacing w:line="360" w:lineRule="auto"/>
        <w:ind w:firstLine="420" w:firstLineChars="200"/>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hint="eastAsia" w:asciiTheme="minorEastAsia" w:hAnsiTheme="minorEastAsia" w:eastAsiaTheme="minorEastAsia" w:cstheme="minorEastAsia"/>
          <w:spacing w:val="6"/>
          <w:szCs w:val="21"/>
        </w:rPr>
      </w:pPr>
      <w:bookmarkStart w:id="242" w:name="_Toc17368"/>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42"/>
    </w:p>
    <w:sectPr>
      <w:footerReference r:id="rId9"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2051" o:spid="_x0000_s2051"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67</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E9607F2D"/>
    <w:multiLevelType w:val="singleLevel"/>
    <w:tmpl w:val="E9607F2D"/>
    <w:lvl w:ilvl="0" w:tentative="0">
      <w:start w:val="1"/>
      <w:numFmt w:val="chineseCounting"/>
      <w:suff w:val="nothing"/>
      <w:lvlText w:val="%1、"/>
      <w:lvlJc w:val="left"/>
      <w:rPr>
        <w:rFonts w:hint="eastAsia"/>
      </w:rPr>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2">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4">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7">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E9D22FB"/>
    <w:multiLevelType w:val="multilevel"/>
    <w:tmpl w:val="4E9D22F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1AA38A0"/>
    <w:multiLevelType w:val="multilevel"/>
    <w:tmpl w:val="51AA38A0"/>
    <w:lvl w:ilvl="0" w:tentative="0">
      <w:start w:val="1"/>
      <w:numFmt w:val="japaneseCounting"/>
      <w:lvlText w:val="%1．"/>
      <w:lvlJc w:val="left"/>
      <w:pPr>
        <w:tabs>
          <w:tab w:val="left" w:pos="1021"/>
        </w:tabs>
        <w:ind w:left="1021" w:hanging="480"/>
      </w:pPr>
      <w:rPr>
        <w:rFonts w:hint="default"/>
      </w:rPr>
    </w:lvl>
    <w:lvl w:ilvl="1" w:tentative="0">
      <w:start w:val="1"/>
      <w:numFmt w:val="lowerLetter"/>
      <w:lvlText w:val="%2)"/>
      <w:lvlJc w:val="left"/>
      <w:pPr>
        <w:tabs>
          <w:tab w:val="left" w:pos="1381"/>
        </w:tabs>
        <w:ind w:left="1381" w:hanging="420"/>
      </w:pPr>
    </w:lvl>
    <w:lvl w:ilvl="2" w:tentative="0">
      <w:start w:val="1"/>
      <w:numFmt w:val="lowerRoman"/>
      <w:lvlText w:val="%3."/>
      <w:lvlJc w:val="right"/>
      <w:pPr>
        <w:tabs>
          <w:tab w:val="left" w:pos="1801"/>
        </w:tabs>
        <w:ind w:left="1801" w:hanging="420"/>
      </w:pPr>
    </w:lvl>
    <w:lvl w:ilvl="3" w:tentative="0">
      <w:start w:val="1"/>
      <w:numFmt w:val="decimal"/>
      <w:lvlText w:val="%4."/>
      <w:lvlJc w:val="left"/>
      <w:pPr>
        <w:tabs>
          <w:tab w:val="left" w:pos="2221"/>
        </w:tabs>
        <w:ind w:left="2221" w:hanging="420"/>
      </w:pPr>
    </w:lvl>
    <w:lvl w:ilvl="4" w:tentative="0">
      <w:start w:val="1"/>
      <w:numFmt w:val="lowerLetter"/>
      <w:lvlText w:val="%5)"/>
      <w:lvlJc w:val="left"/>
      <w:pPr>
        <w:tabs>
          <w:tab w:val="left" w:pos="2641"/>
        </w:tabs>
        <w:ind w:left="2641" w:hanging="420"/>
      </w:pPr>
    </w:lvl>
    <w:lvl w:ilvl="5" w:tentative="0">
      <w:start w:val="1"/>
      <w:numFmt w:val="lowerRoman"/>
      <w:lvlText w:val="%6."/>
      <w:lvlJc w:val="right"/>
      <w:pPr>
        <w:tabs>
          <w:tab w:val="left" w:pos="3061"/>
        </w:tabs>
        <w:ind w:left="3061" w:hanging="420"/>
      </w:pPr>
    </w:lvl>
    <w:lvl w:ilvl="6" w:tentative="0">
      <w:start w:val="1"/>
      <w:numFmt w:val="decimal"/>
      <w:lvlText w:val="%7."/>
      <w:lvlJc w:val="left"/>
      <w:pPr>
        <w:tabs>
          <w:tab w:val="left" w:pos="3481"/>
        </w:tabs>
        <w:ind w:left="3481" w:hanging="420"/>
      </w:pPr>
    </w:lvl>
    <w:lvl w:ilvl="7" w:tentative="0">
      <w:start w:val="1"/>
      <w:numFmt w:val="lowerLetter"/>
      <w:lvlText w:val="%8)"/>
      <w:lvlJc w:val="left"/>
      <w:pPr>
        <w:tabs>
          <w:tab w:val="left" w:pos="3901"/>
        </w:tabs>
        <w:ind w:left="3901" w:hanging="420"/>
      </w:pPr>
    </w:lvl>
    <w:lvl w:ilvl="8" w:tentative="0">
      <w:start w:val="1"/>
      <w:numFmt w:val="lowerRoman"/>
      <w:lvlText w:val="%9."/>
      <w:lvlJc w:val="right"/>
      <w:pPr>
        <w:tabs>
          <w:tab w:val="left" w:pos="4321"/>
        </w:tabs>
        <w:ind w:left="4321" w:hanging="420"/>
      </w:pPr>
    </w:lvl>
  </w:abstractNum>
  <w:abstractNum w:abstractNumId="31">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3">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4">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9">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1">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75C1363E"/>
    <w:multiLevelType w:val="multilevel"/>
    <w:tmpl w:val="75C136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5">
    <w:nsid w:val="762E21D5"/>
    <w:multiLevelType w:val="multilevel"/>
    <w:tmpl w:val="762E21D5"/>
    <w:lvl w:ilvl="0" w:tentative="0">
      <w:start w:val="10"/>
      <w:numFmt w:val="decimal"/>
      <w:suff w:val="nothing"/>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8">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9"/>
  </w:num>
  <w:num w:numId="2">
    <w:abstractNumId w:val="11"/>
  </w:num>
  <w:num w:numId="3">
    <w:abstractNumId w:val="18"/>
  </w:num>
  <w:num w:numId="4">
    <w:abstractNumId w:val="27"/>
  </w:num>
  <w:num w:numId="5">
    <w:abstractNumId w:val="13"/>
  </w:num>
  <w:num w:numId="6">
    <w:abstractNumId w:val="2"/>
  </w:num>
  <w:num w:numId="7">
    <w:abstractNumId w:val="33"/>
  </w:num>
  <w:num w:numId="8">
    <w:abstractNumId w:val="15"/>
  </w:num>
  <w:num w:numId="9">
    <w:abstractNumId w:val="9"/>
  </w:num>
  <w:num w:numId="10">
    <w:abstractNumId w:val="14"/>
  </w:num>
  <w:num w:numId="11">
    <w:abstractNumId w:val="35"/>
  </w:num>
  <w:num w:numId="12">
    <w:abstractNumId w:val="47"/>
  </w:num>
  <w:num w:numId="13">
    <w:abstractNumId w:val="48"/>
  </w:num>
  <w:num w:numId="14">
    <w:abstractNumId w:val="26"/>
  </w:num>
  <w:num w:numId="15">
    <w:abstractNumId w:val="31"/>
  </w:num>
  <w:num w:numId="16">
    <w:abstractNumId w:val="34"/>
  </w:num>
  <w:num w:numId="17">
    <w:abstractNumId w:val="36"/>
  </w:num>
  <w:num w:numId="18">
    <w:abstractNumId w:val="4"/>
  </w:num>
  <w:num w:numId="19">
    <w:abstractNumId w:val="38"/>
  </w:num>
  <w:num w:numId="20">
    <w:abstractNumId w:val="6"/>
  </w:num>
  <w:num w:numId="21">
    <w:abstractNumId w:val="24"/>
  </w:num>
  <w:num w:numId="22">
    <w:abstractNumId w:val="20"/>
  </w:num>
  <w:num w:numId="23">
    <w:abstractNumId w:val="41"/>
  </w:num>
  <w:num w:numId="24">
    <w:abstractNumId w:val="12"/>
  </w:num>
  <w:num w:numId="25">
    <w:abstractNumId w:val="25"/>
  </w:num>
  <w:num w:numId="26">
    <w:abstractNumId w:val="8"/>
  </w:num>
  <w:num w:numId="27">
    <w:abstractNumId w:val="40"/>
  </w:num>
  <w:num w:numId="28">
    <w:abstractNumId w:val="46"/>
  </w:num>
  <w:num w:numId="29">
    <w:abstractNumId w:val="29"/>
  </w:num>
  <w:num w:numId="30">
    <w:abstractNumId w:val="22"/>
  </w:num>
  <w:num w:numId="31">
    <w:abstractNumId w:val="10"/>
  </w:num>
  <w:num w:numId="32">
    <w:abstractNumId w:val="19"/>
  </w:num>
  <w:num w:numId="33">
    <w:abstractNumId w:val="44"/>
  </w:num>
  <w:num w:numId="34">
    <w:abstractNumId w:val="23"/>
  </w:num>
  <w:num w:numId="35">
    <w:abstractNumId w:val="28"/>
  </w:num>
  <w:num w:numId="36">
    <w:abstractNumId w:val="42"/>
  </w:num>
  <w:num w:numId="37">
    <w:abstractNumId w:val="45"/>
  </w:num>
  <w:num w:numId="38">
    <w:abstractNumId w:val="1"/>
  </w:num>
  <w:num w:numId="39">
    <w:abstractNumId w:val="43"/>
  </w:num>
  <w:num w:numId="40">
    <w:abstractNumId w:val="37"/>
  </w:num>
  <w:num w:numId="41">
    <w:abstractNumId w:val="30"/>
  </w:num>
  <w:num w:numId="42">
    <w:abstractNumId w:val="16"/>
  </w:num>
  <w:num w:numId="43">
    <w:abstractNumId w:val="32"/>
  </w:num>
  <w:num w:numId="44">
    <w:abstractNumId w:val="3"/>
  </w:num>
  <w:num w:numId="45">
    <w:abstractNumId w:val="17"/>
  </w:num>
  <w:num w:numId="46">
    <w:abstractNumId w:val="21"/>
  </w:num>
  <w:num w:numId="47">
    <w:abstractNumId w:val="7"/>
  </w:num>
  <w:num w:numId="48">
    <w:abstractNumId w:val="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A9706C"/>
    <w:rsid w:val="02DE374B"/>
    <w:rsid w:val="03044359"/>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A417BB"/>
    <w:rsid w:val="06B7286F"/>
    <w:rsid w:val="06C116BD"/>
    <w:rsid w:val="06C767F8"/>
    <w:rsid w:val="06EA2FBD"/>
    <w:rsid w:val="06ED1770"/>
    <w:rsid w:val="06FE4AAE"/>
    <w:rsid w:val="070157D1"/>
    <w:rsid w:val="07117CDC"/>
    <w:rsid w:val="07354BE2"/>
    <w:rsid w:val="07506DDE"/>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65448"/>
    <w:rsid w:val="0A502EA2"/>
    <w:rsid w:val="0A5758F7"/>
    <w:rsid w:val="0A67144A"/>
    <w:rsid w:val="0A71618F"/>
    <w:rsid w:val="0A7E1671"/>
    <w:rsid w:val="0AC16F66"/>
    <w:rsid w:val="0B435CD5"/>
    <w:rsid w:val="0B456825"/>
    <w:rsid w:val="0B4B17AC"/>
    <w:rsid w:val="0B4C1B40"/>
    <w:rsid w:val="0B4F5787"/>
    <w:rsid w:val="0B625354"/>
    <w:rsid w:val="0B6438A9"/>
    <w:rsid w:val="0BC22757"/>
    <w:rsid w:val="0BD0342B"/>
    <w:rsid w:val="0BE3070D"/>
    <w:rsid w:val="0C367BBD"/>
    <w:rsid w:val="0C3C4113"/>
    <w:rsid w:val="0C4225D4"/>
    <w:rsid w:val="0C49239C"/>
    <w:rsid w:val="0C4E57C8"/>
    <w:rsid w:val="0C7336D0"/>
    <w:rsid w:val="0CC36F40"/>
    <w:rsid w:val="0CF02600"/>
    <w:rsid w:val="0D162766"/>
    <w:rsid w:val="0D18185D"/>
    <w:rsid w:val="0D30615A"/>
    <w:rsid w:val="0D50445B"/>
    <w:rsid w:val="0D7807F1"/>
    <w:rsid w:val="0D895A46"/>
    <w:rsid w:val="0D9B67EB"/>
    <w:rsid w:val="0DC53FF4"/>
    <w:rsid w:val="0DE86CEC"/>
    <w:rsid w:val="0E0A51BD"/>
    <w:rsid w:val="0E141CA7"/>
    <w:rsid w:val="0E386D2E"/>
    <w:rsid w:val="0E442D5B"/>
    <w:rsid w:val="0E4E7B59"/>
    <w:rsid w:val="0E6E5960"/>
    <w:rsid w:val="0EAE4301"/>
    <w:rsid w:val="0ED27024"/>
    <w:rsid w:val="0ED94F19"/>
    <w:rsid w:val="0EDC5EDB"/>
    <w:rsid w:val="0F1B0DB7"/>
    <w:rsid w:val="0F3425BB"/>
    <w:rsid w:val="0F6C7EA7"/>
    <w:rsid w:val="0FA03F81"/>
    <w:rsid w:val="0FC5121F"/>
    <w:rsid w:val="0FC52200"/>
    <w:rsid w:val="0FC57219"/>
    <w:rsid w:val="0FF11896"/>
    <w:rsid w:val="0FF743B8"/>
    <w:rsid w:val="104114BC"/>
    <w:rsid w:val="104F21E7"/>
    <w:rsid w:val="10522A43"/>
    <w:rsid w:val="105950B7"/>
    <w:rsid w:val="10681B45"/>
    <w:rsid w:val="10915706"/>
    <w:rsid w:val="10D545EB"/>
    <w:rsid w:val="10E51E7E"/>
    <w:rsid w:val="1109548A"/>
    <w:rsid w:val="11156035"/>
    <w:rsid w:val="111F2499"/>
    <w:rsid w:val="11296D36"/>
    <w:rsid w:val="1146103D"/>
    <w:rsid w:val="116C7384"/>
    <w:rsid w:val="12305D0B"/>
    <w:rsid w:val="124B307E"/>
    <w:rsid w:val="12595354"/>
    <w:rsid w:val="12676ACE"/>
    <w:rsid w:val="128C79F5"/>
    <w:rsid w:val="12987FD1"/>
    <w:rsid w:val="12D57C7C"/>
    <w:rsid w:val="12DE2F04"/>
    <w:rsid w:val="12F453F7"/>
    <w:rsid w:val="134B6C2D"/>
    <w:rsid w:val="135A65CD"/>
    <w:rsid w:val="13681291"/>
    <w:rsid w:val="139A72A6"/>
    <w:rsid w:val="13D75C16"/>
    <w:rsid w:val="141A71FC"/>
    <w:rsid w:val="14393E39"/>
    <w:rsid w:val="1439492C"/>
    <w:rsid w:val="144E282E"/>
    <w:rsid w:val="14905D77"/>
    <w:rsid w:val="14C13D98"/>
    <w:rsid w:val="14C818C6"/>
    <w:rsid w:val="14D17473"/>
    <w:rsid w:val="14D2285A"/>
    <w:rsid w:val="14F848F0"/>
    <w:rsid w:val="1533008F"/>
    <w:rsid w:val="153D3401"/>
    <w:rsid w:val="15404178"/>
    <w:rsid w:val="155142E7"/>
    <w:rsid w:val="15855A36"/>
    <w:rsid w:val="158E06A1"/>
    <w:rsid w:val="15932B1E"/>
    <w:rsid w:val="15AF36C0"/>
    <w:rsid w:val="15D73E4B"/>
    <w:rsid w:val="15EE7CEF"/>
    <w:rsid w:val="160D691C"/>
    <w:rsid w:val="16333435"/>
    <w:rsid w:val="16391530"/>
    <w:rsid w:val="16550678"/>
    <w:rsid w:val="166C136C"/>
    <w:rsid w:val="168C0198"/>
    <w:rsid w:val="16C6539F"/>
    <w:rsid w:val="16C83962"/>
    <w:rsid w:val="16ED23AA"/>
    <w:rsid w:val="173E2364"/>
    <w:rsid w:val="173E4E07"/>
    <w:rsid w:val="1761710C"/>
    <w:rsid w:val="17812612"/>
    <w:rsid w:val="1789592C"/>
    <w:rsid w:val="17901A85"/>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80316"/>
    <w:rsid w:val="199E02FC"/>
    <w:rsid w:val="19BA1CE3"/>
    <w:rsid w:val="19DF55C2"/>
    <w:rsid w:val="1A0C61A8"/>
    <w:rsid w:val="1A132F57"/>
    <w:rsid w:val="1A300E03"/>
    <w:rsid w:val="1A5F760F"/>
    <w:rsid w:val="1A6F3E95"/>
    <w:rsid w:val="1A6F6E85"/>
    <w:rsid w:val="1AD22ED2"/>
    <w:rsid w:val="1AD51B88"/>
    <w:rsid w:val="1B1C52A4"/>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6FC7"/>
    <w:rsid w:val="1D9F4A19"/>
    <w:rsid w:val="1DA05599"/>
    <w:rsid w:val="1DAB519B"/>
    <w:rsid w:val="1DC65420"/>
    <w:rsid w:val="1DC94DC3"/>
    <w:rsid w:val="1DD04ECF"/>
    <w:rsid w:val="1E0649A4"/>
    <w:rsid w:val="1E474E6F"/>
    <w:rsid w:val="1E61476C"/>
    <w:rsid w:val="1E6843C7"/>
    <w:rsid w:val="1EA60FCA"/>
    <w:rsid w:val="1EA87417"/>
    <w:rsid w:val="1ED70A99"/>
    <w:rsid w:val="1F253E48"/>
    <w:rsid w:val="1F35766F"/>
    <w:rsid w:val="1F65672E"/>
    <w:rsid w:val="1F6B4880"/>
    <w:rsid w:val="1F6D18D3"/>
    <w:rsid w:val="1F855EC8"/>
    <w:rsid w:val="1F865B87"/>
    <w:rsid w:val="1F8D0E35"/>
    <w:rsid w:val="1FB611E4"/>
    <w:rsid w:val="1FBA2E91"/>
    <w:rsid w:val="1FC02D54"/>
    <w:rsid w:val="1FD92D82"/>
    <w:rsid w:val="1FEE1F52"/>
    <w:rsid w:val="205C147C"/>
    <w:rsid w:val="20950348"/>
    <w:rsid w:val="20981E88"/>
    <w:rsid w:val="20A10137"/>
    <w:rsid w:val="20B97750"/>
    <w:rsid w:val="20BD2343"/>
    <w:rsid w:val="20C125E5"/>
    <w:rsid w:val="20F77EBA"/>
    <w:rsid w:val="20FE0571"/>
    <w:rsid w:val="212F48FD"/>
    <w:rsid w:val="216135E4"/>
    <w:rsid w:val="21B23C30"/>
    <w:rsid w:val="21D5663A"/>
    <w:rsid w:val="220D5F91"/>
    <w:rsid w:val="220F017A"/>
    <w:rsid w:val="223D6488"/>
    <w:rsid w:val="22477A04"/>
    <w:rsid w:val="224F423C"/>
    <w:rsid w:val="227710AB"/>
    <w:rsid w:val="229B4E78"/>
    <w:rsid w:val="22C77F82"/>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3E250C"/>
    <w:rsid w:val="24474E0A"/>
    <w:rsid w:val="244E4AD0"/>
    <w:rsid w:val="246B4679"/>
    <w:rsid w:val="249900C5"/>
    <w:rsid w:val="24BF7D42"/>
    <w:rsid w:val="255D2F2A"/>
    <w:rsid w:val="256C5A3D"/>
    <w:rsid w:val="257963F1"/>
    <w:rsid w:val="25A7402B"/>
    <w:rsid w:val="25FE15DC"/>
    <w:rsid w:val="26806C09"/>
    <w:rsid w:val="26863962"/>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F3244"/>
    <w:rsid w:val="295F6F3A"/>
    <w:rsid w:val="2978542E"/>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6E542D"/>
    <w:rsid w:val="2BBC0B01"/>
    <w:rsid w:val="2BEB27E3"/>
    <w:rsid w:val="2BEB2E9D"/>
    <w:rsid w:val="2BF61207"/>
    <w:rsid w:val="2C083687"/>
    <w:rsid w:val="2C1713D1"/>
    <w:rsid w:val="2C2E6F83"/>
    <w:rsid w:val="2C620007"/>
    <w:rsid w:val="2CD367CC"/>
    <w:rsid w:val="2CDD2B9E"/>
    <w:rsid w:val="2D09394F"/>
    <w:rsid w:val="2D571301"/>
    <w:rsid w:val="2D6345E9"/>
    <w:rsid w:val="2D7E4209"/>
    <w:rsid w:val="2D9B288E"/>
    <w:rsid w:val="2DBD42B5"/>
    <w:rsid w:val="2DCB5DC1"/>
    <w:rsid w:val="2DCE5309"/>
    <w:rsid w:val="2DD0754E"/>
    <w:rsid w:val="2DE2242A"/>
    <w:rsid w:val="2E4225F7"/>
    <w:rsid w:val="2E463849"/>
    <w:rsid w:val="2E5A5340"/>
    <w:rsid w:val="2E6E73D5"/>
    <w:rsid w:val="2E81141D"/>
    <w:rsid w:val="2E9A7ADA"/>
    <w:rsid w:val="2F1B0798"/>
    <w:rsid w:val="2F4F0438"/>
    <w:rsid w:val="2F506BFB"/>
    <w:rsid w:val="2F7E2CC0"/>
    <w:rsid w:val="2F89004D"/>
    <w:rsid w:val="2F921764"/>
    <w:rsid w:val="2F98405A"/>
    <w:rsid w:val="2FD11EB8"/>
    <w:rsid w:val="2FD17C99"/>
    <w:rsid w:val="30211463"/>
    <w:rsid w:val="303D5772"/>
    <w:rsid w:val="306E40F7"/>
    <w:rsid w:val="306F4499"/>
    <w:rsid w:val="30B15581"/>
    <w:rsid w:val="30B93848"/>
    <w:rsid w:val="30BE1DE8"/>
    <w:rsid w:val="31253510"/>
    <w:rsid w:val="313177AD"/>
    <w:rsid w:val="31341EAD"/>
    <w:rsid w:val="31423CC5"/>
    <w:rsid w:val="3157256E"/>
    <w:rsid w:val="31665B97"/>
    <w:rsid w:val="31854B7E"/>
    <w:rsid w:val="31E86EE4"/>
    <w:rsid w:val="31FD6157"/>
    <w:rsid w:val="32171B71"/>
    <w:rsid w:val="322B53E9"/>
    <w:rsid w:val="325C1673"/>
    <w:rsid w:val="32915ABA"/>
    <w:rsid w:val="329C1497"/>
    <w:rsid w:val="32D72576"/>
    <w:rsid w:val="32D93319"/>
    <w:rsid w:val="330D0307"/>
    <w:rsid w:val="332C3D97"/>
    <w:rsid w:val="3360351F"/>
    <w:rsid w:val="33620CB2"/>
    <w:rsid w:val="3371657C"/>
    <w:rsid w:val="33B17CDB"/>
    <w:rsid w:val="33E04B57"/>
    <w:rsid w:val="33F52D07"/>
    <w:rsid w:val="33FA7456"/>
    <w:rsid w:val="34024883"/>
    <w:rsid w:val="342C6E98"/>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5B1C96"/>
    <w:rsid w:val="3660345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B72EB1"/>
    <w:rsid w:val="37C806F3"/>
    <w:rsid w:val="37C85C3C"/>
    <w:rsid w:val="37CF1603"/>
    <w:rsid w:val="38585500"/>
    <w:rsid w:val="385D1C71"/>
    <w:rsid w:val="386038B3"/>
    <w:rsid w:val="388E1434"/>
    <w:rsid w:val="38BA5460"/>
    <w:rsid w:val="38C62FF5"/>
    <w:rsid w:val="38D62476"/>
    <w:rsid w:val="38E27127"/>
    <w:rsid w:val="39027E88"/>
    <w:rsid w:val="39075875"/>
    <w:rsid w:val="391904A1"/>
    <w:rsid w:val="391C718D"/>
    <w:rsid w:val="39354161"/>
    <w:rsid w:val="394D30B0"/>
    <w:rsid w:val="39624091"/>
    <w:rsid w:val="397C6037"/>
    <w:rsid w:val="39D43B66"/>
    <w:rsid w:val="39E07E9A"/>
    <w:rsid w:val="39EC03FA"/>
    <w:rsid w:val="39F924A6"/>
    <w:rsid w:val="3A1D058F"/>
    <w:rsid w:val="3A1E303B"/>
    <w:rsid w:val="3A1F74C9"/>
    <w:rsid w:val="3A2A1F54"/>
    <w:rsid w:val="3A2D40D1"/>
    <w:rsid w:val="3A314B02"/>
    <w:rsid w:val="3A5C2602"/>
    <w:rsid w:val="3A79657B"/>
    <w:rsid w:val="3A8B77C7"/>
    <w:rsid w:val="3A9A32EA"/>
    <w:rsid w:val="3AAC573D"/>
    <w:rsid w:val="3ACD391F"/>
    <w:rsid w:val="3B026D00"/>
    <w:rsid w:val="3B1471CB"/>
    <w:rsid w:val="3B655681"/>
    <w:rsid w:val="3B6C4553"/>
    <w:rsid w:val="3B6F3ABC"/>
    <w:rsid w:val="3B7527F4"/>
    <w:rsid w:val="3B8F7266"/>
    <w:rsid w:val="3BAA143A"/>
    <w:rsid w:val="3BC378A6"/>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82DCA"/>
    <w:rsid w:val="3F9B2842"/>
    <w:rsid w:val="3FD12D26"/>
    <w:rsid w:val="3FDE4917"/>
    <w:rsid w:val="402F3ADF"/>
    <w:rsid w:val="40306F5A"/>
    <w:rsid w:val="40476BB3"/>
    <w:rsid w:val="40546FB6"/>
    <w:rsid w:val="40554803"/>
    <w:rsid w:val="407A60D5"/>
    <w:rsid w:val="40961808"/>
    <w:rsid w:val="40AB4DEE"/>
    <w:rsid w:val="40D24BBE"/>
    <w:rsid w:val="40EC4043"/>
    <w:rsid w:val="41166469"/>
    <w:rsid w:val="412008E0"/>
    <w:rsid w:val="413A6D3B"/>
    <w:rsid w:val="41515AC7"/>
    <w:rsid w:val="41902B9F"/>
    <w:rsid w:val="41A66510"/>
    <w:rsid w:val="41C02331"/>
    <w:rsid w:val="41C13A63"/>
    <w:rsid w:val="41C67037"/>
    <w:rsid w:val="41D229E1"/>
    <w:rsid w:val="41EC6E94"/>
    <w:rsid w:val="41F72149"/>
    <w:rsid w:val="42310D45"/>
    <w:rsid w:val="42415ACC"/>
    <w:rsid w:val="427D539F"/>
    <w:rsid w:val="42991E30"/>
    <w:rsid w:val="42CE0B28"/>
    <w:rsid w:val="42CF6367"/>
    <w:rsid w:val="42DE1CCC"/>
    <w:rsid w:val="4308546B"/>
    <w:rsid w:val="43137528"/>
    <w:rsid w:val="43263445"/>
    <w:rsid w:val="434157E3"/>
    <w:rsid w:val="43494860"/>
    <w:rsid w:val="434D380E"/>
    <w:rsid w:val="43934189"/>
    <w:rsid w:val="439D4850"/>
    <w:rsid w:val="43C27232"/>
    <w:rsid w:val="43ED069F"/>
    <w:rsid w:val="442A6E5A"/>
    <w:rsid w:val="4449408F"/>
    <w:rsid w:val="445C4B8F"/>
    <w:rsid w:val="44833851"/>
    <w:rsid w:val="44982752"/>
    <w:rsid w:val="44BF6F86"/>
    <w:rsid w:val="44C45031"/>
    <w:rsid w:val="44D53AB2"/>
    <w:rsid w:val="44F27B0D"/>
    <w:rsid w:val="45485BDE"/>
    <w:rsid w:val="45945C30"/>
    <w:rsid w:val="459F2306"/>
    <w:rsid w:val="45A832FE"/>
    <w:rsid w:val="45AB6174"/>
    <w:rsid w:val="45BA63E5"/>
    <w:rsid w:val="45CC5EDC"/>
    <w:rsid w:val="45F73D47"/>
    <w:rsid w:val="462D2575"/>
    <w:rsid w:val="46467FD8"/>
    <w:rsid w:val="46601D33"/>
    <w:rsid w:val="4666746C"/>
    <w:rsid w:val="467505FA"/>
    <w:rsid w:val="467B6008"/>
    <w:rsid w:val="468720BA"/>
    <w:rsid w:val="46895AFC"/>
    <w:rsid w:val="46BC623F"/>
    <w:rsid w:val="46D855B9"/>
    <w:rsid w:val="470D2C74"/>
    <w:rsid w:val="477570F1"/>
    <w:rsid w:val="47AD33FA"/>
    <w:rsid w:val="47B41AAA"/>
    <w:rsid w:val="47CD38AD"/>
    <w:rsid w:val="47DB16D8"/>
    <w:rsid w:val="481726F3"/>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9F50AAE"/>
    <w:rsid w:val="4A2945F2"/>
    <w:rsid w:val="4A615154"/>
    <w:rsid w:val="4A96607C"/>
    <w:rsid w:val="4AB92E92"/>
    <w:rsid w:val="4B2134B8"/>
    <w:rsid w:val="4B24233C"/>
    <w:rsid w:val="4B2471EE"/>
    <w:rsid w:val="4B330A0B"/>
    <w:rsid w:val="4B5E55F9"/>
    <w:rsid w:val="4B685D82"/>
    <w:rsid w:val="4B7B4674"/>
    <w:rsid w:val="4B7C663B"/>
    <w:rsid w:val="4B812078"/>
    <w:rsid w:val="4BF71347"/>
    <w:rsid w:val="4BF97932"/>
    <w:rsid w:val="4C141E75"/>
    <w:rsid w:val="4C2A4039"/>
    <w:rsid w:val="4CAE60E3"/>
    <w:rsid w:val="4CEE1D13"/>
    <w:rsid w:val="4CFC44AB"/>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0C3F93"/>
    <w:rsid w:val="4E1D26B7"/>
    <w:rsid w:val="4E1F052C"/>
    <w:rsid w:val="4E451D41"/>
    <w:rsid w:val="4E7A454C"/>
    <w:rsid w:val="4E820B4C"/>
    <w:rsid w:val="4E85341C"/>
    <w:rsid w:val="4E8C09B2"/>
    <w:rsid w:val="4E9B7B12"/>
    <w:rsid w:val="4EC47712"/>
    <w:rsid w:val="4EDD3C61"/>
    <w:rsid w:val="4EF1457F"/>
    <w:rsid w:val="4F2C40A0"/>
    <w:rsid w:val="4F2F3B98"/>
    <w:rsid w:val="4F380B7A"/>
    <w:rsid w:val="4F424B82"/>
    <w:rsid w:val="4F4B0CB3"/>
    <w:rsid w:val="4F4F0EBF"/>
    <w:rsid w:val="4F8071B1"/>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221B66"/>
    <w:rsid w:val="513F19B5"/>
    <w:rsid w:val="51615030"/>
    <w:rsid w:val="51627812"/>
    <w:rsid w:val="516C0ACA"/>
    <w:rsid w:val="51D33F6D"/>
    <w:rsid w:val="51DB1448"/>
    <w:rsid w:val="52045DB4"/>
    <w:rsid w:val="522C275E"/>
    <w:rsid w:val="529000F6"/>
    <w:rsid w:val="5296149A"/>
    <w:rsid w:val="52A6567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A01FAE"/>
    <w:rsid w:val="54AC3148"/>
    <w:rsid w:val="54C0256E"/>
    <w:rsid w:val="54C334B7"/>
    <w:rsid w:val="54D4667D"/>
    <w:rsid w:val="54D55C56"/>
    <w:rsid w:val="54EC389B"/>
    <w:rsid w:val="54F847D9"/>
    <w:rsid w:val="55126190"/>
    <w:rsid w:val="555F3833"/>
    <w:rsid w:val="55667780"/>
    <w:rsid w:val="556E493A"/>
    <w:rsid w:val="55941D63"/>
    <w:rsid w:val="559C0CE1"/>
    <w:rsid w:val="55B42D88"/>
    <w:rsid w:val="55D11119"/>
    <w:rsid w:val="55DB1F79"/>
    <w:rsid w:val="560A42BD"/>
    <w:rsid w:val="560C1D89"/>
    <w:rsid w:val="56353B20"/>
    <w:rsid w:val="56443B98"/>
    <w:rsid w:val="56453A77"/>
    <w:rsid w:val="56757259"/>
    <w:rsid w:val="568B7EB7"/>
    <w:rsid w:val="56BC078F"/>
    <w:rsid w:val="56CB4BCB"/>
    <w:rsid w:val="56FB75FE"/>
    <w:rsid w:val="57391A95"/>
    <w:rsid w:val="573F3C9E"/>
    <w:rsid w:val="574C52C4"/>
    <w:rsid w:val="57526FDB"/>
    <w:rsid w:val="57572F35"/>
    <w:rsid w:val="575B33A4"/>
    <w:rsid w:val="57674A5D"/>
    <w:rsid w:val="57C90530"/>
    <w:rsid w:val="57CE0836"/>
    <w:rsid w:val="582F44F7"/>
    <w:rsid w:val="583F27F2"/>
    <w:rsid w:val="58455B6D"/>
    <w:rsid w:val="584D29B0"/>
    <w:rsid w:val="584F7C49"/>
    <w:rsid w:val="5888302C"/>
    <w:rsid w:val="5889129A"/>
    <w:rsid w:val="58AD528C"/>
    <w:rsid w:val="58B31955"/>
    <w:rsid w:val="58BA45A1"/>
    <w:rsid w:val="594F6915"/>
    <w:rsid w:val="59737A65"/>
    <w:rsid w:val="59842DF4"/>
    <w:rsid w:val="59A0359A"/>
    <w:rsid w:val="59E52D9A"/>
    <w:rsid w:val="5A300449"/>
    <w:rsid w:val="5A482DEE"/>
    <w:rsid w:val="5A55295D"/>
    <w:rsid w:val="5A7E104A"/>
    <w:rsid w:val="5A8208A0"/>
    <w:rsid w:val="5A861FD5"/>
    <w:rsid w:val="5AE3253A"/>
    <w:rsid w:val="5AEA30C9"/>
    <w:rsid w:val="5AEA3475"/>
    <w:rsid w:val="5AF54C6B"/>
    <w:rsid w:val="5B087B94"/>
    <w:rsid w:val="5B0C2FBE"/>
    <w:rsid w:val="5B0E3E89"/>
    <w:rsid w:val="5B124740"/>
    <w:rsid w:val="5B31434D"/>
    <w:rsid w:val="5B3F66E7"/>
    <w:rsid w:val="5B872AE6"/>
    <w:rsid w:val="5BA77753"/>
    <w:rsid w:val="5BC025EF"/>
    <w:rsid w:val="5C1203C7"/>
    <w:rsid w:val="5C1F35AE"/>
    <w:rsid w:val="5C3905BF"/>
    <w:rsid w:val="5C66397A"/>
    <w:rsid w:val="5C7349B6"/>
    <w:rsid w:val="5C824C05"/>
    <w:rsid w:val="5C8725EE"/>
    <w:rsid w:val="5CA22492"/>
    <w:rsid w:val="5CB0251A"/>
    <w:rsid w:val="5CB97030"/>
    <w:rsid w:val="5CC97332"/>
    <w:rsid w:val="5D187049"/>
    <w:rsid w:val="5D1D2427"/>
    <w:rsid w:val="5D756277"/>
    <w:rsid w:val="5D955FBD"/>
    <w:rsid w:val="5DA62524"/>
    <w:rsid w:val="5DAC3919"/>
    <w:rsid w:val="5DB36259"/>
    <w:rsid w:val="5DBD33B2"/>
    <w:rsid w:val="5DC223CB"/>
    <w:rsid w:val="5DF66637"/>
    <w:rsid w:val="5DFF6858"/>
    <w:rsid w:val="5E185132"/>
    <w:rsid w:val="5E2A0167"/>
    <w:rsid w:val="5E5D68E8"/>
    <w:rsid w:val="5E802A96"/>
    <w:rsid w:val="5E9074FF"/>
    <w:rsid w:val="5EAE1AF2"/>
    <w:rsid w:val="5EB62A77"/>
    <w:rsid w:val="5EB80355"/>
    <w:rsid w:val="5EBB2226"/>
    <w:rsid w:val="5EBE5F24"/>
    <w:rsid w:val="5EF07004"/>
    <w:rsid w:val="5F0E1E9A"/>
    <w:rsid w:val="5F860C23"/>
    <w:rsid w:val="5FC44411"/>
    <w:rsid w:val="605C7AA6"/>
    <w:rsid w:val="605F132B"/>
    <w:rsid w:val="608510A4"/>
    <w:rsid w:val="608762FF"/>
    <w:rsid w:val="609E1C45"/>
    <w:rsid w:val="60BD4FD1"/>
    <w:rsid w:val="60D507D0"/>
    <w:rsid w:val="60EA1511"/>
    <w:rsid w:val="60EB6C34"/>
    <w:rsid w:val="60FD5C7B"/>
    <w:rsid w:val="613D7E7B"/>
    <w:rsid w:val="617162E9"/>
    <w:rsid w:val="61A52BAA"/>
    <w:rsid w:val="61FA0AE4"/>
    <w:rsid w:val="623438BB"/>
    <w:rsid w:val="624B10F0"/>
    <w:rsid w:val="624F3E48"/>
    <w:rsid w:val="62635981"/>
    <w:rsid w:val="6298286E"/>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562840"/>
    <w:rsid w:val="637141EC"/>
    <w:rsid w:val="63805B1F"/>
    <w:rsid w:val="63834973"/>
    <w:rsid w:val="638F3DC7"/>
    <w:rsid w:val="6397194C"/>
    <w:rsid w:val="63DA4B5E"/>
    <w:rsid w:val="64273E62"/>
    <w:rsid w:val="642E2892"/>
    <w:rsid w:val="64AD7C37"/>
    <w:rsid w:val="64B05758"/>
    <w:rsid w:val="64BE4B0D"/>
    <w:rsid w:val="65075A96"/>
    <w:rsid w:val="650E600B"/>
    <w:rsid w:val="650F0C7B"/>
    <w:rsid w:val="65B221E6"/>
    <w:rsid w:val="65DA1404"/>
    <w:rsid w:val="662000A5"/>
    <w:rsid w:val="66426031"/>
    <w:rsid w:val="66593B74"/>
    <w:rsid w:val="665D2DD8"/>
    <w:rsid w:val="66651C8A"/>
    <w:rsid w:val="66675176"/>
    <w:rsid w:val="669F2C65"/>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136AFB"/>
    <w:rsid w:val="6929374C"/>
    <w:rsid w:val="692F20BB"/>
    <w:rsid w:val="69784C3F"/>
    <w:rsid w:val="69C1095D"/>
    <w:rsid w:val="6A0138F7"/>
    <w:rsid w:val="6A1E155A"/>
    <w:rsid w:val="6A7B5447"/>
    <w:rsid w:val="6ADB012D"/>
    <w:rsid w:val="6AE3748E"/>
    <w:rsid w:val="6AF53FAE"/>
    <w:rsid w:val="6B1C3EC6"/>
    <w:rsid w:val="6B574638"/>
    <w:rsid w:val="6B615C8D"/>
    <w:rsid w:val="6B67068F"/>
    <w:rsid w:val="6B6E2E8D"/>
    <w:rsid w:val="6BAB6FBB"/>
    <w:rsid w:val="6BB568D4"/>
    <w:rsid w:val="6BDF79C7"/>
    <w:rsid w:val="6BE146ED"/>
    <w:rsid w:val="6C0B074D"/>
    <w:rsid w:val="6C1458EF"/>
    <w:rsid w:val="6C231806"/>
    <w:rsid w:val="6C275F8B"/>
    <w:rsid w:val="6C3B15FF"/>
    <w:rsid w:val="6C3B431E"/>
    <w:rsid w:val="6C3E5116"/>
    <w:rsid w:val="6C725FD7"/>
    <w:rsid w:val="6C852D02"/>
    <w:rsid w:val="6CEA2C90"/>
    <w:rsid w:val="6CFA5C74"/>
    <w:rsid w:val="6CFE7F19"/>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768E"/>
    <w:rsid w:val="6EA14900"/>
    <w:rsid w:val="6EB27AA3"/>
    <w:rsid w:val="6EBF7033"/>
    <w:rsid w:val="6EF9461D"/>
    <w:rsid w:val="6F1348E9"/>
    <w:rsid w:val="6F2A01FE"/>
    <w:rsid w:val="6F2A71A4"/>
    <w:rsid w:val="6F9415EA"/>
    <w:rsid w:val="6FB72F84"/>
    <w:rsid w:val="6FCA5E7C"/>
    <w:rsid w:val="6FE3419F"/>
    <w:rsid w:val="6FF778F1"/>
    <w:rsid w:val="700346D4"/>
    <w:rsid w:val="700972F0"/>
    <w:rsid w:val="70287F2C"/>
    <w:rsid w:val="7034623E"/>
    <w:rsid w:val="704B2A8C"/>
    <w:rsid w:val="70AF69EB"/>
    <w:rsid w:val="70F97D93"/>
    <w:rsid w:val="7114307C"/>
    <w:rsid w:val="71181113"/>
    <w:rsid w:val="711D7CA6"/>
    <w:rsid w:val="71227E63"/>
    <w:rsid w:val="71614B6B"/>
    <w:rsid w:val="718D2905"/>
    <w:rsid w:val="719909D2"/>
    <w:rsid w:val="719B61D4"/>
    <w:rsid w:val="71A10922"/>
    <w:rsid w:val="71D214DD"/>
    <w:rsid w:val="71E8233A"/>
    <w:rsid w:val="72091DAA"/>
    <w:rsid w:val="72267D97"/>
    <w:rsid w:val="724E29D1"/>
    <w:rsid w:val="728564F5"/>
    <w:rsid w:val="72883404"/>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B1443"/>
    <w:rsid w:val="75CD3F16"/>
    <w:rsid w:val="76781DCD"/>
    <w:rsid w:val="76D84698"/>
    <w:rsid w:val="775865D7"/>
    <w:rsid w:val="775B4584"/>
    <w:rsid w:val="776234AF"/>
    <w:rsid w:val="776D12AE"/>
    <w:rsid w:val="77AD0FE0"/>
    <w:rsid w:val="77BE7384"/>
    <w:rsid w:val="78821B50"/>
    <w:rsid w:val="788E2A2A"/>
    <w:rsid w:val="78C52EE0"/>
    <w:rsid w:val="78D23C9C"/>
    <w:rsid w:val="7913610A"/>
    <w:rsid w:val="791A167A"/>
    <w:rsid w:val="793A08B2"/>
    <w:rsid w:val="794D119C"/>
    <w:rsid w:val="796B6F7E"/>
    <w:rsid w:val="79901688"/>
    <w:rsid w:val="79935707"/>
    <w:rsid w:val="799A2128"/>
    <w:rsid w:val="79C0552F"/>
    <w:rsid w:val="79C30D65"/>
    <w:rsid w:val="79CC3295"/>
    <w:rsid w:val="7A0B1561"/>
    <w:rsid w:val="7A25258A"/>
    <w:rsid w:val="7A276E13"/>
    <w:rsid w:val="7A2C646D"/>
    <w:rsid w:val="7A55546C"/>
    <w:rsid w:val="7A743686"/>
    <w:rsid w:val="7A781BD7"/>
    <w:rsid w:val="7A824E2E"/>
    <w:rsid w:val="7A9E7BE0"/>
    <w:rsid w:val="7AFF6437"/>
    <w:rsid w:val="7B021BF1"/>
    <w:rsid w:val="7B551604"/>
    <w:rsid w:val="7B9F2862"/>
    <w:rsid w:val="7BA9751C"/>
    <w:rsid w:val="7BAB44F6"/>
    <w:rsid w:val="7BB856C6"/>
    <w:rsid w:val="7BBB27D3"/>
    <w:rsid w:val="7BC24A45"/>
    <w:rsid w:val="7BD52A90"/>
    <w:rsid w:val="7C076616"/>
    <w:rsid w:val="7C0D60AB"/>
    <w:rsid w:val="7C295DFC"/>
    <w:rsid w:val="7C4B37FA"/>
    <w:rsid w:val="7C58255B"/>
    <w:rsid w:val="7C5B5FF8"/>
    <w:rsid w:val="7C7871E3"/>
    <w:rsid w:val="7C910DB6"/>
    <w:rsid w:val="7CF03F88"/>
    <w:rsid w:val="7CF73786"/>
    <w:rsid w:val="7D5E51C4"/>
    <w:rsid w:val="7D7525FB"/>
    <w:rsid w:val="7DC111D1"/>
    <w:rsid w:val="7DC43A43"/>
    <w:rsid w:val="7DC74225"/>
    <w:rsid w:val="7DDA69EF"/>
    <w:rsid w:val="7E6C26A2"/>
    <w:rsid w:val="7EB35583"/>
    <w:rsid w:val="7EB5276C"/>
    <w:rsid w:val="7EBC57D7"/>
    <w:rsid w:val="7ED0794B"/>
    <w:rsid w:val="7ED70A6F"/>
    <w:rsid w:val="7EE20D78"/>
    <w:rsid w:val="7F3206AA"/>
    <w:rsid w:val="7F5E6382"/>
    <w:rsid w:val="7F5F2553"/>
    <w:rsid w:val="7F6605BC"/>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6</TotalTime>
  <ScaleCrop>false</ScaleCrop>
  <LinksUpToDate>false</LinksUpToDate>
  <CharactersWithSpaces>29889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Administrator</cp:lastModifiedBy>
  <cp:lastPrinted>2019-09-01T07:55:00Z</cp:lastPrinted>
  <dcterms:modified xsi:type="dcterms:W3CDTF">2020-06-11T09:20:13Z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