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hadow/>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355" w:type="dxa"/>
        <w:tblInd w:w="690" w:type="dxa"/>
        <w:tblLayout w:type="fixed"/>
        <w:tblCellMar>
          <w:top w:w="0" w:type="dxa"/>
          <w:left w:w="0" w:type="dxa"/>
          <w:bottom w:w="0" w:type="dxa"/>
          <w:right w:w="0" w:type="dxa"/>
        </w:tblCellMar>
      </w:tblPr>
      <w:tblGrid>
        <w:gridCol w:w="2093"/>
        <w:gridCol w:w="6262"/>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ind w:right="53"/>
              <w:jc w:val="left"/>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项 目  编 号：</w:t>
            </w:r>
          </w:p>
        </w:tc>
        <w:tc>
          <w:tcPr>
            <w:tcW w:w="6262" w:type="dxa"/>
            <w:tcBorders>
              <w:top w:val="nil"/>
              <w:left w:val="nil"/>
              <w:bottom w:val="nil"/>
              <w:right w:val="nil"/>
              <w:tl2br w:val="nil"/>
              <w:tr2bl w:val="nil"/>
            </w:tcBorders>
          </w:tcPr>
          <w:p>
            <w:pPr>
              <w:pStyle w:val="95"/>
              <w:kinsoku w:val="0"/>
              <w:overflowPunct w:val="0"/>
              <w:spacing w:before="122"/>
              <w:ind w:left="55"/>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XM-2020-1716-C0028</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3"/>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名 称：</w:t>
            </w:r>
          </w:p>
        </w:tc>
        <w:tc>
          <w:tcPr>
            <w:tcW w:w="6262" w:type="dxa"/>
            <w:tcBorders>
              <w:top w:val="nil"/>
              <w:left w:val="nil"/>
              <w:bottom w:val="nil"/>
              <w:right w:val="nil"/>
              <w:tl2br w:val="nil"/>
              <w:tr2bl w:val="nil"/>
            </w:tcBorders>
          </w:tcPr>
          <w:p>
            <w:pPr>
              <w:pStyle w:val="95"/>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szCs w:val="28"/>
              </w:rPr>
              <w:t>某基地田径场和炊事员培训中心工程监理服务</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262"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262"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492"/>
        <w:gridCol w:w="5631"/>
      </w:tblGrid>
      <w:tr>
        <w:tblPrEx>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湖北省某部</w:t>
            </w:r>
          </w:p>
        </w:tc>
      </w:tr>
      <w:tr>
        <w:tblPrEx>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制</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时</w:t>
            </w:r>
            <w:r>
              <w:rPr>
                <w:rFonts w:asciiTheme="minorEastAsia" w:hAnsiTheme="minorEastAsia" w:eastAsiaTheme="minorEastAsia" w:cstheme="minorEastAsia"/>
                <w:b/>
                <w:spacing w:val="-16"/>
                <w:sz w:val="28"/>
              </w:rPr>
              <w:t xml:space="preserve"> </w:t>
            </w:r>
            <w:r>
              <w:rPr>
                <w:rFonts w:asciiTheme="minorEastAsia" w:hAnsiTheme="minorEastAsia" w:eastAsiaTheme="minorEastAsia" w:cstheme="minorEastAsia"/>
                <w:b/>
                <w:sz w:val="28"/>
              </w:rPr>
              <w:t>间</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w:t>
            </w:r>
            <w:r>
              <w:rPr>
                <w:rFonts w:asciiTheme="minorEastAsia" w:hAnsiTheme="minorEastAsia" w:eastAsiaTheme="minorEastAsia" w:cstheme="minorEastAsia"/>
                <w:b/>
                <w:spacing w:val="-19"/>
                <w:sz w:val="28"/>
              </w:rPr>
              <w:t xml:space="preserve"> </w:t>
            </w:r>
            <w:r>
              <w:rPr>
                <w:rFonts w:asciiTheme="minorEastAsia" w:hAnsiTheme="minorEastAsia" w:eastAsiaTheme="minorEastAsia" w:cstheme="minorEastAsia"/>
                <w:b/>
                <w:sz w:val="28"/>
              </w:rPr>
              <w:t>0</w:t>
            </w:r>
            <w:r>
              <w:rPr>
                <w:rFonts w:asciiTheme="minorEastAsia" w:hAnsiTheme="minorEastAsia" w:eastAsiaTheme="minorEastAsia" w:cstheme="minorEastAsia"/>
                <w:b/>
                <w:spacing w:val="-17"/>
                <w:sz w:val="28"/>
              </w:rPr>
              <w:t xml:space="preserve"> </w:t>
            </w:r>
            <w:r>
              <w:rPr>
                <w:rFonts w:asciiTheme="minorEastAsia" w:hAnsiTheme="minorEastAsia" w:eastAsiaTheme="minorEastAsia" w:cstheme="minorEastAsia"/>
                <w:b/>
                <w:sz w:val="28"/>
              </w:rPr>
              <w:t>2</w:t>
            </w:r>
            <w:r>
              <w:rPr>
                <w:rFonts w:asciiTheme="minorEastAsia" w:hAnsiTheme="minorEastAsia" w:eastAsiaTheme="minorEastAsia" w:cstheme="minorEastAsia"/>
                <w:b/>
                <w:spacing w:val="-16"/>
                <w:sz w:val="28"/>
              </w:rPr>
              <w:t xml:space="preserve"> 0</w:t>
            </w:r>
            <w:r>
              <w:rPr>
                <w:rFonts w:asciiTheme="minorEastAsia" w:hAnsiTheme="minorEastAsia" w:eastAsiaTheme="minorEastAsia" w:cstheme="minorEastAsia"/>
                <w:b/>
                <w:sz w:val="28"/>
              </w:rPr>
              <w:t>年 4 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fldChar w:fldCharType="begin"/>
      </w:r>
      <w:r>
        <w:instrText xml:space="preserve"> HYPERLINK \l "_Toc31752" </w:instrText>
      </w:r>
      <w:r>
        <w:fldChar w:fldCharType="separate"/>
      </w:r>
      <w:r>
        <w:rPr>
          <w:rFonts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_Toc31752 </w:instrText>
      </w:r>
      <w:r>
        <w:fldChar w:fldCharType="separate"/>
      </w:r>
      <w:r>
        <w:t>5</w:t>
      </w:r>
      <w:r>
        <w:fldChar w:fldCharType="end"/>
      </w:r>
      <w:r>
        <w:fldChar w:fldCharType="end"/>
      </w:r>
    </w:p>
    <w:p>
      <w:pPr>
        <w:pStyle w:val="22"/>
        <w:tabs>
          <w:tab w:val="right" w:leader="dot" w:pos="9072"/>
        </w:tabs>
      </w:pPr>
      <w:r>
        <w:fldChar w:fldCharType="begin"/>
      </w:r>
      <w:r>
        <w:instrText xml:space="preserve"> HYPERLINK \l "_Toc29907" </w:instrText>
      </w:r>
      <w: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_Toc29907 </w:instrText>
      </w:r>
      <w:r>
        <w:fldChar w:fldCharType="separate"/>
      </w:r>
      <w:r>
        <w:t>5</w:t>
      </w:r>
      <w:r>
        <w:fldChar w:fldCharType="end"/>
      </w:r>
      <w:r>
        <w:fldChar w:fldCharType="end"/>
      </w:r>
    </w:p>
    <w:p>
      <w:pPr>
        <w:pStyle w:val="22"/>
        <w:tabs>
          <w:tab w:val="right" w:leader="dot" w:pos="9072"/>
        </w:tabs>
      </w:pPr>
      <w:r>
        <w:fldChar w:fldCharType="begin"/>
      </w:r>
      <w:r>
        <w:instrText xml:space="preserve"> HYPERLINK \l "_Toc10989" </w:instrText>
      </w:r>
      <w: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_Toc10989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"_Toc31970" </w:instrText>
      </w:r>
      <w: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_Toc31970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"_Toc26921" </w:instrText>
      </w:r>
      <w: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_Toc26921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"_Toc271" </w:instrText>
      </w:r>
      <w: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_Toc271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"_Toc22940" </w:instrText>
      </w:r>
      <w: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_Toc22940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"_Toc3048" </w:instrText>
      </w:r>
      <w:r>
        <w:fldChar w:fldCharType="separate"/>
      </w:r>
      <w:r>
        <w:rPr>
          <w:rFonts w:hint="eastAsia" w:asciiTheme="minorEastAsia" w:hAnsiTheme="minorEastAsia" w:eastAsiaTheme="minorEastAsia" w:cstheme="minorEastAsia"/>
          <w:szCs w:val="21"/>
        </w:rPr>
        <w:t>七、 信息发布媒体及时间</w:t>
      </w:r>
      <w:r>
        <w:tab/>
      </w:r>
      <w:r>
        <w:fldChar w:fldCharType="begin"/>
      </w:r>
      <w:r>
        <w:instrText xml:space="preserve"> PAGEREF _Toc3048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"_Toc11038" </w:instrText>
      </w:r>
      <w: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_Toc11038 </w:instrText>
      </w:r>
      <w:r>
        <w:fldChar w:fldCharType="separate"/>
      </w:r>
      <w:r>
        <w:t>8</w:t>
      </w:r>
      <w:r>
        <w:fldChar w:fldCharType="end"/>
      </w:r>
      <w:r>
        <w:fldChar w:fldCharType="end"/>
      </w:r>
    </w:p>
    <w:p>
      <w:pPr>
        <w:pStyle w:val="20"/>
        <w:tabs>
          <w:tab w:val="right" w:leader="dot" w:pos="9072"/>
        </w:tabs>
      </w:pPr>
      <w:r>
        <w:fldChar w:fldCharType="begin"/>
      </w:r>
      <w:r>
        <w:instrText xml:space="preserve"> HYPERLINK \l "_Toc11612" </w:instrText>
      </w:r>
      <w:r>
        <w:fldChar w:fldCharType="separate"/>
      </w:r>
      <w:r>
        <w:rPr>
          <w:rFonts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_Toc11612 </w:instrText>
      </w:r>
      <w:r>
        <w:fldChar w:fldCharType="separate"/>
      </w:r>
      <w:r>
        <w:t>9</w:t>
      </w:r>
      <w:r>
        <w:fldChar w:fldCharType="end"/>
      </w:r>
      <w:r>
        <w:fldChar w:fldCharType="end"/>
      </w:r>
    </w:p>
    <w:p>
      <w:pPr>
        <w:pStyle w:val="22"/>
        <w:tabs>
          <w:tab w:val="right" w:leader="dot" w:pos="9072"/>
        </w:tabs>
      </w:pPr>
      <w:r>
        <w:fldChar w:fldCharType="begin"/>
      </w:r>
      <w:r>
        <w:instrText xml:space="preserve"> HYPERLINK \l "_Toc16499" </w:instrText>
      </w:r>
      <w: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_Toc16499 </w:instrText>
      </w:r>
      <w:r>
        <w:fldChar w:fldCharType="separate"/>
      </w:r>
      <w:r>
        <w:t>9</w:t>
      </w:r>
      <w:r>
        <w:fldChar w:fldCharType="end"/>
      </w:r>
      <w:r>
        <w:fldChar w:fldCharType="end"/>
      </w:r>
    </w:p>
    <w:p>
      <w:pPr>
        <w:pStyle w:val="22"/>
        <w:tabs>
          <w:tab w:val="right" w:leader="dot" w:pos="9072"/>
        </w:tabs>
      </w:pPr>
      <w:r>
        <w:fldChar w:fldCharType="begin"/>
      </w:r>
      <w:r>
        <w:instrText xml:space="preserve"> HYPERLINK \l "_Toc19818" </w:instrText>
      </w:r>
      <w: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_Toc19818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"_Toc22719" </w:instrText>
      </w:r>
      <w:r>
        <w:fldChar w:fldCharType="separate"/>
      </w:r>
      <w:r>
        <w:rPr>
          <w:rFonts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_Toc22719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"_Toc20802" </w:instrText>
      </w:r>
      <w:r>
        <w:fldChar w:fldCharType="separate"/>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_Toc20802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"_Toc17576" </w:instrText>
      </w:r>
      <w:r>
        <w:fldChar w:fldCharType="separate"/>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_Toc17576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"_Toc3671" </w:instrText>
      </w:r>
      <w:r>
        <w:fldChar w:fldCharType="separate"/>
      </w: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_Toc3671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"_Toc21905" </w:instrText>
      </w:r>
      <w:r>
        <w:fldChar w:fldCharType="separate"/>
      </w: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_Toc21905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"_Toc9025" </w:instrText>
      </w:r>
      <w:r>
        <w:fldChar w:fldCharType="separate"/>
      </w:r>
      <w:r>
        <w:rPr>
          <w:rFonts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_Toc9025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"_Toc24457" </w:instrText>
      </w:r>
      <w:r>
        <w:fldChar w:fldCharType="separate"/>
      </w: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_Toc24457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"_Toc19543" </w:instrText>
      </w:r>
      <w:r>
        <w:fldChar w:fldCharType="separate"/>
      </w:r>
      <w:r>
        <w:rPr>
          <w:rFonts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_Toc19543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"_Toc11242" </w:instrText>
      </w:r>
      <w:r>
        <w:fldChar w:fldCharType="separate"/>
      </w:r>
      <w:r>
        <w:rPr>
          <w:rFonts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_Toc11242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"_Toc14952" </w:instrText>
      </w:r>
      <w:r>
        <w:fldChar w:fldCharType="separate"/>
      </w:r>
      <w:r>
        <w:rPr>
          <w:rFonts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_Toc14952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"_Toc27069" </w:instrText>
      </w:r>
      <w:r>
        <w:fldChar w:fldCharType="separate"/>
      </w:r>
      <w:r>
        <w:rPr>
          <w:rFonts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_Toc27069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"_Toc25602" </w:instrText>
      </w:r>
      <w:r>
        <w:fldChar w:fldCharType="separate"/>
      </w:r>
      <w:r>
        <w:rPr>
          <w:rFonts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_Toc25602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"_Toc21078" </w:instrText>
      </w:r>
      <w:r>
        <w:fldChar w:fldCharType="separate"/>
      </w:r>
      <w:r>
        <w:rPr>
          <w:rFonts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_Toc21078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"_Toc20003" </w:instrText>
      </w:r>
      <w:r>
        <w:fldChar w:fldCharType="separate"/>
      </w:r>
      <w:r>
        <w:rPr>
          <w:rFonts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_Toc20003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"_Toc11213" </w:instrText>
      </w:r>
      <w:r>
        <w:fldChar w:fldCharType="separate"/>
      </w:r>
      <w:r>
        <w:rPr>
          <w:rFonts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_Toc11213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"_Toc28495" </w:instrText>
      </w:r>
      <w:r>
        <w:fldChar w:fldCharType="separate"/>
      </w:r>
      <w:r>
        <w:rPr>
          <w:rFonts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_Toc28495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"_Toc24634" </w:instrText>
      </w:r>
      <w:r>
        <w:fldChar w:fldCharType="separate"/>
      </w:r>
      <w:r>
        <w:rPr>
          <w:rFonts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_Toc24634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"_Toc10325" </w:instrText>
      </w:r>
      <w:r>
        <w:fldChar w:fldCharType="separate"/>
      </w:r>
      <w:r>
        <w:rPr>
          <w:rFonts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_Toc10325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"_Toc22499" </w:instrText>
      </w:r>
      <w:r>
        <w:fldChar w:fldCharType="separate"/>
      </w:r>
      <w:r>
        <w:rPr>
          <w:rFonts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_Toc22499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"_Toc26703" </w:instrText>
      </w:r>
      <w:r>
        <w:fldChar w:fldCharType="separate"/>
      </w:r>
      <w:r>
        <w:rPr>
          <w:rFonts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_Toc26703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"_Toc30135" </w:instrText>
      </w:r>
      <w:r>
        <w:fldChar w:fldCharType="separate"/>
      </w:r>
      <w:r>
        <w:rPr>
          <w:rFonts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_Toc30135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"_Toc32166" </w:instrText>
      </w:r>
      <w:r>
        <w:fldChar w:fldCharType="separate"/>
      </w:r>
      <w:r>
        <w:rPr>
          <w:rFonts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_Toc32166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"_Toc20689" </w:instrText>
      </w:r>
      <w:r>
        <w:fldChar w:fldCharType="separate"/>
      </w:r>
      <w:r>
        <w:rPr>
          <w:rFonts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_Toc20689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"_Toc25627" </w:instrText>
      </w:r>
      <w:r>
        <w:fldChar w:fldCharType="separate"/>
      </w:r>
      <w:r>
        <w:rPr>
          <w:rFonts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_Toc25627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"_Toc23249" </w:instrText>
      </w:r>
      <w:r>
        <w:fldChar w:fldCharType="separate"/>
      </w:r>
      <w:r>
        <w:rPr>
          <w:rFonts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_Toc23249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"_Toc8223" </w:instrText>
      </w:r>
      <w:r>
        <w:fldChar w:fldCharType="separate"/>
      </w:r>
      <w:r>
        <w:rPr>
          <w:rFonts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_Toc8223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"_Toc25172" </w:instrText>
      </w:r>
      <w:r>
        <w:fldChar w:fldCharType="separate"/>
      </w:r>
      <w:r>
        <w:rPr>
          <w:rFonts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_Toc25172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"_Toc31243" </w:instrText>
      </w:r>
      <w:r>
        <w:fldChar w:fldCharType="separate"/>
      </w:r>
      <w:r>
        <w:rPr>
          <w:rFonts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_Toc31243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"_Toc6609" </w:instrText>
      </w:r>
      <w:r>
        <w:fldChar w:fldCharType="separate"/>
      </w:r>
      <w:r>
        <w:rPr>
          <w:rFonts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_Toc6609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"_Toc16372" </w:instrText>
      </w:r>
      <w:r>
        <w:fldChar w:fldCharType="separate"/>
      </w:r>
      <w:r>
        <w:rPr>
          <w:rFonts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_Toc16372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"_Toc20122" </w:instrText>
      </w:r>
      <w:r>
        <w:fldChar w:fldCharType="separate"/>
      </w:r>
      <w:r>
        <w:rPr>
          <w:rFonts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_Toc20122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"_Toc11048" </w:instrText>
      </w:r>
      <w:r>
        <w:fldChar w:fldCharType="separate"/>
      </w:r>
      <w:r>
        <w:rPr>
          <w:rFonts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_Toc11048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"_Toc6375" </w:instrText>
      </w:r>
      <w:r>
        <w:fldChar w:fldCharType="separate"/>
      </w:r>
      <w:r>
        <w:rPr>
          <w:rFonts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_Toc6375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"_Toc11936" </w:instrText>
      </w:r>
      <w:r>
        <w:fldChar w:fldCharType="separate"/>
      </w:r>
      <w:r>
        <w:rPr>
          <w:rFonts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_Toc11936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"_Toc21763" </w:instrText>
      </w:r>
      <w:r>
        <w:fldChar w:fldCharType="separate"/>
      </w:r>
      <w:r>
        <w:rPr>
          <w:rFonts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_Toc21763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"_Toc24036" </w:instrText>
      </w:r>
      <w:r>
        <w:fldChar w:fldCharType="separate"/>
      </w:r>
      <w:r>
        <w:rPr>
          <w:rFonts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_Toc24036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"_Toc30484" </w:instrText>
      </w:r>
      <w:r>
        <w:fldChar w:fldCharType="separate"/>
      </w:r>
      <w:r>
        <w:rPr>
          <w:rFonts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_Toc30484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"_Toc22583" </w:instrText>
      </w:r>
      <w:r>
        <w:fldChar w:fldCharType="separate"/>
      </w:r>
      <w:r>
        <w:rPr>
          <w:rFonts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_Toc22583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"_Toc5669" </w:instrText>
      </w:r>
      <w:r>
        <w:fldChar w:fldCharType="separate"/>
      </w:r>
      <w:r>
        <w:rPr>
          <w:rFonts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_Toc5669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"_Toc16905" </w:instrText>
      </w:r>
      <w:r>
        <w:fldChar w:fldCharType="separate"/>
      </w:r>
      <w:r>
        <w:rPr>
          <w:rFonts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_Toc16905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"_Toc12359" </w:instrText>
      </w:r>
      <w:r>
        <w:fldChar w:fldCharType="separate"/>
      </w:r>
      <w:r>
        <w:rPr>
          <w:rFonts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_Toc12359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"_Toc26360" </w:instrText>
      </w:r>
      <w:r>
        <w:fldChar w:fldCharType="separate"/>
      </w:r>
      <w:r>
        <w:rPr>
          <w:rFonts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_Toc26360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"_Toc30994" </w:instrText>
      </w:r>
      <w:r>
        <w:fldChar w:fldCharType="separate"/>
      </w:r>
      <w:r>
        <w:rPr>
          <w:rFonts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_Toc30994 </w:instrText>
      </w:r>
      <w:r>
        <w:fldChar w:fldCharType="separate"/>
      </w:r>
      <w:r>
        <w:t>24</w:t>
      </w:r>
      <w:r>
        <w:fldChar w:fldCharType="end"/>
      </w:r>
      <w:r>
        <w:fldChar w:fldCharType="end"/>
      </w:r>
    </w:p>
    <w:p>
      <w:pPr>
        <w:pStyle w:val="20"/>
        <w:tabs>
          <w:tab w:val="right" w:leader="dot" w:pos="9072"/>
        </w:tabs>
      </w:pPr>
      <w:r>
        <w:fldChar w:fldCharType="begin"/>
      </w:r>
      <w:r>
        <w:instrText xml:space="preserve"> HYPERLINK \l "_Toc12528" </w:instrText>
      </w:r>
      <w:r>
        <w:fldChar w:fldCharType="separate"/>
      </w:r>
      <w:r>
        <w:rPr>
          <w:rFonts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_Toc12528 </w:instrText>
      </w:r>
      <w:r>
        <w:fldChar w:fldCharType="separate"/>
      </w:r>
      <w:r>
        <w:t>26</w:t>
      </w:r>
      <w:r>
        <w:fldChar w:fldCharType="end"/>
      </w:r>
      <w:r>
        <w:fldChar w:fldCharType="end"/>
      </w:r>
    </w:p>
    <w:p>
      <w:pPr>
        <w:pStyle w:val="22"/>
        <w:tabs>
          <w:tab w:val="right" w:leader="dot" w:pos="9072"/>
        </w:tabs>
      </w:pPr>
      <w:r>
        <w:fldChar w:fldCharType="begin"/>
      </w:r>
      <w:r>
        <w:instrText xml:space="preserve"> HYPERLINK \l "_Toc19655" </w:instrText>
      </w:r>
      <w: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_Toc19655 </w:instrText>
      </w:r>
      <w:r>
        <w:fldChar w:fldCharType="separate"/>
      </w:r>
      <w:r>
        <w:t>26</w:t>
      </w:r>
      <w:r>
        <w:fldChar w:fldCharType="end"/>
      </w:r>
      <w:r>
        <w:fldChar w:fldCharType="end"/>
      </w:r>
    </w:p>
    <w:p>
      <w:pPr>
        <w:pStyle w:val="22"/>
        <w:tabs>
          <w:tab w:val="right" w:leader="dot" w:pos="9072"/>
        </w:tabs>
      </w:pPr>
      <w:r>
        <w:fldChar w:fldCharType="begin"/>
      </w:r>
      <w:r>
        <w:instrText xml:space="preserve"> HYPERLINK \l "_Toc17698" </w:instrText>
      </w:r>
      <w: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_Toc17698 </w:instrText>
      </w:r>
      <w:r>
        <w:fldChar w:fldCharType="separate"/>
      </w:r>
      <w:r>
        <w:t>26</w:t>
      </w:r>
      <w:r>
        <w:fldChar w:fldCharType="end"/>
      </w:r>
      <w:r>
        <w:fldChar w:fldCharType="end"/>
      </w:r>
    </w:p>
    <w:p>
      <w:pPr>
        <w:pStyle w:val="20"/>
        <w:tabs>
          <w:tab w:val="right" w:leader="dot" w:pos="9072"/>
        </w:tabs>
      </w:pPr>
      <w:r>
        <w:fldChar w:fldCharType="begin"/>
      </w:r>
      <w:r>
        <w:instrText xml:space="preserve"> HYPERLINK \l "_Toc30173" </w:instrText>
      </w:r>
      <w:r>
        <w:fldChar w:fldCharType="separate"/>
      </w:r>
      <w:r>
        <w:rPr>
          <w:rFonts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_Toc30173 </w:instrText>
      </w:r>
      <w:r>
        <w:fldChar w:fldCharType="separate"/>
      </w:r>
      <w:r>
        <w:t>28</w:t>
      </w:r>
      <w:r>
        <w:fldChar w:fldCharType="end"/>
      </w:r>
      <w:r>
        <w:fldChar w:fldCharType="end"/>
      </w:r>
    </w:p>
    <w:p>
      <w:pPr>
        <w:pStyle w:val="22"/>
        <w:tabs>
          <w:tab w:val="right" w:leader="dot" w:pos="9072"/>
        </w:tabs>
      </w:pPr>
      <w:r>
        <w:fldChar w:fldCharType="begin"/>
      </w:r>
      <w:r>
        <w:instrText xml:space="preserve"> HYPERLINK \l "_Toc24051" </w:instrText>
      </w:r>
      <w: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_Toc24051 </w:instrText>
      </w:r>
      <w:r>
        <w:fldChar w:fldCharType="separate"/>
      </w:r>
      <w:r>
        <w:t>28</w:t>
      </w:r>
      <w:r>
        <w:fldChar w:fldCharType="end"/>
      </w:r>
      <w:r>
        <w:fldChar w:fldCharType="end"/>
      </w:r>
    </w:p>
    <w:p>
      <w:pPr>
        <w:pStyle w:val="22"/>
        <w:tabs>
          <w:tab w:val="right" w:leader="dot" w:pos="9072"/>
        </w:tabs>
      </w:pPr>
      <w:r>
        <w:fldChar w:fldCharType="begin"/>
      </w:r>
      <w:r>
        <w:instrText xml:space="preserve"> HYPERLINK \l "_Toc8144" </w:instrText>
      </w:r>
      <w: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_Toc8144 </w:instrText>
      </w:r>
      <w:r>
        <w:fldChar w:fldCharType="separate"/>
      </w:r>
      <w:r>
        <w:t>30</w:t>
      </w:r>
      <w:r>
        <w:fldChar w:fldCharType="end"/>
      </w:r>
      <w:r>
        <w:fldChar w:fldCharType="end"/>
      </w:r>
    </w:p>
    <w:p>
      <w:pPr>
        <w:pStyle w:val="22"/>
        <w:tabs>
          <w:tab w:val="right" w:leader="dot" w:pos="9072"/>
        </w:tabs>
      </w:pPr>
      <w:r>
        <w:fldChar w:fldCharType="begin"/>
      </w:r>
      <w:r>
        <w:instrText xml:space="preserve"> HYPERLINK \l "_Toc28938" </w:instrText>
      </w:r>
      <w: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_Toc28938 </w:instrText>
      </w:r>
      <w:r>
        <w:fldChar w:fldCharType="separate"/>
      </w:r>
      <w:r>
        <w:t>31</w:t>
      </w:r>
      <w:r>
        <w:fldChar w:fldCharType="end"/>
      </w:r>
      <w:r>
        <w:fldChar w:fldCharType="end"/>
      </w:r>
    </w:p>
    <w:p>
      <w:pPr>
        <w:pStyle w:val="22"/>
        <w:tabs>
          <w:tab w:val="right" w:leader="dot" w:pos="9072"/>
        </w:tabs>
      </w:pPr>
      <w:r>
        <w:fldChar w:fldCharType="begin"/>
      </w:r>
      <w:r>
        <w:instrText xml:space="preserve"> HYPERLINK \l "_Toc26970" </w:instrText>
      </w:r>
      <w:r>
        <w:fldChar w:fldCharType="separate"/>
      </w:r>
      <w:r>
        <w:rPr>
          <w:rFonts w:hint="eastAsia" w:asciiTheme="minorEastAsia" w:hAnsiTheme="minorEastAsia" w:eastAsiaTheme="minorEastAsia" w:cstheme="minorEastAsia"/>
          <w:szCs w:val="21"/>
        </w:rPr>
        <w:t xml:space="preserve"> 四、评定办法</w:t>
      </w:r>
      <w:r>
        <w:tab/>
      </w:r>
      <w:r>
        <w:fldChar w:fldCharType="begin"/>
      </w:r>
      <w:r>
        <w:instrText xml:space="preserve"> PAGEREF _Toc26970 </w:instrText>
      </w:r>
      <w:r>
        <w:fldChar w:fldCharType="separate"/>
      </w:r>
      <w:r>
        <w:t>32</w:t>
      </w:r>
      <w:r>
        <w:fldChar w:fldCharType="end"/>
      </w:r>
      <w:r>
        <w:fldChar w:fldCharType="end"/>
      </w:r>
    </w:p>
    <w:p>
      <w:pPr>
        <w:pStyle w:val="22"/>
        <w:tabs>
          <w:tab w:val="right" w:leader="dot" w:pos="9072"/>
        </w:tabs>
      </w:pPr>
      <w:r>
        <w:fldChar w:fldCharType="begin"/>
      </w:r>
      <w:r>
        <w:instrText xml:space="preserve"> HYPERLINK \l "_Toc27428" </w:instrText>
      </w:r>
      <w: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_Toc27428 </w:instrText>
      </w:r>
      <w:r>
        <w:fldChar w:fldCharType="separate"/>
      </w:r>
      <w:r>
        <w:t>33</w:t>
      </w:r>
      <w:r>
        <w:fldChar w:fldCharType="end"/>
      </w:r>
      <w:r>
        <w:fldChar w:fldCharType="end"/>
      </w:r>
    </w:p>
    <w:p>
      <w:pPr>
        <w:pStyle w:val="20"/>
        <w:tabs>
          <w:tab w:val="right" w:leader="dot" w:pos="9072"/>
        </w:tabs>
      </w:pPr>
      <w:r>
        <w:fldChar w:fldCharType="begin"/>
      </w:r>
      <w:r>
        <w:instrText xml:space="preserve"> HYPERLINK \l "_Toc22913" </w:instrText>
      </w:r>
      <w:r>
        <w:fldChar w:fldCharType="separate"/>
      </w:r>
      <w:r>
        <w:rPr>
          <w:rFonts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_Toc22913 </w:instrText>
      </w:r>
      <w:r>
        <w:fldChar w:fldCharType="separate"/>
      </w:r>
      <w:r>
        <w:t>35</w:t>
      </w:r>
      <w:r>
        <w:fldChar w:fldCharType="end"/>
      </w:r>
      <w:r>
        <w:fldChar w:fldCharType="end"/>
      </w:r>
    </w:p>
    <w:p>
      <w:pPr>
        <w:pStyle w:val="20"/>
        <w:tabs>
          <w:tab w:val="right" w:leader="dot" w:pos="9072"/>
        </w:tabs>
      </w:pPr>
      <w:r>
        <w:fldChar w:fldCharType="begin"/>
      </w:r>
      <w:r>
        <w:instrText xml:space="preserve"> HYPERLINK \l "_Toc22377" </w:instrText>
      </w:r>
      <w:r>
        <w:fldChar w:fldCharType="separate"/>
      </w:r>
      <w:r>
        <w:rPr>
          <w:rFonts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_Toc22377 </w:instrText>
      </w:r>
      <w:r>
        <w:fldChar w:fldCharType="separate"/>
      </w:r>
      <w:r>
        <w:t>37</w:t>
      </w:r>
      <w:r>
        <w:fldChar w:fldCharType="end"/>
      </w:r>
      <w:r>
        <w:fldChar w:fldCharType="end"/>
      </w:r>
    </w:p>
    <w:p>
      <w:pPr>
        <w:pStyle w:val="22"/>
        <w:tabs>
          <w:tab w:val="right" w:leader="dot" w:pos="9072"/>
        </w:tabs>
      </w:pPr>
      <w:r>
        <w:fldChar w:fldCharType="begin"/>
      </w:r>
      <w:r>
        <w:instrText xml:space="preserve"> HYPERLINK \l "_Toc22054" </w:instrText>
      </w:r>
      <w:r>
        <w:fldChar w:fldCharType="separate"/>
      </w:r>
      <w:r>
        <w:rPr>
          <w:rFonts w:hint="eastAsia" w:asciiTheme="minorEastAsia" w:hAnsiTheme="minorEastAsia" w:eastAsiaTheme="minorEastAsia" w:cstheme="minorEastAsia"/>
        </w:rPr>
        <w:t>一、评分标准索引表</w:t>
      </w:r>
      <w:r>
        <w:tab/>
      </w:r>
      <w:r>
        <w:fldChar w:fldCharType="begin"/>
      </w:r>
      <w:r>
        <w:instrText xml:space="preserve"> PAGEREF _Toc22054 </w:instrText>
      </w:r>
      <w:r>
        <w:fldChar w:fldCharType="separate"/>
      </w:r>
      <w:r>
        <w:t>39</w:t>
      </w:r>
      <w:r>
        <w:fldChar w:fldCharType="end"/>
      </w:r>
      <w:r>
        <w:fldChar w:fldCharType="end"/>
      </w:r>
    </w:p>
    <w:p>
      <w:pPr>
        <w:pStyle w:val="22"/>
        <w:tabs>
          <w:tab w:val="right" w:leader="dot" w:pos="9072"/>
        </w:tabs>
      </w:pPr>
      <w:r>
        <w:fldChar w:fldCharType="begin"/>
      </w:r>
      <w:r>
        <w:instrText xml:space="preserve"> HYPERLINK \l "_Toc13888" </w:instrText>
      </w:r>
      <w:r>
        <w:fldChar w:fldCharType="separate"/>
      </w:r>
      <w:r>
        <w:rPr>
          <w:rFonts w:hint="eastAsia" w:asciiTheme="minorEastAsia" w:hAnsiTheme="minorEastAsia" w:eastAsiaTheme="minorEastAsia" w:cstheme="minorEastAsia"/>
        </w:rPr>
        <w:t>二、磋商书</w:t>
      </w:r>
      <w:r>
        <w:tab/>
      </w:r>
      <w:r>
        <w:fldChar w:fldCharType="begin"/>
      </w:r>
      <w:r>
        <w:instrText xml:space="preserve"> PAGEREF _Toc13888 </w:instrText>
      </w:r>
      <w:r>
        <w:fldChar w:fldCharType="separate"/>
      </w:r>
      <w:r>
        <w:t>40</w:t>
      </w:r>
      <w:r>
        <w:fldChar w:fldCharType="end"/>
      </w:r>
      <w:r>
        <w:fldChar w:fldCharType="end"/>
      </w:r>
    </w:p>
    <w:p>
      <w:pPr>
        <w:pStyle w:val="22"/>
        <w:tabs>
          <w:tab w:val="right" w:leader="dot" w:pos="9072"/>
        </w:tabs>
      </w:pPr>
      <w:r>
        <w:fldChar w:fldCharType="begin"/>
      </w:r>
      <w:r>
        <w:instrText xml:space="preserve"> HYPERLINK \l "_Toc28662" </w:instrText>
      </w:r>
      <w: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_Toc28662 </w:instrText>
      </w:r>
      <w:r>
        <w:fldChar w:fldCharType="separate"/>
      </w:r>
      <w:r>
        <w:t>41</w:t>
      </w:r>
      <w:r>
        <w:fldChar w:fldCharType="end"/>
      </w:r>
      <w:r>
        <w:fldChar w:fldCharType="end"/>
      </w:r>
    </w:p>
    <w:p>
      <w:pPr>
        <w:pStyle w:val="22"/>
        <w:tabs>
          <w:tab w:val="right" w:leader="dot" w:pos="9072"/>
        </w:tabs>
      </w:pPr>
      <w:r>
        <w:fldChar w:fldCharType="begin"/>
      </w:r>
      <w:r>
        <w:instrText xml:space="preserve"> HYPERLINK \l "_Toc10234" </w:instrText>
      </w:r>
      <w: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_Toc10234 </w:instrText>
      </w:r>
      <w:r>
        <w:fldChar w:fldCharType="separate"/>
      </w:r>
      <w:r>
        <w:t>42</w:t>
      </w:r>
      <w:r>
        <w:fldChar w:fldCharType="end"/>
      </w:r>
      <w:r>
        <w:fldChar w:fldCharType="end"/>
      </w:r>
    </w:p>
    <w:p>
      <w:pPr>
        <w:pStyle w:val="22"/>
        <w:tabs>
          <w:tab w:val="right" w:leader="dot" w:pos="9072"/>
        </w:tabs>
      </w:pPr>
      <w:r>
        <w:fldChar w:fldCharType="begin"/>
      </w:r>
      <w:r>
        <w:instrText xml:space="preserve"> HYPERLINK \l "_Toc14055" </w:instrText>
      </w:r>
      <w: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_Toc14055 </w:instrText>
      </w:r>
      <w:r>
        <w:fldChar w:fldCharType="separate"/>
      </w:r>
      <w:r>
        <w:t>43</w:t>
      </w:r>
      <w:r>
        <w:fldChar w:fldCharType="end"/>
      </w:r>
      <w:r>
        <w:fldChar w:fldCharType="end"/>
      </w:r>
    </w:p>
    <w:p>
      <w:pPr>
        <w:pStyle w:val="22"/>
        <w:tabs>
          <w:tab w:val="right" w:leader="dot" w:pos="9072"/>
        </w:tabs>
      </w:pPr>
      <w:r>
        <w:fldChar w:fldCharType="begin"/>
      </w:r>
      <w:r>
        <w:instrText xml:space="preserve"> HYPERLINK \l "_Toc29150" </w:instrText>
      </w:r>
      <w: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_Toc29150 </w:instrText>
      </w:r>
      <w:r>
        <w:fldChar w:fldCharType="separate"/>
      </w:r>
      <w:r>
        <w:t>44</w:t>
      </w:r>
      <w:r>
        <w:fldChar w:fldCharType="end"/>
      </w:r>
      <w:r>
        <w:fldChar w:fldCharType="end"/>
      </w:r>
    </w:p>
    <w:p>
      <w:pPr>
        <w:pStyle w:val="22"/>
        <w:tabs>
          <w:tab w:val="right" w:leader="dot" w:pos="9072"/>
        </w:tabs>
      </w:pPr>
      <w:r>
        <w:fldChar w:fldCharType="begin"/>
      </w:r>
      <w:r>
        <w:instrText xml:space="preserve"> HYPERLINK \l "_Toc9137" </w:instrText>
      </w:r>
      <w:r>
        <w:fldChar w:fldCharType="separate"/>
      </w:r>
      <w:r>
        <w:rPr>
          <w:rFonts w:hint="eastAsia" w:asciiTheme="minorEastAsia" w:hAnsiTheme="minorEastAsia" w:eastAsiaTheme="minorEastAsia" w:cstheme="minorEastAsia"/>
          <w:bCs/>
          <w:szCs w:val="21"/>
        </w:rPr>
        <w:t>六、耗材清单（如有）</w:t>
      </w:r>
      <w:r>
        <w:tab/>
      </w:r>
      <w:r>
        <w:fldChar w:fldCharType="begin"/>
      </w:r>
      <w:r>
        <w:instrText xml:space="preserve"> PAGEREF _Toc9137 </w:instrText>
      </w:r>
      <w:r>
        <w:fldChar w:fldCharType="separate"/>
      </w:r>
      <w:r>
        <w:t>45</w:t>
      </w:r>
      <w:r>
        <w:fldChar w:fldCharType="end"/>
      </w:r>
      <w:r>
        <w:fldChar w:fldCharType="end"/>
      </w:r>
    </w:p>
    <w:p>
      <w:pPr>
        <w:pStyle w:val="22"/>
        <w:tabs>
          <w:tab w:val="right" w:leader="dot" w:pos="9072"/>
        </w:tabs>
      </w:pPr>
      <w:r>
        <w:fldChar w:fldCharType="begin"/>
      </w:r>
      <w:r>
        <w:instrText xml:space="preserve"> HYPERLINK \l "_Toc22597" </w:instrText>
      </w:r>
      <w:r>
        <w:fldChar w:fldCharType="separate"/>
      </w:r>
      <w:r>
        <w:rPr>
          <w:rFonts w:hint="eastAsia" w:asciiTheme="minorEastAsia" w:hAnsiTheme="minorEastAsia" w:eastAsiaTheme="minorEastAsia" w:cstheme="minorEastAsia"/>
          <w:bCs/>
          <w:szCs w:val="21"/>
        </w:rPr>
        <w:t>七、拟投入设备/备件、工具情况（如有）</w:t>
      </w:r>
      <w:r>
        <w:tab/>
      </w:r>
      <w:r>
        <w:fldChar w:fldCharType="begin"/>
      </w:r>
      <w:r>
        <w:instrText xml:space="preserve"> PAGEREF _Toc22597 </w:instrText>
      </w:r>
      <w:r>
        <w:fldChar w:fldCharType="separate"/>
      </w:r>
      <w:r>
        <w:t>46</w:t>
      </w:r>
      <w:r>
        <w:fldChar w:fldCharType="end"/>
      </w:r>
      <w:r>
        <w:fldChar w:fldCharType="end"/>
      </w:r>
    </w:p>
    <w:p>
      <w:pPr>
        <w:pStyle w:val="22"/>
        <w:tabs>
          <w:tab w:val="right" w:leader="dot" w:pos="9072"/>
        </w:tabs>
      </w:pPr>
      <w:r>
        <w:fldChar w:fldCharType="begin"/>
      </w:r>
      <w:r>
        <w:instrText xml:space="preserve"> HYPERLINK \l "_Toc17877" </w:instrText>
      </w:r>
      <w: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_Toc17877 </w:instrText>
      </w:r>
      <w:r>
        <w:fldChar w:fldCharType="separate"/>
      </w:r>
      <w:r>
        <w:t>47</w:t>
      </w:r>
      <w:r>
        <w:fldChar w:fldCharType="end"/>
      </w:r>
      <w:r>
        <w:fldChar w:fldCharType="end"/>
      </w:r>
    </w:p>
    <w:p>
      <w:pPr>
        <w:pStyle w:val="22"/>
        <w:tabs>
          <w:tab w:val="right" w:leader="dot" w:pos="9072"/>
        </w:tabs>
      </w:pPr>
      <w:r>
        <w:fldChar w:fldCharType="begin"/>
      </w:r>
      <w:r>
        <w:instrText xml:space="preserve"> HYPERLINK \l "_Toc24300" </w:instrText>
      </w:r>
      <w: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_Toc24300 </w:instrText>
      </w:r>
      <w:r>
        <w:fldChar w:fldCharType="separate"/>
      </w:r>
      <w:r>
        <w:t>48</w:t>
      </w:r>
      <w:r>
        <w:fldChar w:fldCharType="end"/>
      </w:r>
      <w:r>
        <w:fldChar w:fldCharType="end"/>
      </w:r>
    </w:p>
    <w:p>
      <w:pPr>
        <w:pStyle w:val="22"/>
        <w:tabs>
          <w:tab w:val="right" w:leader="dot" w:pos="9072"/>
        </w:tabs>
      </w:pPr>
      <w:r>
        <w:fldChar w:fldCharType="begin"/>
      </w:r>
      <w:r>
        <w:instrText xml:space="preserve"> HYPERLINK \l "_Toc9022" </w:instrText>
      </w:r>
      <w: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_Toc9022 </w:instrText>
      </w:r>
      <w:r>
        <w:fldChar w:fldCharType="separate"/>
      </w:r>
      <w:r>
        <w:t>49</w:t>
      </w:r>
      <w:r>
        <w:fldChar w:fldCharType="end"/>
      </w:r>
      <w:r>
        <w:fldChar w:fldCharType="end"/>
      </w:r>
    </w:p>
    <w:p>
      <w:pPr>
        <w:pStyle w:val="22"/>
        <w:tabs>
          <w:tab w:val="right" w:leader="dot" w:pos="9072"/>
        </w:tabs>
      </w:pPr>
      <w:r>
        <w:fldChar w:fldCharType="begin"/>
      </w:r>
      <w:r>
        <w:instrText xml:space="preserve"> HYPERLINK \l "_Toc18613" </w:instrText>
      </w:r>
      <w: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_Toc18613 </w:instrText>
      </w:r>
      <w:r>
        <w:fldChar w:fldCharType="separate"/>
      </w:r>
      <w:r>
        <w:t>50</w:t>
      </w:r>
      <w:r>
        <w:fldChar w:fldCharType="end"/>
      </w:r>
      <w:r>
        <w:fldChar w:fldCharType="end"/>
      </w:r>
    </w:p>
    <w:p>
      <w:pPr>
        <w:pStyle w:val="22"/>
        <w:tabs>
          <w:tab w:val="right" w:leader="dot" w:pos="9072"/>
        </w:tabs>
      </w:pPr>
      <w:r>
        <w:fldChar w:fldCharType="begin"/>
      </w:r>
      <w:r>
        <w:instrText xml:space="preserve"> HYPERLINK \l "_Toc23930" </w:instrText>
      </w:r>
      <w: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_Toc23930 </w:instrText>
      </w:r>
      <w:r>
        <w:fldChar w:fldCharType="separate"/>
      </w:r>
      <w:r>
        <w:t>51</w:t>
      </w:r>
      <w:r>
        <w:fldChar w:fldCharType="end"/>
      </w:r>
      <w:r>
        <w:fldChar w:fldCharType="end"/>
      </w:r>
    </w:p>
    <w:p>
      <w:pPr>
        <w:pStyle w:val="22"/>
        <w:tabs>
          <w:tab w:val="right" w:leader="dot" w:pos="9072"/>
        </w:tabs>
      </w:pPr>
      <w:r>
        <w:fldChar w:fldCharType="begin"/>
      </w:r>
      <w:r>
        <w:instrText xml:space="preserve"> HYPERLINK \l "_Toc14940" </w:instrText>
      </w:r>
      <w: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_Toc14940 </w:instrText>
      </w:r>
      <w:r>
        <w:fldChar w:fldCharType="separate"/>
      </w:r>
      <w:r>
        <w:t>52</w:t>
      </w:r>
      <w:r>
        <w:fldChar w:fldCharType="end"/>
      </w:r>
      <w:r>
        <w:fldChar w:fldCharType="end"/>
      </w:r>
    </w:p>
    <w:p>
      <w:pPr>
        <w:pStyle w:val="22"/>
        <w:tabs>
          <w:tab w:val="right" w:leader="dot" w:pos="9072"/>
        </w:tabs>
      </w:pPr>
      <w:r>
        <w:fldChar w:fldCharType="begin"/>
      </w:r>
      <w:r>
        <w:instrText xml:space="preserve"> HYPERLINK \l "_Toc4630" </w:instrText>
      </w:r>
      <w: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_Toc4630 </w:instrText>
      </w:r>
      <w:r>
        <w:fldChar w:fldCharType="separate"/>
      </w:r>
      <w:r>
        <w:t>54</w:t>
      </w:r>
      <w:r>
        <w:fldChar w:fldCharType="end"/>
      </w:r>
      <w:r>
        <w:fldChar w:fldCharType="end"/>
      </w:r>
    </w:p>
    <w:p>
      <w:pPr>
        <w:pStyle w:val="22"/>
        <w:tabs>
          <w:tab w:val="right" w:leader="dot" w:pos="9072"/>
        </w:tabs>
      </w:pPr>
      <w:r>
        <w:fldChar w:fldCharType="begin"/>
      </w:r>
      <w:r>
        <w:instrText xml:space="preserve"> HYPERLINK \l "_Toc16369" </w:instrText>
      </w:r>
      <w: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_Toc16369 </w:instrText>
      </w:r>
      <w:r>
        <w:fldChar w:fldCharType="separate"/>
      </w:r>
      <w:r>
        <w:t>55</w:t>
      </w:r>
      <w:r>
        <w:fldChar w:fldCharType="end"/>
      </w:r>
      <w:r>
        <w:fldChar w:fldCharType="end"/>
      </w:r>
    </w:p>
    <w:p>
      <w:pPr>
        <w:pStyle w:val="22"/>
        <w:tabs>
          <w:tab w:val="right" w:leader="dot" w:pos="9072"/>
        </w:tabs>
      </w:pPr>
      <w:r>
        <w:fldChar w:fldCharType="begin"/>
      </w:r>
      <w:r>
        <w:instrText xml:space="preserve"> HYPERLINK \l "_Toc22197" </w:instrText>
      </w:r>
      <w: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_Toc22197 </w:instrText>
      </w:r>
      <w:r>
        <w:fldChar w:fldCharType="separate"/>
      </w:r>
      <w:r>
        <w:t>56</w:t>
      </w:r>
      <w:r>
        <w:fldChar w:fldCharType="end"/>
      </w:r>
      <w:r>
        <w:fldChar w:fldCharType="end"/>
      </w:r>
    </w:p>
    <w:p>
      <w:pPr>
        <w:pStyle w:val="22"/>
        <w:tabs>
          <w:tab w:val="right" w:leader="dot" w:pos="9072"/>
        </w:tabs>
      </w:pPr>
      <w:r>
        <w:fldChar w:fldCharType="begin"/>
      </w:r>
      <w:r>
        <w:instrText xml:space="preserve"> HYPERLINK \l "_Toc13083" </w:instrText>
      </w:r>
      <w: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_Toc13083 </w:instrText>
      </w:r>
      <w:r>
        <w:fldChar w:fldCharType="separate"/>
      </w:r>
      <w:r>
        <w:t>57</w:t>
      </w:r>
      <w:r>
        <w:fldChar w:fldCharType="end"/>
      </w:r>
      <w:r>
        <w:fldChar w:fldCharType="end"/>
      </w:r>
    </w:p>
    <w:p>
      <w:pPr>
        <w:pStyle w:val="22"/>
        <w:tabs>
          <w:tab w:val="right" w:leader="dot" w:pos="9072"/>
        </w:tabs>
      </w:pPr>
      <w:r>
        <w:fldChar w:fldCharType="begin"/>
      </w:r>
      <w:r>
        <w:instrText xml:space="preserve"> HYPERLINK \l "_Toc30405" </w:instrText>
      </w:r>
      <w: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_Toc30405 </w:instrText>
      </w:r>
      <w:r>
        <w:fldChar w:fldCharType="separate"/>
      </w:r>
      <w:r>
        <w:t>58</w:t>
      </w:r>
      <w:r>
        <w:fldChar w:fldCharType="end"/>
      </w:r>
      <w:r>
        <w:fldChar w:fldCharType="end"/>
      </w:r>
    </w:p>
    <w:p>
      <w:pPr>
        <w:pStyle w:val="22"/>
        <w:tabs>
          <w:tab w:val="right" w:leader="dot" w:pos="9072"/>
        </w:tabs>
      </w:pPr>
      <w:r>
        <w:fldChar w:fldCharType="begin"/>
      </w:r>
      <w:r>
        <w:instrText xml:space="preserve"> HYPERLINK \l "_Toc12393" </w:instrText>
      </w:r>
      <w:r>
        <w:fldChar w:fldCharType="separate"/>
      </w:r>
      <w:r>
        <w:rPr>
          <w:rFonts w:hint="eastAsia" w:asciiTheme="minorEastAsia" w:hAnsiTheme="minorEastAsia" w:eastAsiaTheme="minorEastAsia" w:cstheme="minorEastAsia"/>
          <w:bCs/>
          <w:spacing w:val="6"/>
          <w:szCs w:val="21"/>
        </w:rPr>
        <w:t>二十、参加本次政府采购活动前3年内发生诉讼及仲裁情况表</w:t>
      </w:r>
      <w:r>
        <w:tab/>
      </w:r>
      <w:r>
        <w:fldChar w:fldCharType="begin"/>
      </w:r>
      <w:r>
        <w:instrText xml:space="preserve"> PAGEREF _Toc12393 </w:instrText>
      </w:r>
      <w:r>
        <w:fldChar w:fldCharType="separate"/>
      </w:r>
      <w:r>
        <w:t>59</w:t>
      </w:r>
      <w:r>
        <w:fldChar w:fldCharType="end"/>
      </w:r>
      <w:r>
        <w:fldChar w:fldCharType="end"/>
      </w:r>
    </w:p>
    <w:p>
      <w:pPr>
        <w:pStyle w:val="22"/>
        <w:tabs>
          <w:tab w:val="right" w:leader="dot" w:pos="9072"/>
        </w:tabs>
      </w:pPr>
      <w:r>
        <w:fldChar w:fldCharType="begin"/>
      </w:r>
      <w:r>
        <w:instrText xml:space="preserve"> HYPERLINK \l "_Toc2053" </w:instrText>
      </w:r>
      <w: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二十一、磋商供应商认为应该提交的其它文件（格式自拟）</w:t>
      </w:r>
      <w:r>
        <w:tab/>
      </w:r>
      <w:r>
        <w:fldChar w:fldCharType="begin"/>
      </w:r>
      <w:r>
        <w:instrText xml:space="preserve"> PAGEREF _Toc2053 </w:instrText>
      </w:r>
      <w:r>
        <w:fldChar w:fldCharType="separate"/>
      </w:r>
      <w:r>
        <w:t>59</w:t>
      </w:r>
      <w:r>
        <w:fldChar w:fldCharType="end"/>
      </w:r>
      <w: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 w:val="36"/>
          <w:szCs w:val="36"/>
        </w:rPr>
        <w:br w:type="page"/>
      </w:r>
    </w:p>
    <w:p>
      <w:pPr>
        <w:pStyle w:val="3"/>
        <w:numPr>
          <w:ilvl w:val="0"/>
          <w:numId w:val="4"/>
        </w:numPr>
        <w:jc w:val="center"/>
        <w:rPr>
          <w:rFonts w:asciiTheme="minorEastAsia" w:hAnsiTheme="minorEastAsia" w:eastAsiaTheme="minorEastAsia" w:cstheme="minorEastAsia"/>
          <w:color w:val="000000" w:themeColor="text1"/>
          <w:sz w:val="36"/>
          <w:szCs w:val="36"/>
        </w:rPr>
      </w:pPr>
      <w:bookmarkStart w:id="0" w:name="_Toc31752"/>
      <w:r>
        <w:rPr>
          <w:rFonts w:hint="eastAsia" w:asciiTheme="minorEastAsia" w:hAnsiTheme="minorEastAsia" w:eastAsiaTheme="minorEastAsia" w:cstheme="minorEastAsia"/>
          <w:color w:val="000000" w:themeColor="text1"/>
          <w:sz w:val="36"/>
          <w:szCs w:val="36"/>
        </w:rPr>
        <w:t>竞争性磋商采购公告</w:t>
      </w:r>
      <w:bookmarkEnd w:id="0"/>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中经国际招标集团有限公司（以下简称“采购代理机构”）受</w:t>
      </w:r>
      <w:r>
        <w:rPr>
          <w:rFonts w:hint="eastAsia" w:ascii="宋体" w:hAnsi="宋体" w:eastAsia="宋体" w:cs="宋体"/>
          <w:color w:val="000000" w:themeColor="text1"/>
          <w:szCs w:val="21"/>
          <w:u w:val="single"/>
        </w:rPr>
        <w:t>湖北省某部</w:t>
      </w:r>
      <w:r>
        <w:rPr>
          <w:rFonts w:hint="eastAsia" w:ascii="宋体" w:hAnsi="宋体" w:eastAsia="宋体" w:cs="宋体"/>
          <w:color w:val="000000" w:themeColor="text1"/>
          <w:szCs w:val="21"/>
        </w:rPr>
        <w:t>（以下简称“采购人”）的委托，对</w:t>
      </w:r>
      <w:r>
        <w:rPr>
          <w:rFonts w:hint="eastAsia" w:ascii="宋体" w:hAnsi="宋体" w:eastAsia="宋体" w:cs="宋体"/>
          <w:color w:val="000000" w:themeColor="text1"/>
          <w:szCs w:val="21"/>
          <w:u w:val="single"/>
        </w:rPr>
        <w:t>某基地田径场和炊事员培训中心工程监理服务</w:t>
      </w:r>
      <w:r>
        <w:rPr>
          <w:rFonts w:hint="eastAsia" w:ascii="宋体" w:hAnsi="宋体" w:eastAsia="宋体" w:cs="宋体"/>
          <w:color w:val="000000" w:themeColor="text1"/>
          <w:szCs w:val="21"/>
        </w:rPr>
        <w:t>项目进行竞争性磋商采购。欢迎符合资质条件并对此感兴趣的响应供应商参与磋商。</w:t>
      </w:r>
    </w:p>
    <w:p>
      <w:pPr>
        <w:pStyle w:val="4"/>
        <w:numPr>
          <w:ilvl w:val="0"/>
          <w:numId w:val="5"/>
        </w:numPr>
        <w:spacing w:line="360" w:lineRule="auto"/>
        <w:rPr>
          <w:rFonts w:hint="eastAsia" w:ascii="宋体" w:hAnsi="宋体" w:eastAsia="宋体" w:cs="宋体"/>
          <w:color w:val="000000" w:themeColor="text1"/>
          <w:sz w:val="21"/>
          <w:szCs w:val="21"/>
        </w:rPr>
      </w:pPr>
      <w:bookmarkStart w:id="1" w:name="_Toc10673365"/>
      <w:bookmarkStart w:id="2" w:name="_Toc23202"/>
      <w:bookmarkStart w:id="3" w:name="_Toc29907"/>
      <w:r>
        <w:rPr>
          <w:rFonts w:hint="eastAsia" w:ascii="宋体" w:hAnsi="宋体" w:eastAsia="宋体" w:cs="宋体"/>
          <w:color w:val="000000" w:themeColor="text1"/>
          <w:sz w:val="21"/>
          <w:szCs w:val="21"/>
        </w:rPr>
        <w:t>项目概况</w:t>
      </w:r>
      <w:bookmarkEnd w:id="1"/>
      <w:bookmarkEnd w:id="2"/>
      <w:bookmarkEnd w:id="3"/>
    </w:p>
    <w:p>
      <w:p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1、项目名称： </w:t>
      </w:r>
      <w:r>
        <w:rPr>
          <w:rFonts w:hint="eastAsia" w:ascii="宋体" w:hAnsi="宋体" w:eastAsia="宋体" w:cs="宋体"/>
          <w:color w:val="000000" w:themeColor="text1"/>
          <w:szCs w:val="21"/>
          <w:u w:val="none"/>
        </w:rPr>
        <w:t>某基地田径场和炊事员培训中心工程监理服务</w:t>
      </w:r>
      <w:r>
        <w:rPr>
          <w:rFonts w:hint="eastAsia" w:ascii="宋体" w:hAnsi="宋体" w:eastAsia="宋体" w:cs="宋体"/>
          <w:color w:val="000000" w:themeColor="text1"/>
          <w:szCs w:val="21"/>
        </w:rPr>
        <w:br w:type="textWrapping"/>
      </w:r>
      <w:r>
        <w:rPr>
          <w:rFonts w:hint="eastAsia" w:ascii="宋体" w:hAnsi="宋体" w:eastAsia="宋体" w:cs="宋体"/>
          <w:color w:val="000000" w:themeColor="text1"/>
          <w:szCs w:val="21"/>
        </w:rPr>
        <w:t>2、项目编号： XM-2020-1716-C0028</w:t>
      </w:r>
    </w:p>
    <w:p>
      <w:pPr>
        <w:spacing w:line="360" w:lineRule="auto"/>
        <w:ind w:firstLine="420" w:firstLine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3、采购预算：人民币</w:t>
      </w:r>
      <w:r>
        <w:rPr>
          <w:rFonts w:hint="eastAsia" w:ascii="宋体" w:hAnsi="宋体" w:eastAsia="宋体" w:cs="宋体"/>
          <w:color w:val="000000" w:themeColor="text1"/>
          <w:szCs w:val="21"/>
          <w:u w:val="single"/>
        </w:rPr>
        <w:t>23.68</w:t>
      </w:r>
      <w:r>
        <w:rPr>
          <w:rFonts w:hint="eastAsia" w:ascii="宋体" w:hAnsi="宋体" w:eastAsia="宋体" w:cs="宋体"/>
          <w:color w:val="000000" w:themeColor="text1"/>
          <w:szCs w:val="21"/>
        </w:rPr>
        <w:t>万元（超预算作废标处理）</w:t>
      </w:r>
    </w:p>
    <w:p>
      <w:pPr>
        <w:spacing w:line="360" w:lineRule="auto"/>
        <w:ind w:firstLine="420" w:firstLine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4、资金性质：自筹资金</w:t>
      </w:r>
    </w:p>
    <w:p>
      <w:pPr>
        <w:spacing w:line="360" w:lineRule="auto"/>
        <w:ind w:firstLine="420" w:firstLine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5、项目内容及需求：本次竞争性磋商共分</w:t>
      </w:r>
      <w:r>
        <w:rPr>
          <w:rFonts w:hint="eastAsia" w:ascii="宋体" w:hAnsi="宋体" w:eastAsia="宋体" w:cs="宋体"/>
          <w:color w:val="000000" w:themeColor="text1"/>
          <w:szCs w:val="21"/>
          <w:u w:val="single"/>
        </w:rPr>
        <w:t>1</w:t>
      </w:r>
      <w:r>
        <w:rPr>
          <w:rFonts w:hint="eastAsia" w:ascii="宋体" w:hAnsi="宋体" w:eastAsia="宋体" w:cs="宋体"/>
          <w:color w:val="000000" w:themeColor="text1"/>
          <w:szCs w:val="21"/>
        </w:rPr>
        <w:t>个项目包，具体需求如下，详细技术规格、参数及商务要求见本项目磋商文件第三章内容。</w:t>
      </w:r>
    </w:p>
    <w:p>
      <w:pPr>
        <w:spacing w:line="360" w:lineRule="auto"/>
        <w:ind w:firstLine="420" w:firstLine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第1包：</w:t>
      </w:r>
    </w:p>
    <w:p>
      <w:pPr>
        <w:numPr>
          <w:ilvl w:val="0"/>
          <w:numId w:val="6"/>
        </w:num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项目包编号：01</w:t>
      </w:r>
    </w:p>
    <w:p>
      <w:pPr>
        <w:numPr>
          <w:ilvl w:val="0"/>
          <w:numId w:val="6"/>
        </w:num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项目包名称：</w:t>
      </w:r>
      <w:r>
        <w:rPr>
          <w:rFonts w:hint="eastAsia" w:ascii="宋体" w:hAnsi="宋体" w:eastAsia="宋体" w:cs="宋体"/>
          <w:color w:val="000000" w:themeColor="text1"/>
          <w:szCs w:val="21"/>
          <w:u w:val="none"/>
        </w:rPr>
        <w:t>某基地田径场和炊事员培训中心工程监理服务</w:t>
      </w:r>
    </w:p>
    <w:p>
      <w:pPr>
        <w:numPr>
          <w:ilvl w:val="0"/>
          <w:numId w:val="6"/>
        </w:num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类别：服务</w:t>
      </w:r>
    </w:p>
    <w:p>
      <w:pPr>
        <w:numPr>
          <w:ilvl w:val="0"/>
          <w:numId w:val="6"/>
        </w:num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简要技术要求/项目性质：遴选一家工程监理服务单位，负责某基地田径场和炊事员培训中心工程监理服务项目的全部建设工程的监理服务工作，工程地点为湖北省武汉市江夏区郑店街东风村；(详见采购文件第三章“项目采购需求”）</w:t>
      </w:r>
    </w:p>
    <w:p>
      <w:pPr>
        <w:numPr>
          <w:ilvl w:val="0"/>
          <w:numId w:val="6"/>
        </w:numPr>
        <w:spacing w:line="360" w:lineRule="auto"/>
        <w:ind w:left="420" w:leftChars="200"/>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服务期：合同签订之日起至项目全部工程竣工验收合格并经审计结束；</w:t>
      </w:r>
      <w:r>
        <w:rPr>
          <w:rFonts w:hint="eastAsia" w:ascii="宋体" w:hAnsi="宋体" w:eastAsia="宋体" w:cs="宋体"/>
          <w:color w:val="000000" w:themeColor="text1"/>
          <w:szCs w:val="21"/>
        </w:rPr>
        <w:br w:type="textWrapping"/>
      </w:r>
      <w:r>
        <w:rPr>
          <w:rFonts w:hint="eastAsia" w:ascii="宋体" w:hAnsi="宋体" w:eastAsia="宋体" w:cs="宋体"/>
          <w:color w:val="000000" w:themeColor="text1"/>
          <w:szCs w:val="21"/>
        </w:rPr>
        <w:t>6、供应商参加磋商的报价超过该包采购预算金额的，该包磋商报价无效；</w:t>
      </w:r>
    </w:p>
    <w:p>
      <w:pPr>
        <w:spacing w:line="360" w:lineRule="auto"/>
        <w:ind w:firstLine="420" w:firstLineChars="200"/>
        <w:jc w:val="left"/>
        <w:rPr>
          <w:rFonts w:hint="eastAsia" w:ascii="宋体" w:hAnsi="宋体" w:eastAsia="宋体" w:cs="宋体"/>
          <w:color w:val="000000" w:themeColor="text1"/>
        </w:rPr>
      </w:pPr>
      <w:r>
        <w:rPr>
          <w:rFonts w:hint="eastAsia" w:ascii="宋体" w:hAnsi="宋体" w:eastAsia="宋体" w:cs="宋体"/>
          <w:color w:val="000000" w:themeColor="text1"/>
          <w:szCs w:val="21"/>
        </w:rPr>
        <w:t>7、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宋体" w:hAnsi="宋体" w:eastAsia="宋体" w:cs="宋体"/>
          <w:color w:val="000000" w:themeColor="text1"/>
          <w:szCs w:val="21"/>
        </w:rPr>
        <w:br w:type="textWrapping"/>
      </w:r>
      <w:r>
        <w:rPr>
          <w:rFonts w:hint="eastAsia" w:ascii="宋体" w:hAnsi="宋体" w:eastAsia="宋体" w:cs="宋体"/>
          <w:color w:val="000000" w:themeColor="text1"/>
          <w:szCs w:val="21"/>
        </w:rPr>
        <w:t>本项目是否专门面向中小企业、监狱企业、残疾人福利性单位：</w:t>
      </w:r>
      <w:r>
        <w:rPr>
          <w:rFonts w:hint="eastAsia" w:ascii="宋体" w:hAnsi="宋体" w:eastAsia="宋体" w:cs="宋体"/>
          <w:color w:val="000000" w:themeColor="text1"/>
          <w:szCs w:val="21"/>
          <w:u w:val="single"/>
        </w:rPr>
        <w:t>否</w:t>
      </w:r>
      <w:r>
        <w:rPr>
          <w:rFonts w:hint="eastAsia" w:ascii="宋体" w:hAnsi="宋体" w:eastAsia="宋体" w:cs="宋体"/>
          <w:color w:val="000000" w:themeColor="text1"/>
          <w:szCs w:val="21"/>
        </w:rPr>
        <w:br w:type="textWrapping"/>
      </w:r>
      <w:r>
        <w:rPr>
          <w:rFonts w:hint="eastAsia" w:ascii="宋体" w:hAnsi="宋体" w:eastAsia="宋体" w:cs="宋体"/>
          <w:color w:val="000000" w:themeColor="text1"/>
          <w:szCs w:val="21"/>
        </w:rPr>
        <w:t xml:space="preserve">    8、供应商如需查询技术要求可直接到我处查阅磋商文件。</w:t>
      </w:r>
    </w:p>
    <w:p>
      <w:pPr>
        <w:pStyle w:val="4"/>
        <w:numPr>
          <w:ilvl w:val="0"/>
          <w:numId w:val="5"/>
        </w:numPr>
        <w:spacing w:line="360" w:lineRule="auto"/>
        <w:rPr>
          <w:rFonts w:hint="eastAsia" w:ascii="宋体" w:hAnsi="宋体" w:eastAsia="宋体" w:cs="宋体"/>
          <w:color w:val="000000" w:themeColor="text1"/>
          <w:sz w:val="21"/>
          <w:szCs w:val="21"/>
        </w:rPr>
      </w:pPr>
      <w:bookmarkStart w:id="4" w:name="_Toc334539183"/>
      <w:bookmarkStart w:id="5" w:name="_Toc10673366"/>
      <w:bookmarkStart w:id="6" w:name="_Toc10989"/>
      <w:bookmarkStart w:id="7" w:name="_Toc13652"/>
      <w:r>
        <w:rPr>
          <w:rFonts w:hint="eastAsia" w:ascii="宋体" w:hAnsi="宋体" w:eastAsia="宋体" w:cs="宋体"/>
          <w:color w:val="000000" w:themeColor="text1"/>
          <w:sz w:val="21"/>
          <w:szCs w:val="21"/>
        </w:rPr>
        <w:t>资格要求</w:t>
      </w:r>
      <w:bookmarkEnd w:id="4"/>
      <w:bookmarkEnd w:id="5"/>
      <w:bookmarkEnd w:id="6"/>
      <w:bookmarkEnd w:id="7"/>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供应商资格要求为参与本项目供应商应具备的基本条件，参加磋商的供应商必须满足资格要求中的对应的所有条款，并按照相关规定在响应文件中递交资格证明文件。</w:t>
      </w:r>
    </w:p>
    <w:p>
      <w:pPr>
        <w:spacing w:line="360" w:lineRule="auto"/>
        <w:ind w:left="420" w:left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1.供应商必须符合《中华人民共和国政府采购法》第二十二条要求；</w:t>
      </w:r>
    </w:p>
    <w:p>
      <w:pPr>
        <w:spacing w:line="360" w:lineRule="auto"/>
        <w:ind w:left="446"/>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1.1具有独立承担民事责任的能力；</w:t>
      </w:r>
    </w:p>
    <w:p>
      <w:pPr>
        <w:spacing w:line="360" w:lineRule="auto"/>
        <w:ind w:left="420" w:firstLine="315" w:firstLineChars="150"/>
        <w:rPr>
          <w:rFonts w:hint="eastAsia" w:ascii="宋体" w:hAnsi="宋体" w:eastAsia="宋体" w:cs="宋体"/>
          <w:color w:val="000000" w:themeColor="text1"/>
          <w:szCs w:val="21"/>
        </w:rPr>
      </w:pPr>
      <w:r>
        <w:rPr>
          <w:rFonts w:hint="eastAsia" w:ascii="宋体" w:hAnsi="宋体" w:eastAsia="宋体" w:cs="宋体"/>
          <w:color w:val="000000" w:themeColor="text1"/>
          <w:szCs w:val="21"/>
        </w:rPr>
        <w:t>1.2具有良好的商业信誉和健全的财务会计制度；</w:t>
      </w:r>
    </w:p>
    <w:p>
      <w:pPr>
        <w:spacing w:line="360" w:lineRule="auto"/>
        <w:ind w:left="420" w:firstLine="315" w:firstLineChars="150"/>
        <w:rPr>
          <w:rFonts w:hint="eastAsia" w:ascii="宋体" w:hAnsi="宋体" w:eastAsia="宋体" w:cs="宋体"/>
          <w:color w:val="000000" w:themeColor="text1"/>
          <w:szCs w:val="21"/>
        </w:rPr>
      </w:pPr>
      <w:r>
        <w:rPr>
          <w:rFonts w:hint="eastAsia" w:ascii="宋体" w:hAnsi="宋体" w:eastAsia="宋体" w:cs="宋体"/>
          <w:color w:val="000000" w:themeColor="text1"/>
          <w:szCs w:val="21"/>
        </w:rPr>
        <w:t>1.3具有履行合同所必需的设备和专业技术能力；</w:t>
      </w:r>
    </w:p>
    <w:p>
      <w:pPr>
        <w:spacing w:line="360" w:lineRule="auto"/>
        <w:ind w:left="420" w:firstLine="315" w:firstLineChars="150"/>
        <w:rPr>
          <w:rFonts w:hint="eastAsia" w:ascii="宋体" w:hAnsi="宋体" w:eastAsia="宋体" w:cs="宋体"/>
          <w:color w:val="000000" w:themeColor="text1"/>
          <w:szCs w:val="21"/>
        </w:rPr>
      </w:pPr>
      <w:r>
        <w:rPr>
          <w:rFonts w:hint="eastAsia" w:ascii="宋体" w:hAnsi="宋体" w:eastAsia="宋体" w:cs="宋体"/>
          <w:color w:val="000000" w:themeColor="text1"/>
          <w:szCs w:val="21"/>
        </w:rPr>
        <w:t>1.4有依法缴纳税收和社会保障资金的良好记录；</w:t>
      </w:r>
    </w:p>
    <w:p>
      <w:pPr>
        <w:spacing w:line="360" w:lineRule="auto"/>
        <w:ind w:left="420" w:firstLine="315" w:firstLineChars="150"/>
        <w:rPr>
          <w:rFonts w:hint="eastAsia" w:ascii="宋体" w:hAnsi="宋体" w:eastAsia="宋体" w:cs="宋体"/>
          <w:color w:val="000000" w:themeColor="text1"/>
          <w:szCs w:val="21"/>
        </w:rPr>
      </w:pPr>
      <w:r>
        <w:rPr>
          <w:rFonts w:hint="eastAsia" w:ascii="宋体" w:hAnsi="宋体" w:eastAsia="宋体" w:cs="宋体"/>
          <w:color w:val="000000" w:themeColor="text1"/>
          <w:szCs w:val="21"/>
        </w:rPr>
        <w:t>1.5参加政府采购活动前三年内（不足3年按公司成立时间起算），在经营活动中没有重大违法记录（提供书面声明，格式见磋商文件第六章），（重大违法记录是指供应商因违法经营受到刑事处罚或者责令停产停业、吊销许可证或者执照、较大数额罚款等行政处罚）；</w:t>
      </w:r>
    </w:p>
    <w:p>
      <w:pPr>
        <w:spacing w:line="360" w:lineRule="auto"/>
        <w:ind w:left="420" w:firstLine="315" w:firstLineChars="150"/>
        <w:rPr>
          <w:rFonts w:hint="eastAsia" w:ascii="宋体" w:hAnsi="宋体" w:eastAsia="宋体" w:cs="宋体"/>
          <w:color w:val="000000" w:themeColor="text1"/>
          <w:szCs w:val="21"/>
        </w:rPr>
      </w:pPr>
      <w:r>
        <w:rPr>
          <w:rFonts w:hint="eastAsia" w:ascii="宋体" w:hAnsi="宋体" w:eastAsia="宋体" w:cs="宋体"/>
          <w:color w:val="000000" w:themeColor="text1"/>
          <w:szCs w:val="21"/>
        </w:rPr>
        <w:t>1.6法律、行政法规规定的其他条件；</w:t>
      </w:r>
    </w:p>
    <w:p>
      <w:pPr>
        <w:spacing w:line="360" w:lineRule="auto"/>
        <w:ind w:left="420" w:leftChars="200"/>
        <w:rPr>
          <w:rFonts w:hint="eastAsia" w:ascii="宋体" w:hAnsi="宋体" w:eastAsia="宋体" w:cs="宋体"/>
          <w:color w:val="000000" w:themeColor="text1"/>
        </w:rPr>
      </w:pPr>
      <w:r>
        <w:rPr>
          <w:rFonts w:hint="eastAsia" w:ascii="宋体" w:hAnsi="宋体" w:eastAsia="宋体" w:cs="宋体"/>
          <w:color w:val="000000" w:themeColor="text1"/>
          <w:szCs w:val="21"/>
        </w:rPr>
        <w:t>2.供应商参加本次政府采购活动前一年内未被列入“信用中国”网站(www.creditchina.gov.cn)失信被执行人、重大税收违法案件当事人、政府采购严重违法失信行为记录名单和“中国政府采购”网站（www.ccgp.gov.cn）政府采购严重违法失信行为记录名单（评审时以采购代理机构磋商现场查询结果为准）；</w:t>
      </w:r>
    </w:p>
    <w:p>
      <w:pPr>
        <w:spacing w:line="360" w:lineRule="auto"/>
        <w:ind w:left="420" w:leftChars="200"/>
        <w:rPr>
          <w:rFonts w:hint="eastAsia" w:ascii="宋体" w:hAnsi="宋体" w:eastAsia="宋体" w:cs="宋体"/>
          <w:color w:val="000000" w:themeColor="text1"/>
        </w:rPr>
      </w:pPr>
      <w:r>
        <w:rPr>
          <w:rFonts w:hint="eastAsia" w:ascii="宋体" w:hAnsi="宋体" w:eastAsia="宋体" w:cs="宋体"/>
          <w:color w:val="000000" w:themeColor="text1"/>
        </w:rPr>
        <w:t>3.供应商须具有</w:t>
      </w:r>
      <w:r>
        <w:rPr>
          <w:rFonts w:hint="eastAsia" w:ascii="宋体" w:hAnsi="宋体" w:eastAsia="宋体" w:cs="宋体"/>
          <w:color w:val="000000" w:themeColor="text1"/>
          <w:spacing w:val="-3"/>
          <w:szCs w:val="21"/>
        </w:rPr>
        <w:t>建设行政主管部门核发的工程监理乙级（含）及以上资质。</w:t>
      </w:r>
    </w:p>
    <w:p>
      <w:pPr>
        <w:spacing w:line="360" w:lineRule="auto"/>
        <w:ind w:firstLine="408" w:firstLineChars="200"/>
        <w:rPr>
          <w:rFonts w:hint="eastAsia" w:ascii="宋体" w:hAnsi="宋体" w:eastAsia="宋体" w:cs="宋体"/>
          <w:color w:val="000000" w:themeColor="text1"/>
          <w:spacing w:val="-3"/>
          <w:szCs w:val="21"/>
        </w:rPr>
      </w:pPr>
      <w:r>
        <w:rPr>
          <w:rFonts w:hint="eastAsia" w:ascii="宋体" w:hAnsi="宋体" w:eastAsia="宋体" w:cs="宋体"/>
          <w:color w:val="000000" w:themeColor="text1"/>
          <w:spacing w:val="-3"/>
          <w:szCs w:val="21"/>
        </w:rPr>
        <w:t>4.供应商拟派项目负责人须具有房屋建筑工程或市政工程专业的国家注册监理工程师资格、建筑或市政专业高级及以上职称（提供身份证、注册证、职称证、劳动合同及近三个月缴纳社保的证明）；</w:t>
      </w:r>
    </w:p>
    <w:p>
      <w:pPr>
        <w:spacing w:line="360" w:lineRule="auto"/>
        <w:ind w:firstLine="408" w:firstLineChars="200"/>
        <w:rPr>
          <w:rFonts w:hint="eastAsia" w:ascii="宋体" w:hAnsi="宋体" w:eastAsia="宋体" w:cs="宋体"/>
          <w:color w:val="000000" w:themeColor="text1"/>
          <w:spacing w:val="-3"/>
          <w:szCs w:val="21"/>
        </w:rPr>
      </w:pPr>
      <w:r>
        <w:rPr>
          <w:rFonts w:hint="eastAsia" w:ascii="宋体" w:hAnsi="宋体" w:eastAsia="宋体" w:cs="宋体"/>
          <w:color w:val="000000" w:themeColor="text1"/>
          <w:spacing w:val="-3"/>
          <w:szCs w:val="21"/>
        </w:rPr>
        <w:t>5.供应商拟派本项目其他配备人员须具有监理员或监理工程师资格、建筑或市政专业中级及以上职称（提供身份证、注册证或上岗证、职称证、劳动合同及近三个月缴纳社保的证明）；</w:t>
      </w:r>
    </w:p>
    <w:p>
      <w:pPr>
        <w:spacing w:line="360" w:lineRule="auto"/>
        <w:ind w:firstLine="408" w:firstLineChars="200"/>
        <w:rPr>
          <w:rFonts w:hint="eastAsia" w:ascii="宋体" w:hAnsi="宋体" w:eastAsia="宋体" w:cs="宋体"/>
          <w:color w:val="000000" w:themeColor="text1"/>
        </w:rPr>
      </w:pPr>
      <w:r>
        <w:rPr>
          <w:rFonts w:hint="eastAsia" w:ascii="宋体" w:hAnsi="宋体" w:eastAsia="宋体" w:cs="宋体"/>
          <w:color w:val="000000" w:themeColor="text1"/>
          <w:spacing w:val="-3"/>
          <w:szCs w:val="21"/>
        </w:rPr>
        <w:t>6.供应商近三年须具有的类似项目业绩（提供中标通知书和项目合同等证明材料）；</w:t>
      </w:r>
      <w:r>
        <w:rPr>
          <w:rFonts w:hint="eastAsia" w:ascii="宋体" w:hAnsi="宋体" w:eastAsia="宋体" w:cs="宋体"/>
          <w:color w:val="000000" w:themeColor="text1"/>
          <w:u w:val="single"/>
        </w:rPr>
        <w:t xml:space="preserve"> </w:t>
      </w:r>
    </w:p>
    <w:p>
      <w:pPr>
        <w:spacing w:line="360" w:lineRule="auto"/>
        <w:ind w:left="420" w:leftChars="200"/>
        <w:rPr>
          <w:rFonts w:hint="eastAsia" w:ascii="宋体" w:hAnsi="宋体" w:eastAsia="宋体" w:cs="宋体"/>
          <w:color w:val="000000" w:themeColor="text1"/>
        </w:rPr>
      </w:pPr>
      <w:r>
        <w:rPr>
          <w:rFonts w:hint="eastAsia" w:ascii="宋体" w:hAnsi="宋体" w:eastAsia="宋体" w:cs="宋体"/>
          <w:color w:val="000000" w:themeColor="text1"/>
        </w:rPr>
        <w:t>7.如国家法律法规对市场准入有要求的还应符合相关规定；</w:t>
      </w:r>
      <w:r>
        <w:rPr>
          <w:rFonts w:hint="eastAsia" w:ascii="宋体" w:hAnsi="宋体" w:eastAsia="宋体" w:cs="宋体"/>
          <w:color w:val="000000" w:themeColor="text1"/>
          <w:u w:val="single"/>
        </w:rPr>
        <w:t xml:space="preserve">  </w:t>
      </w:r>
    </w:p>
    <w:p>
      <w:pPr>
        <w:spacing w:line="360" w:lineRule="auto"/>
        <w:ind w:left="420" w:leftChars="200"/>
        <w:rPr>
          <w:rFonts w:hint="eastAsia" w:ascii="宋体" w:hAnsi="宋体" w:eastAsia="宋体" w:cs="宋体"/>
          <w:color w:val="000000" w:themeColor="text1"/>
        </w:rPr>
      </w:pPr>
      <w:r>
        <w:rPr>
          <w:rFonts w:hint="eastAsia" w:ascii="宋体" w:hAnsi="宋体" w:eastAsia="宋体" w:cs="宋体"/>
          <w:color w:val="000000" w:themeColor="text1"/>
        </w:rPr>
        <w:t>8.本项目</w:t>
      </w:r>
      <w:r>
        <w:rPr>
          <w:rFonts w:hint="eastAsia" w:ascii="宋体" w:hAnsi="宋体" w:eastAsia="宋体" w:cs="宋体"/>
          <w:color w:val="000000" w:themeColor="text1"/>
          <w:u w:val="single"/>
        </w:rPr>
        <w:t>不接受</w:t>
      </w:r>
      <w:r>
        <w:rPr>
          <w:rFonts w:hint="eastAsia" w:ascii="宋体" w:hAnsi="宋体" w:eastAsia="宋体" w:cs="宋体"/>
          <w:color w:val="000000" w:themeColor="text1"/>
        </w:rPr>
        <w:t>联合体参与磋商。</w:t>
      </w:r>
    </w:p>
    <w:p>
      <w:pPr>
        <w:pStyle w:val="4"/>
        <w:numPr>
          <w:ilvl w:val="0"/>
          <w:numId w:val="5"/>
        </w:numPr>
        <w:spacing w:line="360" w:lineRule="auto"/>
        <w:rPr>
          <w:rFonts w:hint="eastAsia" w:ascii="宋体" w:hAnsi="宋体" w:eastAsia="宋体" w:cs="宋体"/>
          <w:color w:val="000000" w:themeColor="text1"/>
          <w:sz w:val="21"/>
          <w:szCs w:val="21"/>
        </w:rPr>
      </w:pPr>
      <w:bookmarkStart w:id="8" w:name="_Toc334539184"/>
      <w:bookmarkStart w:id="9" w:name="_Toc31970"/>
      <w:bookmarkStart w:id="10" w:name="_Toc10673367"/>
      <w:bookmarkStart w:id="11" w:name="_Toc25251"/>
      <w:bookmarkStart w:id="12" w:name="_Toc334539185"/>
      <w:r>
        <w:rPr>
          <w:rFonts w:hint="eastAsia" w:ascii="宋体" w:hAnsi="宋体" w:eastAsia="宋体" w:cs="宋体"/>
          <w:color w:val="000000" w:themeColor="text1"/>
          <w:sz w:val="21"/>
          <w:szCs w:val="21"/>
        </w:rPr>
        <w:t>采购文件的</w:t>
      </w:r>
      <w:bookmarkEnd w:id="8"/>
      <w:r>
        <w:rPr>
          <w:rFonts w:hint="eastAsia" w:ascii="宋体" w:hAnsi="宋体" w:eastAsia="宋体" w:cs="宋体"/>
          <w:color w:val="000000" w:themeColor="text1"/>
          <w:sz w:val="21"/>
          <w:szCs w:val="21"/>
        </w:rPr>
        <w:t>获取</w:t>
      </w:r>
      <w:bookmarkEnd w:id="9"/>
      <w:bookmarkEnd w:id="10"/>
      <w:bookmarkEnd w:id="11"/>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获取时间：2020年</w:t>
      </w:r>
      <w:r>
        <w:rPr>
          <w:rFonts w:hint="eastAsia" w:ascii="宋体" w:hAnsi="宋体" w:cs="宋体"/>
          <w:color w:val="000000" w:themeColor="text1"/>
          <w:szCs w:val="21"/>
          <w:lang w:val="en-US" w:eastAsia="zh-CN"/>
        </w:rPr>
        <w:t>5</w:t>
      </w:r>
      <w:r>
        <w:rPr>
          <w:rFonts w:hint="eastAsia" w:ascii="宋体" w:hAnsi="宋体" w:eastAsia="宋体" w:cs="宋体"/>
          <w:color w:val="000000" w:themeColor="text1"/>
          <w:szCs w:val="21"/>
        </w:rPr>
        <w:t>月</w:t>
      </w:r>
      <w:r>
        <w:rPr>
          <w:rFonts w:hint="eastAsia" w:ascii="宋体" w:hAnsi="宋体" w:cs="宋体"/>
          <w:color w:val="000000" w:themeColor="text1"/>
          <w:szCs w:val="21"/>
          <w:lang w:val="en-US" w:eastAsia="zh-CN"/>
        </w:rPr>
        <w:t>8</w:t>
      </w:r>
      <w:r>
        <w:rPr>
          <w:rFonts w:hint="eastAsia" w:ascii="宋体" w:hAnsi="宋体" w:eastAsia="宋体" w:cs="宋体"/>
          <w:color w:val="000000" w:themeColor="text1"/>
          <w:szCs w:val="21"/>
        </w:rPr>
        <w:t>日起至2020年</w:t>
      </w:r>
      <w:r>
        <w:rPr>
          <w:rFonts w:hint="eastAsia" w:ascii="宋体" w:hAnsi="宋体" w:cs="宋体"/>
          <w:color w:val="000000" w:themeColor="text1"/>
          <w:szCs w:val="21"/>
          <w:lang w:val="en-US" w:eastAsia="zh-CN"/>
        </w:rPr>
        <w:t>5</w:t>
      </w:r>
      <w:r>
        <w:rPr>
          <w:rFonts w:hint="eastAsia" w:ascii="宋体" w:hAnsi="宋体" w:eastAsia="宋体" w:cs="宋体"/>
          <w:color w:val="000000" w:themeColor="text1"/>
          <w:szCs w:val="21"/>
        </w:rPr>
        <w:t>月</w:t>
      </w:r>
      <w:r>
        <w:rPr>
          <w:rFonts w:hint="eastAsia" w:ascii="宋体" w:hAnsi="宋体" w:cs="宋体"/>
          <w:color w:val="000000" w:themeColor="text1"/>
          <w:szCs w:val="21"/>
          <w:lang w:val="en-US" w:eastAsia="zh-CN"/>
        </w:rPr>
        <w:t>14</w:t>
      </w:r>
      <w:r>
        <w:rPr>
          <w:rFonts w:hint="eastAsia" w:ascii="宋体" w:hAnsi="宋体" w:eastAsia="宋体" w:cs="宋体"/>
          <w:color w:val="000000" w:themeColor="text1"/>
          <w:szCs w:val="21"/>
        </w:rPr>
        <w:t>日每天上午09:00～12:00、下午14:30～17:00，法定节假日以及休息日（周六周日）除外；</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获取地点：网上获取；</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获取方式：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①法定代表人身份证明书（格式附后）及法定代表人身份证真彩扫描件或法定代表人授权书（格式附后）及受托人身份证真彩扫描件；</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②营业执照真彩扫描件；</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③项目报名表（格式附后）；</w:t>
      </w:r>
    </w:p>
    <w:p>
      <w:pPr>
        <w:spacing w:line="360" w:lineRule="auto"/>
        <w:ind w:firstLine="420" w:firstLineChars="200"/>
        <w:rPr>
          <w:rFonts w:hint="eastAsia" w:ascii="宋体" w:hAnsi="宋体" w:eastAsia="宋体" w:cs="宋体"/>
          <w:color w:val="000000" w:themeColor="text1"/>
          <w:szCs w:val="21"/>
        </w:rPr>
      </w:pPr>
      <w:r>
        <w:rPr>
          <w:rFonts w:hint="eastAsia" w:ascii="宋体" w:hAnsi="宋体" w:eastAsia="宋体" w:cs="宋体"/>
          <w:color w:val="000000" w:themeColor="text1"/>
          <w:szCs w:val="21"/>
        </w:rPr>
        <w:t>磋商文件人民币300元/本，售后不退，不办理邮寄；</w:t>
      </w:r>
      <w:r>
        <w:rPr>
          <w:rFonts w:hint="eastAsia" w:ascii="宋体" w:hAnsi="宋体" w:eastAsia="宋体" w:cs="宋体"/>
          <w:bCs/>
          <w:color w:val="000000" w:themeColor="text1"/>
          <w:szCs w:val="21"/>
        </w:rPr>
        <w:br w:type="textWrapping"/>
      </w:r>
      <w:r>
        <w:rPr>
          <w:rFonts w:hint="eastAsia" w:ascii="宋体" w:hAnsi="宋体" w:eastAsia="宋体" w:cs="宋体"/>
          <w:bCs/>
          <w:color w:val="000000" w:themeColor="text1"/>
          <w:szCs w:val="21"/>
        </w:rPr>
        <w:t xml:space="preserve">    </w:t>
      </w:r>
      <w:r>
        <w:rPr>
          <w:rFonts w:hint="eastAsia" w:ascii="宋体" w:hAnsi="宋体" w:eastAsia="宋体" w:cs="宋体"/>
          <w:color w:val="000000" w:themeColor="text1"/>
          <w:szCs w:val="21"/>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ascii="宋体" w:hAnsi="宋体" w:eastAsia="宋体" w:cs="宋体"/>
          <w:color w:val="000000" w:themeColor="text1"/>
        </w:rPr>
        <w:t>为本项目提供过整体设计、规范编制或者项目管理、监理、检测等服务的供应商</w:t>
      </w:r>
      <w:r>
        <w:rPr>
          <w:rFonts w:hint="eastAsia" w:ascii="宋体" w:hAnsi="宋体" w:eastAsia="宋体" w:cs="宋体"/>
          <w:color w:val="000000" w:themeColor="text1"/>
          <w:szCs w:val="21"/>
        </w:rPr>
        <w:t>不得参加本次采购活动</w:t>
      </w:r>
      <w:r>
        <w:rPr>
          <w:rFonts w:hint="eastAsia" w:ascii="宋体" w:hAnsi="宋体" w:eastAsia="宋体" w:cs="宋体"/>
          <w:color w:val="000000" w:themeColor="text1"/>
        </w:rPr>
        <w:t>。</w:t>
      </w:r>
    </w:p>
    <w:bookmarkEnd w:id="12"/>
    <w:p>
      <w:pPr>
        <w:pStyle w:val="4"/>
        <w:numPr>
          <w:ilvl w:val="0"/>
          <w:numId w:val="5"/>
        </w:numPr>
        <w:spacing w:line="360" w:lineRule="auto"/>
        <w:rPr>
          <w:rFonts w:hint="eastAsia" w:ascii="宋体" w:hAnsi="宋体" w:eastAsia="宋体" w:cs="宋体"/>
          <w:color w:val="000000" w:themeColor="text1"/>
          <w:sz w:val="21"/>
          <w:szCs w:val="21"/>
        </w:rPr>
      </w:pPr>
      <w:bookmarkStart w:id="13" w:name="_Toc26921"/>
      <w:r>
        <w:rPr>
          <w:rFonts w:hint="eastAsia" w:ascii="宋体" w:hAnsi="宋体" w:eastAsia="宋体" w:cs="宋体"/>
          <w:color w:val="000000" w:themeColor="text1"/>
          <w:sz w:val="21"/>
          <w:szCs w:val="21"/>
        </w:rPr>
        <w:t>磋商响应文件送达地点及截止时间</w:t>
      </w:r>
      <w:bookmarkEnd w:id="13"/>
    </w:p>
    <w:p>
      <w:pPr>
        <w:spacing w:line="360" w:lineRule="auto"/>
        <w:rPr>
          <w:rFonts w:hint="eastAsia" w:ascii="宋体" w:hAnsi="宋体" w:eastAsia="宋体" w:cs="宋体"/>
          <w:color w:val="000000" w:themeColor="text1"/>
          <w:szCs w:val="21"/>
          <w:lang w:val="zh-CN"/>
        </w:rPr>
      </w:pPr>
      <w:bookmarkStart w:id="14" w:name="_Toc334539186"/>
      <w:bookmarkStart w:id="15" w:name="_Toc259028276"/>
      <w:r>
        <w:rPr>
          <w:rFonts w:hint="eastAsia" w:ascii="宋体" w:hAnsi="宋体" w:eastAsia="宋体" w:cs="宋体"/>
          <w:color w:val="000000" w:themeColor="text1"/>
          <w:szCs w:val="21"/>
          <w:lang w:val="zh-CN"/>
        </w:rPr>
        <w:t>送达地点：武昌区中北路岳家嘴</w:t>
      </w:r>
      <w:r>
        <w:rPr>
          <w:rFonts w:hint="eastAsia" w:ascii="宋体" w:hAnsi="宋体" w:eastAsia="宋体" w:cs="宋体"/>
          <w:color w:val="000000" w:themeColor="text1"/>
          <w:szCs w:val="21"/>
        </w:rPr>
        <w:t>立交</w:t>
      </w:r>
      <w:r>
        <w:rPr>
          <w:rFonts w:hint="eastAsia" w:ascii="宋体" w:hAnsi="宋体" w:eastAsia="宋体" w:cs="宋体"/>
          <w:color w:val="000000" w:themeColor="text1"/>
          <w:szCs w:val="21"/>
          <w:lang w:val="zh-CN"/>
        </w:rPr>
        <w:t>山河企业大厦480</w:t>
      </w:r>
      <w:r>
        <w:rPr>
          <w:rFonts w:hint="eastAsia" w:ascii="宋体" w:hAnsi="宋体" w:eastAsia="宋体" w:cs="宋体"/>
          <w:color w:val="000000" w:themeColor="text1"/>
          <w:szCs w:val="21"/>
        </w:rPr>
        <w:t>6</w:t>
      </w:r>
      <w:r>
        <w:rPr>
          <w:rFonts w:hint="eastAsia" w:ascii="宋体" w:hAnsi="宋体" w:eastAsia="宋体" w:cs="宋体"/>
          <w:color w:val="000000" w:themeColor="text1"/>
          <w:szCs w:val="21"/>
          <w:lang w:val="zh-CN"/>
        </w:rPr>
        <w:t>室</w:t>
      </w:r>
    </w:p>
    <w:p>
      <w:pPr>
        <w:spacing w:line="360" w:lineRule="auto"/>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截止时间：2020年</w:t>
      </w:r>
      <w:r>
        <w:rPr>
          <w:rFonts w:hint="eastAsia" w:ascii="宋体" w:hAnsi="宋体" w:cs="宋体"/>
          <w:color w:val="000000" w:themeColor="text1"/>
          <w:szCs w:val="21"/>
          <w:lang w:val="en-US" w:eastAsia="zh-CN"/>
        </w:rPr>
        <w:t>5</w:t>
      </w:r>
      <w:r>
        <w:rPr>
          <w:rFonts w:hint="eastAsia" w:ascii="宋体" w:hAnsi="宋体" w:eastAsia="宋体" w:cs="宋体"/>
          <w:color w:val="000000" w:themeColor="text1"/>
          <w:szCs w:val="21"/>
          <w:lang w:val="zh-CN"/>
        </w:rPr>
        <w:t>月</w:t>
      </w:r>
      <w:r>
        <w:rPr>
          <w:rFonts w:hint="eastAsia" w:ascii="宋体" w:hAnsi="宋体" w:cs="宋体"/>
          <w:color w:val="000000" w:themeColor="text1"/>
          <w:szCs w:val="21"/>
          <w:lang w:val="en-US" w:eastAsia="zh-CN"/>
        </w:rPr>
        <w:t>20</w:t>
      </w:r>
      <w:r>
        <w:rPr>
          <w:rFonts w:hint="eastAsia" w:ascii="宋体" w:hAnsi="宋体" w:eastAsia="宋体" w:cs="宋体"/>
          <w:color w:val="000000" w:themeColor="text1"/>
          <w:szCs w:val="21"/>
          <w:lang w:val="zh-CN"/>
        </w:rPr>
        <w:t>日</w:t>
      </w:r>
      <w:r>
        <w:rPr>
          <w:rFonts w:hint="eastAsia" w:ascii="宋体" w:hAnsi="宋体" w:cs="宋体"/>
          <w:color w:val="000000" w:themeColor="text1"/>
          <w:szCs w:val="21"/>
          <w:lang w:val="en-US" w:eastAsia="zh-CN"/>
        </w:rPr>
        <w:t>10:00</w:t>
      </w:r>
      <w:r>
        <w:rPr>
          <w:rFonts w:hint="eastAsia" w:ascii="宋体" w:hAnsi="宋体" w:eastAsia="宋体" w:cs="宋体"/>
          <w:color w:val="000000" w:themeColor="text1"/>
          <w:szCs w:val="21"/>
          <w:lang w:val="zh-CN"/>
        </w:rPr>
        <w:t>时（北京时间），截止时间前半小时开始接收文件</w:t>
      </w:r>
      <w:bookmarkEnd w:id="14"/>
      <w:bookmarkEnd w:id="15"/>
    </w:p>
    <w:p>
      <w:pPr>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lang w:val="zh-CN"/>
        </w:rPr>
        <w:t>参加要求：</w:t>
      </w:r>
      <w:r>
        <w:rPr>
          <w:rFonts w:hint="eastAsia" w:ascii="宋体" w:hAnsi="宋体" w:eastAsia="宋体" w:cs="宋体"/>
          <w:color w:val="000000" w:themeColor="text1"/>
          <w:szCs w:val="21"/>
        </w:rPr>
        <w:t>响应文件须密封后由响应文件合法签署人（指法定代表人或授权委托人）于截止时间前递至上述</w:t>
      </w:r>
      <w:r>
        <w:rPr>
          <w:rFonts w:hint="eastAsia" w:ascii="宋体" w:hAnsi="宋体" w:eastAsia="宋体" w:cs="宋体"/>
          <w:color w:val="000000" w:themeColor="text1"/>
          <w:szCs w:val="21"/>
          <w:lang w:val="zh-CN"/>
        </w:rPr>
        <w:t>送达</w:t>
      </w:r>
      <w:r>
        <w:rPr>
          <w:rFonts w:hint="eastAsia" w:ascii="宋体" w:hAnsi="宋体" w:eastAsia="宋体" w:cs="宋体"/>
          <w:color w:val="000000" w:themeColor="text1"/>
          <w:szCs w:val="21"/>
        </w:rPr>
        <w:t>地点。需携带法定代表人身份证明书（或法定代表人授权书）和本人身份证原件出席磋商会。逾期送达或未密封的响应文件恕不接受。</w:t>
      </w:r>
    </w:p>
    <w:p>
      <w:pPr>
        <w:pStyle w:val="4"/>
        <w:numPr>
          <w:ilvl w:val="0"/>
          <w:numId w:val="5"/>
        </w:numPr>
        <w:spacing w:line="360" w:lineRule="auto"/>
        <w:rPr>
          <w:rFonts w:hint="eastAsia" w:ascii="宋体" w:hAnsi="宋体" w:eastAsia="宋体" w:cs="宋体"/>
          <w:color w:val="000000" w:themeColor="text1"/>
          <w:sz w:val="21"/>
          <w:szCs w:val="21"/>
        </w:rPr>
      </w:pPr>
      <w:bookmarkStart w:id="16" w:name="_Toc259028277"/>
      <w:bookmarkStart w:id="17" w:name="_Toc21911"/>
      <w:bookmarkStart w:id="18" w:name="_Toc10673370"/>
      <w:bookmarkStart w:id="19" w:name="_Toc334539187"/>
      <w:bookmarkStart w:id="20" w:name="_Toc271"/>
      <w:r>
        <w:rPr>
          <w:rFonts w:hint="eastAsia" w:ascii="宋体" w:hAnsi="宋体" w:eastAsia="宋体" w:cs="宋体"/>
          <w:color w:val="000000" w:themeColor="text1"/>
          <w:sz w:val="21"/>
          <w:szCs w:val="21"/>
        </w:rPr>
        <w:t>采购人联系方式</w:t>
      </w:r>
      <w:bookmarkEnd w:id="16"/>
      <w:bookmarkEnd w:id="17"/>
      <w:bookmarkEnd w:id="18"/>
      <w:bookmarkEnd w:id="19"/>
      <w:bookmarkEnd w:id="20"/>
    </w:p>
    <w:p>
      <w:pPr>
        <w:spacing w:line="360" w:lineRule="auto"/>
        <w:rPr>
          <w:rFonts w:hint="eastAsia" w:ascii="宋体" w:hAnsi="宋体" w:eastAsia="宋体" w:cs="宋体"/>
          <w:color w:val="000000" w:themeColor="text1"/>
          <w:szCs w:val="21"/>
        </w:rPr>
      </w:pPr>
      <w:bookmarkStart w:id="21" w:name="_Toc259607751"/>
      <w:bookmarkStart w:id="22" w:name="_Toc320898024"/>
      <w:bookmarkStart w:id="23" w:name="_Toc22940"/>
      <w:bookmarkStart w:id="24" w:name="_Toc10673371"/>
      <w:bookmarkStart w:id="25" w:name="_Toc317262251"/>
      <w:bookmarkStart w:id="26" w:name="_Toc6021"/>
      <w:bookmarkStart w:id="27" w:name="_Toc334539188"/>
      <w:bookmarkStart w:id="28" w:name="_Toc276368888"/>
      <w:r>
        <w:rPr>
          <w:rFonts w:hint="eastAsia" w:ascii="宋体" w:hAnsi="宋体" w:eastAsia="宋体" w:cs="宋体"/>
          <w:color w:val="000000" w:themeColor="text1"/>
          <w:szCs w:val="21"/>
        </w:rPr>
        <w:t>采 购 人： 湖北省某部</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地    址： 湖北省武汉市</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采购部门联系人：王先生、杨先生</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联系电话：027-50721394、027-50721323</w:t>
      </w:r>
    </w:p>
    <w:p>
      <w:pPr>
        <w:pStyle w:val="4"/>
        <w:numPr>
          <w:ilvl w:val="0"/>
          <w:numId w:val="5"/>
        </w:num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宋体" w:hAnsi="宋体" w:eastAsia="宋体" w:cs="宋体"/>
          <w:color w:val="000000" w:themeColor="text1"/>
          <w:szCs w:val="21"/>
        </w:rPr>
      </w:pPr>
      <w:bookmarkStart w:id="29" w:name="_Toc318643462"/>
      <w:bookmarkStart w:id="30" w:name="_Toc334539189"/>
      <w:bookmarkStart w:id="31" w:name="_Toc317262253"/>
      <w:bookmarkStart w:id="32" w:name="_Toc259028279"/>
      <w:bookmarkStart w:id="33" w:name="_Toc10673372"/>
      <w:bookmarkStart w:id="34" w:name="_Toc14150"/>
      <w:bookmarkStart w:id="35" w:name="_Toc334539190"/>
      <w:bookmarkStart w:id="36" w:name="_Toc3048"/>
      <w:r>
        <w:rPr>
          <w:rFonts w:hint="eastAsia" w:ascii="宋体" w:hAnsi="宋体" w:eastAsia="宋体" w:cs="宋体"/>
          <w:color w:val="000000" w:themeColor="text1"/>
          <w:szCs w:val="21"/>
        </w:rPr>
        <w:t xml:space="preserve">代理机构：中经国际招标集团有限公司                </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地    址：武昌区中北路岳家嘴立交山河企业大厦4805、4806室</w:t>
      </w:r>
    </w:p>
    <w:bookmarkEnd w:id="29"/>
    <w:bookmarkEnd w:id="30"/>
    <w:bookmarkEnd w:id="31"/>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联 系 人：张梦、叶汪笛、彭盼明</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手    机：15994281850 027-87820788</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邮    箱：2102252595@qq.com</w:t>
      </w:r>
    </w:p>
    <w:bookmarkEnd w:id="32"/>
    <w:p>
      <w:pPr>
        <w:pStyle w:val="4"/>
        <w:numPr>
          <w:ilvl w:val="0"/>
          <w:numId w:val="5"/>
        </w:num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信息发布媒体</w:t>
      </w:r>
      <w:bookmarkEnd w:id="33"/>
      <w:bookmarkEnd w:id="34"/>
      <w:bookmarkEnd w:id="35"/>
      <w:r>
        <w:rPr>
          <w:rFonts w:hint="eastAsia" w:ascii="宋体" w:hAnsi="宋体" w:eastAsia="宋体" w:cs="宋体"/>
          <w:color w:val="000000" w:themeColor="text1"/>
          <w:sz w:val="21"/>
          <w:szCs w:val="21"/>
        </w:rPr>
        <w:t>及时间</w:t>
      </w:r>
      <w:bookmarkEnd w:id="36"/>
    </w:p>
    <w:p>
      <w:pPr>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（一）《中国政府采购网》（网址：http://www.ccgp.gov.cn/）</w:t>
      </w:r>
    </w:p>
    <w:p>
      <w:pPr>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（二）《中经国际招标集团有限公司官网》（网址：</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"http://www.ccgp-hubei.gov.cn/）" </w:instrText>
      </w:r>
      <w:r>
        <w:rPr>
          <w:rFonts w:hint="eastAsia" w:ascii="宋体" w:hAnsi="宋体" w:eastAsia="宋体" w:cs="宋体"/>
          <w:color w:val="000000" w:themeColor="text1"/>
        </w:rPr>
        <w:fldChar w:fldCharType="separate"/>
      </w:r>
      <w:r>
        <w:rPr>
          <w:rFonts w:hint="eastAsia" w:ascii="宋体" w:hAnsi="宋体" w:eastAsia="宋体" w:cs="宋体"/>
          <w:color w:val="000000" w:themeColor="text1"/>
          <w:szCs w:val="21"/>
        </w:rPr>
        <w:t>http://www.ceitcl.com/）</w:t>
      </w:r>
      <w:r>
        <w:rPr>
          <w:rFonts w:hint="eastAsia" w:ascii="宋体" w:hAnsi="宋体" w:eastAsia="宋体" w:cs="宋体"/>
          <w:color w:val="000000" w:themeColor="text1"/>
          <w:szCs w:val="21"/>
        </w:rPr>
        <w:fldChar w:fldCharType="end"/>
      </w:r>
    </w:p>
    <w:p>
      <w:pPr>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（三）《中国采购与招标网》（网址：</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"https://www.chinabidding.cn/）" </w:instrText>
      </w:r>
      <w:r>
        <w:rPr>
          <w:rFonts w:hint="eastAsia" w:ascii="宋体" w:hAnsi="宋体" w:eastAsia="宋体" w:cs="宋体"/>
          <w:color w:val="000000" w:themeColor="text1"/>
        </w:rPr>
        <w:fldChar w:fldCharType="separate"/>
      </w:r>
      <w:r>
        <w:rPr>
          <w:rStyle w:val="32"/>
          <w:rFonts w:hint="eastAsia" w:ascii="宋体" w:hAnsi="宋体" w:eastAsia="宋体" w:cs="宋体"/>
          <w:color w:val="000000" w:themeColor="text1"/>
          <w:sz w:val="21"/>
          <w:szCs w:val="21"/>
          <w:u w:val="none"/>
        </w:rPr>
        <w:t>https://www.chinabidding.cn/）</w:t>
      </w:r>
      <w:r>
        <w:rPr>
          <w:rStyle w:val="32"/>
          <w:rFonts w:hint="eastAsia" w:ascii="宋体" w:hAnsi="宋体" w:eastAsia="宋体" w:cs="宋体"/>
          <w:color w:val="000000" w:themeColor="text1"/>
          <w:sz w:val="21"/>
          <w:szCs w:val="21"/>
          <w:u w:val="none"/>
        </w:rPr>
        <w:fldChar w:fldCharType="end"/>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（四）《中国招标投标公共服务平台》（网址：http://www.cebpubservice.com/）</w:t>
      </w:r>
    </w:p>
    <w:p>
      <w:pPr>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采购公告期限：自以上网站发布公告次日起</w:t>
      </w:r>
      <w:r>
        <w:rPr>
          <w:rFonts w:hint="eastAsia" w:ascii="宋体" w:hAnsi="宋体" w:eastAsia="宋体" w:cs="宋体"/>
          <w:color w:val="000000" w:themeColor="text1"/>
          <w:szCs w:val="21"/>
          <w:u w:val="single"/>
        </w:rPr>
        <w:t>5</w:t>
      </w:r>
      <w:r>
        <w:rPr>
          <w:rFonts w:hint="eastAsia" w:ascii="宋体" w:hAnsi="宋体" w:eastAsia="宋体" w:cs="宋体"/>
          <w:color w:val="000000" w:themeColor="text1"/>
          <w:szCs w:val="21"/>
        </w:rPr>
        <w:t>个工作日，本项目将在以上网站发布所有信息，请参加本项目竞标的供应商密切关注。</w:t>
      </w:r>
    </w:p>
    <w:p>
      <w:pPr>
        <w:pStyle w:val="4"/>
        <w:numPr>
          <w:ilvl w:val="0"/>
          <w:numId w:val="5"/>
        </w:num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w:t>
      </w:r>
      <w:bookmarkStart w:id="37" w:name="_Toc11038"/>
      <w:r>
        <w:rPr>
          <w:rFonts w:hint="eastAsia" w:ascii="宋体" w:hAnsi="宋体" w:eastAsia="宋体" w:cs="宋体"/>
          <w:color w:val="000000" w:themeColor="text1"/>
          <w:sz w:val="21"/>
          <w:szCs w:val="21"/>
        </w:rPr>
        <w:t>注意事项</w:t>
      </w:r>
      <w:bookmarkEnd w:id="37"/>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left"/>
        <w:rPr>
          <w:rFonts w:hint="eastAsia" w:ascii="宋体" w:hAnsi="宋体" w:eastAsia="宋体" w:cs="宋体"/>
          <w:color w:val="000000" w:themeColor="text1"/>
          <w:szCs w:val="21"/>
        </w:rPr>
      </w:pPr>
    </w:p>
    <w:p>
      <w:pPr>
        <w:spacing w:line="360" w:lineRule="auto"/>
        <w:jc w:val="right"/>
        <w:rPr>
          <w:rFonts w:hint="eastAsia" w:ascii="宋体" w:hAnsi="宋体" w:eastAsia="宋体" w:cs="宋体"/>
          <w:color w:val="000000" w:themeColor="text1"/>
          <w:szCs w:val="21"/>
        </w:rPr>
      </w:pPr>
      <w:r>
        <w:rPr>
          <w:rFonts w:hint="eastAsia" w:ascii="宋体" w:hAnsi="宋体" w:eastAsia="宋体" w:cs="宋体"/>
          <w:color w:val="000000" w:themeColor="text1"/>
          <w:szCs w:val="21"/>
        </w:rPr>
        <w:t>中经国际招标集团有限公司</w:t>
      </w:r>
    </w:p>
    <w:p>
      <w:pPr>
        <w:spacing w:line="360" w:lineRule="auto"/>
        <w:jc w:val="right"/>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2020年</w:t>
      </w:r>
      <w:r>
        <w:rPr>
          <w:rFonts w:hint="eastAsia" w:ascii="宋体" w:hAnsi="宋体" w:cs="宋体"/>
          <w:color w:val="000000" w:themeColor="text1"/>
          <w:szCs w:val="21"/>
          <w:lang w:val="en-US" w:eastAsia="zh-CN"/>
        </w:rPr>
        <w:t>5</w:t>
      </w:r>
      <w:r>
        <w:rPr>
          <w:rFonts w:hint="eastAsia" w:ascii="宋体" w:hAnsi="宋体" w:eastAsia="宋体" w:cs="宋体"/>
          <w:color w:val="000000" w:themeColor="text1"/>
          <w:szCs w:val="21"/>
        </w:rPr>
        <w:t>月</w:t>
      </w:r>
      <w:r>
        <w:rPr>
          <w:rFonts w:hint="eastAsia" w:ascii="宋体" w:hAnsi="宋体" w:cs="宋体"/>
          <w:color w:val="000000" w:themeColor="text1"/>
          <w:szCs w:val="21"/>
          <w:lang w:val="en-US" w:eastAsia="zh-CN"/>
        </w:rPr>
        <w:t>8</w:t>
      </w:r>
      <w:r>
        <w:rPr>
          <w:rFonts w:hint="eastAsia" w:ascii="宋体" w:hAnsi="宋体" w:eastAsia="宋体" w:cs="宋体"/>
          <w:color w:val="000000" w:themeColor="text1"/>
          <w:szCs w:val="21"/>
        </w:rPr>
        <w:t>日</w:t>
      </w:r>
    </w:p>
    <w:p>
      <w:pPr>
        <w:rPr>
          <w:rFonts w:asciiTheme="minorEastAsia" w:hAnsiTheme="minorEastAsia" w:eastAsiaTheme="minorEastAsia" w:cstheme="minorEastAsia"/>
          <w:color w:val="000000" w:themeColor="text1"/>
        </w:rPr>
      </w:pPr>
    </w:p>
    <w:p>
      <w:pPr>
        <w:pStyle w:val="3"/>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1612"/>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39" w:name="_Toc16499"/>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湖北省某部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湖北省某部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szCs w:val="21"/>
              </w:rPr>
              <w:t>服务</w:t>
            </w:r>
            <w:r>
              <w:rPr>
                <w:rFonts w:hint="eastAsia" w:asciiTheme="minorEastAsia" w:hAnsiTheme="minorEastAsia" w:eastAsiaTheme="minorEastAsia" w:cstheme="minorEastAsia"/>
                <w:szCs w:val="21"/>
                <w:lang w:val="zh-CN"/>
              </w:rPr>
              <w:t>类取费标准</w:t>
            </w:r>
            <w:r>
              <w:rPr>
                <w:rFonts w:hint="eastAsia" w:asciiTheme="minorEastAsia" w:hAnsiTheme="minorEastAsia" w:eastAsiaTheme="minorEastAsia" w:cstheme="minorEastAsia"/>
                <w:szCs w:val="21"/>
              </w:rPr>
              <w:t>68%</w:t>
            </w:r>
            <w:r>
              <w:rPr>
                <w:rFonts w:hint="eastAsia" w:asciiTheme="minorEastAsia" w:hAnsiTheme="minorEastAsia" w:eastAsiaTheme="minorEastAsia" w:cstheme="minorEastAsia"/>
                <w:szCs w:val="21"/>
                <w:lang w:val="zh-CN"/>
              </w:rPr>
              <w:t>向采购代理机构支付招标代理服务费</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不足肆仟元的按肆仟元保底收费计取。</w:t>
            </w:r>
            <w:r>
              <w:rPr>
                <w:rFonts w:hint="eastAsia" w:asciiTheme="minorEastAsia" w:hAnsiTheme="minorEastAsia" w:eastAsiaTheme="minorEastAsia" w:cstheme="minorEastAsia"/>
                <w:szCs w:val="21"/>
              </w:rPr>
              <w:t>招标代理服务费由成交供应商在领取成交通知书的同时，向采购代理机构支付。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5</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15</w:t>
            </w:r>
            <w:bookmarkStart w:id="243" w:name="_GoBack"/>
            <w:bookmarkEnd w:id="243"/>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详见第一章《竞争性磋商采购公告》第二款“资格要求”，须提供的证明文件包括但不限于：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1、具有独立承担民事责任的能力；</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rPr>
              <w:t>营业执照等证明文件或自然人的身份证明（如供应商是企业 （包括合伙企业），应提供在工商部门注册的有效“企业法人营业执照”或“营业执照”；如供应商是事业单位，应提供有效的“事业单位法人证书”；供应商是非企业专业</w:t>
            </w:r>
            <w:r>
              <w:rPr>
                <w:rFonts w:hint="eastAsia" w:asciiTheme="minorEastAsia" w:hAnsiTheme="minorEastAsia" w:eastAsiaTheme="minorEastAsia" w:cstheme="minorEastAsia"/>
                <w:szCs w:val="21"/>
              </w:rPr>
              <w:t>服务机构的，应提供执业许可证等证明文件；如供应商是个体工商户，应提供有效的“个体工商户营业执照”；如供应商是自然人，应提供有效的自然人身份证明）。</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2、具有良好的商业信誉和健全的财务会计制度；</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szCs w:val="21"/>
              </w:rPr>
              <w:t>良好的商业信誉证明材料（自拟），财务状况报告（供应商是法人的，应提供前一年</w:t>
            </w:r>
            <w:r>
              <w:rPr>
                <w:rFonts w:hint="eastAsia" w:asciiTheme="minorEastAsia" w:hAnsiTheme="minorEastAsia" w:eastAsiaTheme="minorEastAsia" w:cstheme="minorEastAsia"/>
              </w:rPr>
              <w:t xml:space="preserve">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3、具有履行合同所必需的设备和专业技术能力的证明材料；（自拟）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具有依法缴纳税收和社会保障资金的良好记录：（1）供应商依法缴纳税收的证明材料：竞标截止时间前连续六个月（至少提供连续三个月）缴纳税收的凭据（完税证、缴款书、印花税票、银行代扣（代缴）转账凭证等均可）；（2）供应商依法缴纳社会保障资金的证明材料：竞标截止时间前连续六个月（至少提供连续三个月）缴纳社会保险的凭据（专用收据或社会保险缴纳清单）；（3）供应商为其他组织或自然人的，也需要按此项规定提供缴纳税收的凭据和缴纳社会保险的凭据；（4）递交响应文件截止时间的当月成立但因税务机关原因导致其尚未依法缴纳税收的供应商，提供依法缴纳税收承诺书原件（格式自拟），该承诺书视同税收缴纳凭据。（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5、参加政府采购活动前三年内（不足3年按公司成立时间起算），在经营活动中没有重大违法记录（提供书面声明，格式见磋商文件第六章）；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6、符合本文件第一章第二款资格要求的所有证明资料。 </w:t>
            </w:r>
          </w:p>
          <w:p>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竞标单位本身，参股或控股单位及独立法人子公司的材料不能作为证明材料，但竞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7"/>
              </w:numPr>
            </w:pPr>
            <w:r>
              <w:rPr>
                <w:rFonts w:hint="eastAsia"/>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7"/>
              </w:numPr>
            </w:pPr>
            <w:r>
              <w:rPr>
                <w:rFonts w:hint="eastAsia"/>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p>
        </w:tc>
        <w:tc>
          <w:tcPr>
            <w:tcW w:w="6130" w:type="dxa"/>
            <w:vAlign w:val="center"/>
          </w:tcPr>
          <w:p>
            <w:pPr>
              <w:ind w:right="256" w:rightChars="122"/>
              <w:jc w:val="left"/>
              <w:rPr>
                <w:rFonts w:asciiTheme="minorEastAsia" w:hAnsiTheme="minorEastAsia" w:eastAsiaTheme="minorEastAsia" w:cstheme="minorEastAsia"/>
              </w:rPr>
            </w:pPr>
            <w:r>
              <w:rPr>
                <w:rFonts w:hint="eastAsia" w:asciiTheme="minorEastAsia" w:hAnsiTheme="minorEastAsia" w:eastAsiaTheme="minorEastAsia" w:cstheme="minorEastAsia"/>
              </w:rPr>
              <w:t>金    额：肆仟元整(￥4000.00元)</w:t>
            </w:r>
            <w:r>
              <w:rPr>
                <w:rFonts w:hint="eastAsia" w:asciiTheme="minorEastAsia" w:hAnsiTheme="minorEastAsia" w:eastAsiaTheme="minorEastAsia" w:cstheme="minorEastAsia"/>
                <w:color w:val="FF0000"/>
              </w:rPr>
              <w:t xml:space="preserve"> </w:t>
            </w:r>
          </w:p>
          <w:p>
            <w:pPr>
              <w:ind w:right="256" w:rightChars="122"/>
              <w:jc w:val="left"/>
              <w:rPr>
                <w:rFonts w:asciiTheme="minorEastAsia" w:hAnsiTheme="minorEastAsia" w:eastAsiaTheme="minorEastAsia" w:cstheme="minorEastAsia"/>
              </w:rPr>
            </w:pPr>
            <w:r>
              <w:rPr>
                <w:rFonts w:hint="eastAsia" w:asciiTheme="minorEastAsia" w:hAnsiTheme="minorEastAsia" w:eastAsiaTheme="minorEastAsia" w:cstheme="minorEastAsia"/>
              </w:rPr>
              <w:t>户    名：中经国际招标集团有限公司湖北分公司</w:t>
            </w:r>
          </w:p>
          <w:p>
            <w:pPr>
              <w:ind w:right="256" w:rightChars="122"/>
              <w:jc w:val="left"/>
              <w:rPr>
                <w:rFonts w:asciiTheme="minorEastAsia" w:hAnsiTheme="minorEastAsia" w:eastAsiaTheme="minorEastAsia" w:cstheme="minorEastAsia"/>
              </w:rPr>
            </w:pPr>
            <w:r>
              <w:rPr>
                <w:rFonts w:hint="eastAsia" w:asciiTheme="minorEastAsia" w:hAnsiTheme="minorEastAsia" w:eastAsiaTheme="minorEastAsia" w:cstheme="minorEastAsia"/>
              </w:rPr>
              <w:t>开户银行：中国农业银行股份有限公司武汉岳家嘴支行</w:t>
            </w:r>
          </w:p>
          <w:p>
            <w:pPr>
              <w:ind w:right="256" w:rightChars="122"/>
              <w:jc w:val="left"/>
              <w:rPr>
                <w:rFonts w:asciiTheme="minorEastAsia" w:hAnsiTheme="minorEastAsia" w:eastAsiaTheme="minorEastAsia" w:cstheme="minorEastAsia"/>
              </w:rPr>
            </w:pPr>
            <w:r>
              <w:rPr>
                <w:rFonts w:hint="eastAsia" w:asciiTheme="minorEastAsia" w:hAnsiTheme="minorEastAsia" w:eastAsiaTheme="minorEastAsia" w:cstheme="minorEastAsia"/>
              </w:rPr>
              <w:t>帐    号：17053001040009288</w:t>
            </w:r>
          </w:p>
          <w:p>
            <w:pPr>
              <w:ind w:right="256" w:rightChars="122"/>
              <w:jc w:val="left"/>
              <w:rPr>
                <w:rFonts w:asciiTheme="minorEastAsia" w:hAnsiTheme="minorEastAsia" w:eastAsiaTheme="minorEastAsia" w:cstheme="minorEastAsia"/>
              </w:rPr>
            </w:pPr>
            <w:r>
              <w:rPr>
                <w:rFonts w:hint="eastAsia" w:asciiTheme="minorEastAsia" w:hAnsiTheme="minorEastAsia" w:eastAsiaTheme="minorEastAsia" w:cstheme="minorEastAsia"/>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w:t>
            </w:r>
            <w:r>
              <w:rPr>
                <w:rFonts w:hint="eastAsia" w:asciiTheme="minorEastAsia" w:hAnsiTheme="minorEastAsia" w:eastAsiaTheme="minorEastAsia" w:cstheme="minor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spacing w:line="30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1、投标文件纸质版：正本一份（需为彩色打印件，否则做废标处理），副本</w:t>
            </w:r>
            <w:r>
              <w:rPr>
                <w:rFonts w:hint="eastAsia" w:asciiTheme="minorEastAsia" w:hAnsiTheme="minorEastAsia" w:eastAsiaTheme="minorEastAsia" w:cstheme="minorEastAsia"/>
                <w:sz w:val="22"/>
                <w:szCs w:val="22"/>
                <w:u w:val="single"/>
              </w:rPr>
              <w:t xml:space="preserve"> 两 </w:t>
            </w:r>
            <w:r>
              <w:rPr>
                <w:rFonts w:hint="eastAsia" w:asciiTheme="minorEastAsia" w:hAnsiTheme="minorEastAsia" w:eastAsiaTheme="minorEastAsia" w:cstheme="minorEastAsia"/>
                <w:sz w:val="22"/>
                <w:szCs w:val="22"/>
              </w:rPr>
              <w:t>份；</w:t>
            </w:r>
          </w:p>
          <w:p>
            <w:pPr>
              <w:autoSpaceDE w:val="0"/>
              <w:autoSpaceDN w:val="0"/>
              <w:snapToGrid w:val="0"/>
              <w:spacing w:line="30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2、投标文件电子版：</w:t>
            </w:r>
          </w:p>
          <w:p>
            <w:pPr>
              <w:autoSpaceDE w:val="0"/>
              <w:autoSpaceDN w:val="0"/>
              <w:snapToGrid w:val="0"/>
              <w:spacing w:line="30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□不要求</w:t>
            </w:r>
          </w:p>
          <w:p>
            <w:pPr>
              <w:autoSpaceDE w:val="0"/>
              <w:autoSpaceDN w:val="0"/>
              <w:snapToGrid w:val="0"/>
              <w:spacing w:line="300" w:lineRule="auto"/>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bdr w:val="single" w:color="auto" w:sz="4" w:space="0"/>
              </w:rPr>
              <w:t>√</w:t>
            </w:r>
            <w:r>
              <w:rPr>
                <w:rFonts w:hint="eastAsia" w:asciiTheme="minorEastAsia" w:hAnsiTheme="minorEastAsia" w:eastAsiaTheme="minorEastAsia" w:cstheme="minorEastAsia"/>
                <w:sz w:val="22"/>
                <w:szCs w:val="22"/>
              </w:rPr>
              <w:t>要求，投标文件电子版内容：</w:t>
            </w:r>
            <w:r>
              <w:rPr>
                <w:rFonts w:hint="eastAsia" w:asciiTheme="minorEastAsia" w:hAnsiTheme="minorEastAsia" w:eastAsiaTheme="minorEastAsia" w:cstheme="minorEastAsia"/>
                <w:sz w:val="22"/>
                <w:szCs w:val="22"/>
                <w:u w:val="single"/>
              </w:rPr>
              <w:t xml:space="preserve">与正本保持一致 </w:t>
            </w:r>
          </w:p>
          <w:p>
            <w:pPr>
              <w:autoSpaceDE w:val="0"/>
              <w:autoSpaceDN w:val="0"/>
              <w:snapToGrid w:val="0"/>
              <w:spacing w:line="300" w:lineRule="auto"/>
              <w:ind w:firstLine="880" w:firstLineChars="4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shd w:val="clear" w:color="auto" w:fill="FFFFFF"/>
              </w:rPr>
              <w:t>投标文件电子版格式：</w:t>
            </w:r>
            <w:r>
              <w:rPr>
                <w:rFonts w:hint="eastAsia" w:asciiTheme="minorEastAsia" w:hAnsiTheme="minorEastAsia" w:eastAsiaTheme="minorEastAsia" w:cstheme="minorEastAsia"/>
                <w:sz w:val="22"/>
                <w:szCs w:val="22"/>
                <w:u w:val="single"/>
              </w:rPr>
              <w:t xml:space="preserve">WORD格式和加盖公章后的PDF扫描件格式，不满足要求做废标处理；     </w:t>
            </w:r>
          </w:p>
          <w:p>
            <w:pPr>
              <w:autoSpaceDE w:val="0"/>
              <w:autoSpaceDN w:val="0"/>
              <w:adjustRightInd w:val="0"/>
              <w:spacing w:line="320" w:lineRule="exact"/>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 xml:space="preserve">        投标文件电子版形式：</w:t>
            </w:r>
            <w:r>
              <w:rPr>
                <w:rFonts w:hint="eastAsia" w:asciiTheme="minorEastAsia" w:hAnsiTheme="minorEastAsia" w:eastAsiaTheme="minorEastAsia" w:cstheme="minorEastAsia"/>
                <w:sz w:val="22"/>
                <w:szCs w:val="22"/>
                <w:u w:val="single"/>
              </w:rPr>
              <w:t xml:space="preserve"> U盘1份  </w:t>
            </w:r>
          </w:p>
          <w:p>
            <w:pPr>
              <w:autoSpaceDE w:val="0"/>
              <w:autoSpaceDN w:val="0"/>
              <w:adjustRightInd w:val="0"/>
              <w:spacing w:line="320" w:lineRule="exact"/>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b/>
                <w:bCs/>
                <w:sz w:val="22"/>
                <w:szCs w:val="22"/>
              </w:rPr>
              <w:t>3、手持法定代表人授权委托书（或法定代表人身份证明书）、单独密封提供的报价一览表、优惠声明（如有）；</w:t>
            </w:r>
            <w:r>
              <w:rPr>
                <w:rFonts w:hint="eastAsia" w:asciiTheme="minorEastAsia" w:hAnsiTheme="minorEastAsia" w:eastAsiaTheme="minorEastAsia" w:cstheme="minorEastAsia"/>
                <w:sz w:val="22"/>
                <w:szCs w:val="22"/>
                <w:u w:val="single"/>
              </w:rPr>
              <w:t xml:space="preserve"> </w:t>
            </w:r>
          </w:p>
          <w:p>
            <w:pPr>
              <w:autoSpaceDE w:val="0"/>
              <w:autoSpaceDN w:val="0"/>
              <w:adjustRightInd w:val="0"/>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rPr>
                <w:rFonts w:asciiTheme="minorEastAsia" w:hAnsiTheme="minorEastAsia" w:eastAsiaTheme="minorEastAsia" w:cstheme="minorEastAsia"/>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3人或3人以上单数组成，其中采购人代表最多1人，外聘经济及技术专家在省政府采购专家库中随机抽取。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b/>
                <w:bCs/>
              </w:rPr>
            </w:pPr>
            <w:r>
              <w:rPr>
                <w:rFonts w:hint="eastAsia"/>
                <w:b/>
                <w:bCs/>
                <w:lang w:val="zh-CN"/>
              </w:rPr>
              <w:t>建议供应商拟派出席磋商会议的磋商代表为熟知本项目的技术人员或商务负责人等能</w:t>
            </w:r>
            <w:r>
              <w:rPr>
                <w:rFonts w:hint="eastAsia"/>
                <w:b/>
                <w:bCs/>
              </w:rPr>
              <w:t>为磋商小组详细介绍供应商公司实际情况的</w:t>
            </w:r>
          </w:p>
          <w:p>
            <w:pPr>
              <w:autoSpaceDE w:val="0"/>
              <w:autoSpaceDN w:val="0"/>
              <w:adjustRightInd w:val="0"/>
              <w:jc w:val="left"/>
              <w:rPr>
                <w:b/>
                <w:bCs/>
                <w:lang w:val="zh-CN"/>
              </w:rPr>
            </w:pPr>
            <w:r>
              <w:rPr>
                <w:rFonts w:hint="eastAsia"/>
                <w:b/>
                <w:bCs/>
                <w:lang w:val="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lang w:val="zh-CN"/>
              </w:rPr>
            </w:pPr>
            <w:r>
              <w:rPr>
                <w:rFonts w:hint="eastAsia"/>
                <w:lang w:val="zh-CN"/>
              </w:rPr>
              <w:t>本项目采用总价包干模式，以合同价为准，一次性包干，总报价为“交钥匙”价。竞标报价应包括完成该</w:t>
            </w:r>
            <w:r>
              <w:rPr>
                <w:rFonts w:hint="eastAsia"/>
              </w:rPr>
              <w:t>项目采购范围内的所有费用</w:t>
            </w:r>
            <w:r>
              <w:rPr>
                <w:rFonts w:hint="eastAsia"/>
                <w:lang w:val="zh-CN"/>
              </w:rPr>
              <w:t>及</w:t>
            </w:r>
            <w:r>
              <w:rPr>
                <w:rFonts w:hint="eastAsia"/>
              </w:rPr>
              <w:t>后期</w:t>
            </w:r>
            <w:r>
              <w:rPr>
                <w:rFonts w:hint="eastAsia"/>
                <w:lang w:val="zh-CN"/>
              </w:rPr>
              <w:t>质保期间等一切服务费用及其他售后服务等全部相关工作</w:t>
            </w:r>
            <w:r>
              <w:rPr>
                <w:rFonts w:hint="eastAsia"/>
              </w:rPr>
              <w:t>的全费用</w:t>
            </w:r>
            <w:r>
              <w:rPr>
                <w:rFonts w:hint="eastAsia"/>
                <w:lang w:val="zh-CN"/>
              </w:rPr>
              <w:t>。合同签订后采购人未提出增加工作内容的情况下，合同价不得调整。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lang w:val="zh-CN"/>
              </w:rPr>
            </w:pPr>
            <w:r>
              <w:rPr>
                <w:rFonts w:hint="eastAsia"/>
                <w:lang w:val="zh-CN"/>
              </w:rPr>
              <w:t>各供应商按此要求进行报价，同时在合同实施过程中还将发生的其它费用</w:t>
            </w:r>
            <w:r>
              <w:rPr>
                <w:rFonts w:hint="eastAsia"/>
              </w:rPr>
              <w:t>也</w:t>
            </w:r>
            <w:r>
              <w:rPr>
                <w:rFonts w:hint="eastAsia"/>
                <w:lang w:val="zh-CN"/>
              </w:rPr>
              <w:t>应包含在总价中，对在合同实施过程中可能发生的其它费用（如：增加耗材、材料涨价、人工、运输成本增加等因素），</w:t>
            </w:r>
            <w:r>
              <w:rPr>
                <w:rFonts w:hint="eastAsia"/>
              </w:rPr>
              <w:t>采购人</w:t>
            </w:r>
            <w:r>
              <w:rPr>
                <w:rFonts w:hint="eastAsia"/>
                <w:lang w:val="zh-CN"/>
              </w:rPr>
              <w:t>概不负责。</w:t>
            </w:r>
          </w:p>
          <w:p>
            <w:pPr>
              <w:autoSpaceDE w:val="0"/>
              <w:autoSpaceDN w:val="0"/>
              <w:adjustRightInd w:val="0"/>
              <w:snapToGrid w:val="0"/>
              <w:spacing w:before="31" w:beforeLines="10" w:after="31" w:afterLines="10"/>
              <w:ind w:right="21" w:rightChars="10"/>
              <w:jc w:val="left"/>
            </w:pPr>
            <w:r>
              <w:rPr>
                <w:rFonts w:hint="eastAsia"/>
                <w:lang w:val="zh-CN"/>
              </w:rPr>
              <w:t>对于</w:t>
            </w:r>
            <w:r>
              <w:rPr>
                <w:rFonts w:hint="eastAsia"/>
              </w:rPr>
              <w:t>磋商</w:t>
            </w:r>
            <w:r>
              <w:rPr>
                <w:rFonts w:hint="eastAsia"/>
                <w:lang w:val="zh-CN"/>
              </w:rPr>
              <w:t>文件未列明，而</w:t>
            </w:r>
            <w:r>
              <w:rPr>
                <w:rFonts w:hint="eastAsia"/>
              </w:rPr>
              <w:t>磋商</w:t>
            </w:r>
            <w:r>
              <w:rPr>
                <w:rFonts w:hint="eastAsia"/>
                <w:lang w:val="zh-CN"/>
              </w:rPr>
              <w:t>供应商认为</w:t>
            </w:r>
            <w:r>
              <w:rPr>
                <w:rFonts w:hint="eastAsia"/>
              </w:rPr>
              <w:t>必须</w:t>
            </w:r>
            <w:r>
              <w:rPr>
                <w:rFonts w:hint="eastAsia"/>
                <w:lang w:val="zh-CN"/>
              </w:rPr>
              <w:t>的费用也需列入总报价。在合同实施时，采购人将不予支付</w:t>
            </w:r>
            <w:r>
              <w:rPr>
                <w:rFonts w:hint="eastAsia"/>
              </w:rPr>
              <w:t>成交</w:t>
            </w:r>
            <w:r>
              <w:rPr>
                <w:rFonts w:hint="eastAsia"/>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□组织，踏勘时间：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踏勘集中地点：</w:t>
            </w:r>
          </w:p>
          <w:p>
            <w:pPr>
              <w:autoSpaceDE w:val="0"/>
              <w:autoSpaceDN w:val="0"/>
              <w:adjustRightInd w:val="0"/>
              <w:snapToGrid w:val="0"/>
              <w:spacing w:before="31" w:beforeLines="10" w:after="31" w:afterLines="10"/>
              <w:ind w:right="21" w:rightChars="10" w:firstLine="840" w:firstLineChars="4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踏勘联系人：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注：1、供应商承担踏勘现场所发生的自身费用；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2、供应商应承担踏勘现场的责任和风险。</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3、采购人在踏勘现场中介绍的项目背景及项目现场和相关的周边环境情况，供应商在编制响应文件时参考，采购人和采购代理机构不对供应商据此作出的判断和决策负责。        </w:t>
            </w:r>
          </w:p>
        </w:tc>
      </w:tr>
    </w:tbl>
    <w:p>
      <w:pPr>
        <w:widowControl/>
        <w:jc w:val="left"/>
        <w:rPr>
          <w:rFonts w:asciiTheme="minorEastAsia" w:hAnsiTheme="minorEastAsia" w:eastAsiaTheme="minorEastAsia" w:cstheme="minorEastAsia"/>
        </w:rPr>
      </w:pPr>
    </w:p>
    <w:p>
      <w:pPr>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40" w:name="_Toc19818"/>
      <w:r>
        <w:rPr>
          <w:rFonts w:hint="eastAsia" w:asciiTheme="minorEastAsia" w:hAnsiTheme="minorEastAsia" w:eastAsiaTheme="minorEastAsia" w:cstheme="minorEastAsia"/>
          <w:b/>
          <w:szCs w:val="21"/>
        </w:rPr>
        <w:t>供应商须知</w:t>
      </w:r>
      <w:bookmarkEnd w:id="40"/>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1" w:name="_Toc22719"/>
      <w:r>
        <w:rPr>
          <w:rFonts w:hint="eastAsia" w:asciiTheme="minorEastAsia" w:hAnsiTheme="minorEastAsia" w:eastAsiaTheme="minorEastAsia" w:cstheme="minorEastAsia"/>
          <w:b/>
          <w:szCs w:val="21"/>
        </w:rPr>
        <w:t>总则</w:t>
      </w:r>
      <w:bookmarkEnd w:id="41"/>
    </w:p>
    <w:p>
      <w:pPr>
        <w:numPr>
          <w:ilvl w:val="0"/>
          <w:numId w:val="9"/>
        </w:numPr>
        <w:spacing w:line="360" w:lineRule="auto"/>
        <w:ind w:hanging="540"/>
        <w:outlineLvl w:val="1"/>
        <w:rPr>
          <w:rFonts w:asciiTheme="minorEastAsia" w:hAnsiTheme="minorEastAsia" w:eastAsiaTheme="minorEastAsia" w:cstheme="minorEastAsia"/>
          <w:b/>
          <w:szCs w:val="21"/>
        </w:rPr>
      </w:pPr>
      <w:bookmarkStart w:id="42" w:name="_Toc27243"/>
      <w:bookmarkStart w:id="43" w:name="_Toc20802"/>
      <w:r>
        <w:rPr>
          <w:rFonts w:hint="eastAsia" w:asciiTheme="minorEastAsia" w:hAnsiTheme="minorEastAsia" w:eastAsiaTheme="minorEastAsia" w:cstheme="minorEastAsia"/>
          <w:b/>
          <w:szCs w:val="21"/>
        </w:rPr>
        <w:t>适用法律及范围</w:t>
      </w:r>
      <w:bookmarkEnd w:id="42"/>
      <w:bookmarkEnd w:id="43"/>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44" w:name="_Toc17576"/>
      <w:bookmarkStart w:id="45" w:name="_Toc30547"/>
      <w:r>
        <w:rPr>
          <w:rFonts w:hint="eastAsia" w:asciiTheme="minorEastAsia" w:hAnsiTheme="minorEastAsia" w:eastAsiaTheme="minorEastAsia" w:cstheme="minorEastAsia"/>
          <w:b/>
          <w:szCs w:val="21"/>
        </w:rPr>
        <w:t>定义</w:t>
      </w:r>
      <w:bookmarkEnd w:id="44"/>
      <w:bookmarkEnd w:id="45"/>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是指经评审委员会评审推荐，采购人授予合同的供应商。</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46" w:name="_Toc30503"/>
      <w:bookmarkStart w:id="47" w:name="_Toc3671"/>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48" w:name="_Toc9974"/>
      <w:bookmarkStart w:id="49" w:name="_Toc21905"/>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100---500：400×0.800％=32000.000元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500---1000：500×0.450％=22500.000元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1000---5000：4000×0.250％=100000.000元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5000---6000：1000×0.100％=10000.000元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合计收费=179500.000元</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50" w:name="_Toc9025"/>
      <w:r>
        <w:rPr>
          <w:rFonts w:hint="eastAsia" w:asciiTheme="minorEastAsia" w:hAnsiTheme="minorEastAsia" w:eastAsiaTheme="minorEastAsia" w:cstheme="minorEastAsia"/>
          <w:b/>
          <w:szCs w:val="21"/>
        </w:rPr>
        <w:t>竞争性磋商采购文件</w:t>
      </w:r>
      <w:bookmarkEnd w:id="50"/>
    </w:p>
    <w:p>
      <w:pPr>
        <w:numPr>
          <w:ilvl w:val="0"/>
          <w:numId w:val="9"/>
        </w:numPr>
        <w:spacing w:line="360" w:lineRule="auto"/>
        <w:ind w:hanging="540"/>
        <w:outlineLvl w:val="1"/>
        <w:rPr>
          <w:rFonts w:asciiTheme="minorEastAsia" w:hAnsiTheme="minorEastAsia" w:eastAsiaTheme="minorEastAsia" w:cstheme="minorEastAsia"/>
          <w:b/>
          <w:szCs w:val="21"/>
        </w:rPr>
      </w:pPr>
      <w:bookmarkStart w:id="51" w:name="_Toc24457"/>
      <w:bookmarkStart w:id="52" w:name="_Toc4547"/>
      <w:r>
        <w:rPr>
          <w:rFonts w:hint="eastAsia" w:asciiTheme="minorEastAsia" w:hAnsiTheme="minorEastAsia" w:eastAsiaTheme="minorEastAsia" w:cstheme="minorEastAsia"/>
          <w:b/>
          <w:szCs w:val="21"/>
        </w:rPr>
        <w:t>竞争性磋商采购文件的构成</w:t>
      </w:r>
      <w:bookmarkEnd w:id="51"/>
      <w:bookmarkEnd w:id="52"/>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评审委员会在磋商过程中发出的对本磋商文件的实质性变动</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19543"/>
      <w:bookmarkStart w:id="54" w:name="_Toc29700"/>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11242"/>
      <w:bookmarkStart w:id="56" w:name="_Toc31761"/>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57" w:name="_Toc14952"/>
      <w:r>
        <w:rPr>
          <w:rFonts w:hint="eastAsia" w:asciiTheme="minorEastAsia" w:hAnsiTheme="minorEastAsia" w:eastAsiaTheme="minorEastAsia" w:cstheme="minorEastAsia"/>
          <w:b/>
          <w:szCs w:val="21"/>
        </w:rPr>
        <w:t>竞争性磋商响应文件</w:t>
      </w:r>
      <w:bookmarkEnd w:id="57"/>
    </w:p>
    <w:p>
      <w:pPr>
        <w:numPr>
          <w:ilvl w:val="0"/>
          <w:numId w:val="9"/>
        </w:numPr>
        <w:spacing w:line="360" w:lineRule="auto"/>
        <w:ind w:hanging="540"/>
        <w:outlineLvl w:val="1"/>
        <w:rPr>
          <w:rFonts w:asciiTheme="minorEastAsia" w:hAnsiTheme="minorEastAsia" w:eastAsiaTheme="minorEastAsia" w:cstheme="minorEastAsia"/>
          <w:snapToGrid w:val="0"/>
          <w:kern w:val="0"/>
          <w:szCs w:val="21"/>
          <w:lang w:val="zh-CN"/>
        </w:rPr>
      </w:pPr>
      <w:bookmarkStart w:id="58" w:name="_Toc27069"/>
      <w:bookmarkStart w:id="59" w:name="_Toc30987"/>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60" w:name="_Toc32272"/>
      <w:bookmarkStart w:id="61" w:name="_Toc25602"/>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18"/>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62" w:name="_Toc21078"/>
      <w:bookmarkStart w:id="63" w:name="_Toc25217"/>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64" w:name="_Toc20003"/>
      <w:bookmarkStart w:id="65" w:name="_Toc24544"/>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66" w:name="_Toc6176"/>
      <w:bookmarkStart w:id="67" w:name="_Toc11213"/>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3324"/>
      <w:bookmarkStart w:id="69" w:name="_Toc28495"/>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2434"/>
      <w:bookmarkStart w:id="71" w:name="_Toc24634"/>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3"/>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9935"/>
      <w:bookmarkStart w:id="73" w:name="_Toc1032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5"/>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22499"/>
      <w:bookmarkStart w:id="75" w:name="_Toc27068"/>
      <w:r>
        <w:rPr>
          <w:rFonts w:hint="eastAsia" w:asciiTheme="minorEastAsia" w:hAnsiTheme="minorEastAsia" w:eastAsiaTheme="minorEastAsia" w:cstheme="minorEastAsia"/>
          <w:b/>
          <w:snapToGrid w:val="0"/>
          <w:kern w:val="0"/>
          <w:szCs w:val="21"/>
          <w:lang w:val="zh-CN"/>
        </w:rPr>
        <w:t>磋商保证金</w:t>
      </w:r>
      <w:bookmarkEnd w:id="74"/>
      <w:bookmarkEnd w:id="75"/>
    </w:p>
    <w:p>
      <w:pPr>
        <w:numPr>
          <w:ilvl w:val="1"/>
          <w:numId w:val="26"/>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6" w:name="_Toc26703"/>
      <w:bookmarkStart w:id="77" w:name="_Toc5668"/>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8" w:name="_Toc30135"/>
      <w:bookmarkStart w:id="79"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0" w:name="_Toc32166"/>
      <w:r>
        <w:rPr>
          <w:rFonts w:hint="eastAsia" w:asciiTheme="minorEastAsia" w:hAnsiTheme="minorEastAsia" w:eastAsiaTheme="minorEastAsia" w:cstheme="minorEastAsia"/>
          <w:b/>
          <w:szCs w:val="21"/>
        </w:rPr>
        <w:t>竞争性磋商响应文件的递交</w:t>
      </w:r>
      <w:bookmarkEnd w:id="80"/>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1" w:name="_Toc27305"/>
      <w:bookmarkStart w:id="82" w:name="_Toc20689"/>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3" w:name="_Toc25627"/>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5" w:name="_Toc23249"/>
      <w:bookmarkStart w:id="86" w:name="_Toc31376"/>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1"/>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7" w:name="_Toc8223"/>
      <w:bookmarkStart w:id="8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2"/>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2"/>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9" w:name="_Toc25172"/>
      <w:r>
        <w:rPr>
          <w:rFonts w:hint="eastAsia" w:asciiTheme="minorEastAsia" w:hAnsiTheme="minorEastAsia" w:eastAsiaTheme="minorEastAsia" w:cstheme="minorEastAsia"/>
          <w:b/>
          <w:szCs w:val="21"/>
        </w:rPr>
        <w:t>磋商程序及步骤</w:t>
      </w:r>
      <w:bookmarkEnd w:id="89"/>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90" w:name="_Toc22624"/>
      <w:bookmarkStart w:id="91" w:name="_Toc31243"/>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92" w:name="_Toc21483"/>
      <w:bookmarkStart w:id="93" w:name="_Toc6609"/>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asciiTheme="minorEastAsia" w:hAnsiTheme="minorEastAsia" w:eastAsiaTheme="minorEastAsia" w:cstheme="minorEastAsia"/>
          <w:szCs w:val="21"/>
        </w:rPr>
      </w:pPr>
      <w:bookmarkStart w:id="94" w:name="_Toc32662"/>
      <w:bookmarkStart w:id="95"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rPr>
        <w:t>磋商代表的其他要求见《供应商须知前附表》。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96" w:name="_Toc16372"/>
      <w:r>
        <w:rPr>
          <w:rFonts w:hint="eastAsia" w:asciiTheme="minorEastAsia" w:hAnsiTheme="minorEastAsia" w:eastAsiaTheme="minorEastAsia" w:cstheme="minorEastAsia"/>
          <w:b/>
        </w:rPr>
        <w:t>资格审查和符合性审查</w:t>
      </w:r>
      <w:bookmarkEnd w:id="96"/>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97" w:name="_Toc20122"/>
      <w:r>
        <w:rPr>
          <w:rFonts w:hint="eastAsia" w:asciiTheme="minorEastAsia" w:hAnsiTheme="minorEastAsia" w:eastAsiaTheme="minorEastAsia" w:cstheme="minorEastAsia"/>
          <w:b/>
        </w:rPr>
        <w:t>磋商</w:t>
      </w:r>
      <w:bookmarkEnd w:id="97"/>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8" w:name="_Toc11048"/>
      <w:r>
        <w:rPr>
          <w:rFonts w:hint="eastAsia" w:asciiTheme="minorEastAsia" w:hAnsiTheme="minorEastAsia" w:eastAsiaTheme="minorEastAsia" w:cstheme="minorEastAsia"/>
          <w:b/>
          <w:lang w:val="zh-CN"/>
        </w:rPr>
        <w:t>保密</w:t>
      </w:r>
      <w:bookmarkEnd w:id="98"/>
    </w:p>
    <w:p>
      <w:pPr>
        <w:numPr>
          <w:ilvl w:val="1"/>
          <w:numId w:val="33"/>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3"/>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3"/>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99" w:name="_Toc6375"/>
      <w:r>
        <w:rPr>
          <w:rFonts w:hint="eastAsia" w:asciiTheme="minorEastAsia" w:hAnsiTheme="minorEastAsia" w:eastAsiaTheme="minorEastAsia" w:cstheme="minorEastAsia"/>
          <w:b/>
          <w:szCs w:val="21"/>
        </w:rPr>
        <w:t>成交与签订合同</w:t>
      </w:r>
      <w:bookmarkEnd w:id="99"/>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100" w:name="_Toc11936"/>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 w:val="24"/>
        </w:rPr>
        <w:t xml:space="preserve">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101" w:name="_Toc21763"/>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24036"/>
      <w:bookmarkStart w:id="103" w:name="_Toc4883"/>
      <w:bookmarkStart w:id="104" w:name="_Toc13988"/>
      <w:bookmarkStart w:id="105" w:name="_Toc14510"/>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106" w:name="_Toc30484"/>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107" w:name="_Toc22583"/>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108" w:name="_Toc5669"/>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9" w:name="_Toc28705"/>
      <w:bookmarkStart w:id="110" w:name="_Toc5571"/>
      <w:bookmarkStart w:id="111" w:name="_Toc16905"/>
      <w:bookmarkStart w:id="112" w:name="_Toc14767"/>
      <w:r>
        <w:rPr>
          <w:rFonts w:hint="eastAsia" w:asciiTheme="minorEastAsia" w:hAnsiTheme="minorEastAsia" w:eastAsiaTheme="minorEastAsia" w:cstheme="minorEastAsia"/>
          <w:b/>
          <w:szCs w:val="21"/>
          <w:lang w:val="zh-CN"/>
        </w:rPr>
        <w:t>政策</w:t>
      </w:r>
      <w:bookmarkEnd w:id="109"/>
      <w:bookmarkEnd w:id="110"/>
      <w:bookmarkEnd w:id="111"/>
      <w:bookmarkEnd w:id="112"/>
      <w:r>
        <w:rPr>
          <w:rFonts w:hint="eastAsia" w:asciiTheme="minorEastAsia" w:hAnsiTheme="minorEastAsia" w:eastAsiaTheme="minorEastAsia" w:cstheme="minorEastAsia"/>
          <w:b/>
          <w:szCs w:val="21"/>
          <w:lang w:val="zh-CN"/>
        </w:rPr>
        <w:t>（本项目不适用）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113" w:name="_Toc12359"/>
      <w:r>
        <w:rPr>
          <w:rFonts w:hint="eastAsia" w:asciiTheme="minorEastAsia" w:hAnsiTheme="minorEastAsia" w:eastAsiaTheme="minorEastAsia" w:cstheme="minorEastAsia"/>
          <w:b/>
        </w:rPr>
        <w:t>政府采购政策</w:t>
      </w:r>
      <w:bookmarkEnd w:id="113"/>
      <w:r>
        <w:rPr>
          <w:rFonts w:hint="eastAsia" w:asciiTheme="minorEastAsia" w:hAnsiTheme="minorEastAsia" w:eastAsiaTheme="minorEastAsia" w:cstheme="minorEastAsia"/>
          <w:b/>
          <w:szCs w:val="21"/>
          <w:lang w:val="zh-CN"/>
        </w:rPr>
        <w:t>（本项目不适用）</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14" w:name="_Toc26360"/>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15" w:name="_Toc30994"/>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16" w:name="_Toc12528"/>
      <w:r>
        <w:rPr>
          <w:rFonts w:hint="eastAsia" w:asciiTheme="minorEastAsia" w:hAnsiTheme="minorEastAsia" w:eastAsiaTheme="minorEastAsia" w:cstheme="minorEastAsia"/>
          <w:sz w:val="36"/>
          <w:szCs w:val="36"/>
        </w:rPr>
        <w:t>采购需求</w:t>
      </w:r>
      <w:bookmarkEnd w:id="116"/>
    </w:p>
    <w:p>
      <w:pPr>
        <w:autoSpaceDE w:val="0"/>
        <w:autoSpaceDN w:val="0"/>
        <w:adjustRightInd w:val="0"/>
        <w:spacing w:line="360" w:lineRule="auto"/>
        <w:outlineLvl w:val="1"/>
        <w:rPr>
          <w:rFonts w:ascii="宋体" w:hAnsi="宋体" w:cs="宋体"/>
          <w:b/>
          <w:bCs/>
          <w:szCs w:val="21"/>
        </w:rPr>
      </w:pPr>
      <w:bookmarkStart w:id="117" w:name="_Toc29516"/>
      <w:r>
        <w:rPr>
          <w:rFonts w:hint="eastAsia" w:ascii="宋体" w:hAnsi="宋体" w:cs="宋体"/>
          <w:b/>
          <w:bCs/>
          <w:szCs w:val="21"/>
        </w:rPr>
        <w:t>一、技术需求</w:t>
      </w:r>
      <w:bookmarkEnd w:id="117"/>
    </w:p>
    <w:p>
      <w:pPr>
        <w:autoSpaceDE w:val="0"/>
        <w:autoSpaceDN w:val="0"/>
        <w:adjustRightInd w:val="0"/>
        <w:spacing w:line="360" w:lineRule="auto"/>
        <w:rPr>
          <w:rFonts w:ascii="宋体" w:hAnsi="宋体" w:cs="宋体"/>
          <w:szCs w:val="21"/>
        </w:rPr>
      </w:pPr>
      <w:r>
        <w:rPr>
          <w:rFonts w:hint="eastAsia" w:ascii="宋体" w:hAnsi="宋体" w:cs="宋体"/>
          <w:szCs w:val="21"/>
        </w:rPr>
        <w:t>1、项目概况：</w:t>
      </w:r>
    </w:p>
    <w:tbl>
      <w:tblPr>
        <w:tblStyle w:val="26"/>
        <w:tblW w:w="9137" w:type="dxa"/>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450"/>
        <w:gridCol w:w="3471"/>
        <w:gridCol w:w="1020"/>
        <w:gridCol w:w="1428"/>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8" w:type="dxa"/>
            <w:vAlign w:val="center"/>
          </w:tcPr>
          <w:p>
            <w:pPr>
              <w:snapToGrid w:val="0"/>
              <w:spacing w:line="360" w:lineRule="auto"/>
              <w:jc w:val="center"/>
              <w:rPr>
                <w:rFonts w:ascii="宋体" w:hAnsi="宋体" w:cs="宋体"/>
                <w:szCs w:val="21"/>
              </w:rPr>
            </w:pPr>
            <w:r>
              <w:rPr>
                <w:rFonts w:hint="eastAsia" w:ascii="宋体" w:hAnsi="宋体" w:cs="宋体"/>
                <w:szCs w:val="21"/>
              </w:rPr>
              <w:t>序号</w:t>
            </w:r>
          </w:p>
        </w:tc>
        <w:tc>
          <w:tcPr>
            <w:tcW w:w="2450" w:type="dxa"/>
            <w:vAlign w:val="center"/>
          </w:tcPr>
          <w:p>
            <w:pPr>
              <w:snapToGrid w:val="0"/>
              <w:spacing w:line="360" w:lineRule="auto"/>
              <w:jc w:val="center"/>
              <w:rPr>
                <w:rFonts w:ascii="宋体" w:hAnsi="宋体" w:cs="宋体"/>
                <w:szCs w:val="21"/>
              </w:rPr>
            </w:pPr>
            <w:r>
              <w:rPr>
                <w:rFonts w:hint="eastAsia" w:ascii="宋体" w:hAnsi="宋体" w:cs="宋体"/>
                <w:szCs w:val="21"/>
              </w:rPr>
              <w:t>项目名称</w:t>
            </w:r>
          </w:p>
        </w:tc>
        <w:tc>
          <w:tcPr>
            <w:tcW w:w="3471" w:type="dxa"/>
            <w:vAlign w:val="center"/>
          </w:tcPr>
          <w:p>
            <w:pPr>
              <w:snapToGrid w:val="0"/>
              <w:spacing w:line="360" w:lineRule="auto"/>
              <w:jc w:val="center"/>
              <w:rPr>
                <w:rFonts w:ascii="宋体" w:hAnsi="宋体" w:cs="宋体"/>
                <w:szCs w:val="21"/>
              </w:rPr>
            </w:pPr>
            <w:r>
              <w:rPr>
                <w:rFonts w:hint="eastAsia" w:ascii="宋体" w:hAnsi="宋体" w:cs="宋体"/>
                <w:szCs w:val="21"/>
              </w:rPr>
              <w:t>规格型号</w:t>
            </w:r>
          </w:p>
        </w:tc>
        <w:tc>
          <w:tcPr>
            <w:tcW w:w="1020" w:type="dxa"/>
            <w:vAlign w:val="center"/>
          </w:tcPr>
          <w:p>
            <w:pPr>
              <w:snapToGrid w:val="0"/>
              <w:spacing w:line="360" w:lineRule="auto"/>
              <w:jc w:val="center"/>
              <w:rPr>
                <w:rFonts w:ascii="宋体" w:hAnsi="宋体" w:cs="宋体"/>
                <w:szCs w:val="21"/>
              </w:rPr>
            </w:pPr>
            <w:r>
              <w:rPr>
                <w:rFonts w:hint="eastAsia" w:ascii="宋体" w:hAnsi="宋体" w:cs="宋体"/>
                <w:szCs w:val="21"/>
              </w:rPr>
              <w:t>计量</w:t>
            </w:r>
          </w:p>
          <w:p>
            <w:pPr>
              <w:snapToGrid w:val="0"/>
              <w:spacing w:line="360" w:lineRule="auto"/>
              <w:jc w:val="center"/>
              <w:rPr>
                <w:rFonts w:ascii="宋体" w:hAnsi="宋体" w:cs="宋体"/>
                <w:szCs w:val="21"/>
              </w:rPr>
            </w:pPr>
            <w:r>
              <w:rPr>
                <w:rFonts w:hint="eastAsia" w:ascii="宋体" w:hAnsi="宋体" w:cs="宋体"/>
                <w:szCs w:val="21"/>
              </w:rPr>
              <w:t>单位</w:t>
            </w:r>
          </w:p>
        </w:tc>
        <w:tc>
          <w:tcPr>
            <w:tcW w:w="1428" w:type="dxa"/>
            <w:vAlign w:val="center"/>
          </w:tcPr>
          <w:p>
            <w:pPr>
              <w:snapToGrid w:val="0"/>
              <w:spacing w:line="360" w:lineRule="auto"/>
              <w:jc w:val="center"/>
              <w:rPr>
                <w:rFonts w:ascii="宋体" w:hAnsi="宋体" w:cs="宋体"/>
                <w:szCs w:val="21"/>
              </w:rPr>
            </w:pPr>
            <w:r>
              <w:rPr>
                <w:rFonts w:hint="eastAsia" w:ascii="宋体" w:hAnsi="宋体" w:cs="宋体"/>
                <w:szCs w:val="21"/>
              </w:rPr>
              <w:t>数量</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768" w:type="dxa"/>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2450" w:type="dxa"/>
            <w:vAlign w:val="center"/>
          </w:tcPr>
          <w:p>
            <w:pPr>
              <w:spacing w:line="360" w:lineRule="auto"/>
              <w:jc w:val="center"/>
              <w:rPr>
                <w:rFonts w:ascii="宋体" w:hAnsi="宋体" w:cs="宋体"/>
                <w:szCs w:val="21"/>
              </w:rPr>
            </w:pPr>
            <w:r>
              <w:rPr>
                <w:rFonts w:hint="eastAsia" w:ascii="宋体" w:hAnsi="宋体" w:cs="宋体"/>
                <w:szCs w:val="21"/>
              </w:rPr>
              <w:t>工程监理</w:t>
            </w:r>
          </w:p>
        </w:tc>
        <w:tc>
          <w:tcPr>
            <w:tcW w:w="3471" w:type="dxa"/>
            <w:vAlign w:val="center"/>
          </w:tcPr>
          <w:p>
            <w:pPr>
              <w:spacing w:line="360" w:lineRule="auto"/>
              <w:jc w:val="center"/>
              <w:rPr>
                <w:rFonts w:ascii="宋体" w:hAnsi="宋体" w:cs="宋体"/>
                <w:szCs w:val="21"/>
              </w:rPr>
            </w:pPr>
            <w:r>
              <w:rPr>
                <w:rFonts w:hint="eastAsia" w:ascii="宋体" w:hAnsi="宋体" w:cs="宋体"/>
                <w:szCs w:val="21"/>
              </w:rPr>
              <w:t>某基地田径场和炊事员培训中心工程概算投资967万元</w:t>
            </w:r>
          </w:p>
        </w:tc>
        <w:tc>
          <w:tcPr>
            <w:tcW w:w="1020" w:type="dxa"/>
            <w:vAlign w:val="center"/>
          </w:tcPr>
          <w:p>
            <w:pPr>
              <w:spacing w:line="360" w:lineRule="auto"/>
              <w:jc w:val="center"/>
              <w:rPr>
                <w:rFonts w:ascii="宋体" w:hAnsi="宋体" w:cs="宋体"/>
                <w:szCs w:val="21"/>
              </w:rPr>
            </w:pPr>
            <w:r>
              <w:rPr>
                <w:rFonts w:hint="eastAsia" w:ascii="宋体" w:hAnsi="宋体" w:cs="宋体"/>
                <w:szCs w:val="21"/>
              </w:rPr>
              <w:t>项</w:t>
            </w:r>
          </w:p>
        </w:tc>
        <w:tc>
          <w:tcPr>
            <w:tcW w:w="1428" w:type="dxa"/>
            <w:vAlign w:val="center"/>
          </w:tcPr>
          <w:p>
            <w:pPr>
              <w:spacing w:line="360" w:lineRule="auto"/>
              <w:jc w:val="center"/>
              <w:rPr>
                <w:rFonts w:ascii="宋体" w:hAnsi="宋体" w:cs="宋体"/>
                <w:szCs w:val="21"/>
              </w:rPr>
            </w:pPr>
            <w:r>
              <w:rPr>
                <w:rFonts w:hint="eastAsia" w:ascii="宋体" w:hAnsi="宋体" w:cs="宋体"/>
                <w:szCs w:val="21"/>
              </w:rPr>
              <w:t>1</w:t>
            </w:r>
          </w:p>
        </w:tc>
      </w:tr>
    </w:tbl>
    <w:p>
      <w:pPr>
        <w:autoSpaceDE w:val="0"/>
        <w:autoSpaceDN w:val="0"/>
        <w:adjustRightInd w:val="0"/>
        <w:spacing w:line="360" w:lineRule="auto"/>
        <w:rPr>
          <w:rFonts w:ascii="宋体" w:hAnsi="宋体" w:cs="宋体"/>
          <w:szCs w:val="21"/>
        </w:rPr>
      </w:pPr>
      <w:r>
        <w:rPr>
          <w:rFonts w:hint="eastAsia" w:ascii="宋体" w:hAnsi="宋体" w:cs="宋体"/>
          <w:szCs w:val="21"/>
        </w:rPr>
        <w:t>2、服务内容和人员要求：</w:t>
      </w:r>
    </w:p>
    <w:p>
      <w:pPr>
        <w:spacing w:line="360" w:lineRule="auto"/>
        <w:ind w:firstLine="420" w:firstLineChars="200"/>
        <w:rPr>
          <w:rFonts w:ascii="宋体" w:hAnsi="宋体" w:cs="宋体"/>
          <w:szCs w:val="21"/>
        </w:rPr>
      </w:pPr>
      <w:r>
        <w:rPr>
          <w:rFonts w:hint="eastAsia" w:ascii="宋体" w:hAnsi="宋体" w:cs="宋体"/>
          <w:szCs w:val="21"/>
        </w:rPr>
        <w:t>监理工作主要内容包括：依法依规对某基地田径场和炊事员培训中心项目进行质量、进度、成本、安全文明、环境保护等全面监理。包括施工准备阶段的监理和施工阶段的监理。</w:t>
      </w:r>
    </w:p>
    <w:p>
      <w:pPr>
        <w:spacing w:line="360" w:lineRule="auto"/>
        <w:rPr>
          <w:rFonts w:ascii="宋体" w:hAnsi="宋体" w:cs="宋体"/>
          <w:szCs w:val="21"/>
        </w:rPr>
      </w:pPr>
      <w:r>
        <w:rPr>
          <w:rFonts w:hint="eastAsia" w:ascii="宋体" w:hAnsi="宋体" w:cs="宋体"/>
          <w:szCs w:val="21"/>
        </w:rPr>
        <w:t xml:space="preserve">具体工作包含但不限于以下内容： </w:t>
      </w:r>
    </w:p>
    <w:p>
      <w:pPr>
        <w:spacing w:line="360" w:lineRule="auto"/>
        <w:rPr>
          <w:rFonts w:ascii="宋体" w:hAnsi="宋体" w:cs="宋体"/>
          <w:szCs w:val="21"/>
        </w:rPr>
      </w:pPr>
      <w:r>
        <w:rPr>
          <w:rFonts w:hint="eastAsia" w:ascii="宋体" w:hAnsi="宋体" w:cs="宋体"/>
          <w:szCs w:val="21"/>
        </w:rPr>
        <w:t xml:space="preserve">1、检查承包方进场人员、施工设备、材料和工程设备等。 </w:t>
      </w:r>
    </w:p>
    <w:p>
      <w:pPr>
        <w:spacing w:line="360" w:lineRule="auto"/>
        <w:rPr>
          <w:rFonts w:ascii="宋体" w:hAnsi="宋体" w:cs="宋体"/>
          <w:szCs w:val="21"/>
        </w:rPr>
      </w:pPr>
      <w:r>
        <w:rPr>
          <w:rFonts w:hint="eastAsia" w:ascii="宋体" w:hAnsi="宋体" w:cs="宋体"/>
          <w:szCs w:val="21"/>
        </w:rPr>
        <w:t xml:space="preserve">2、控制工程总进度（审批工程进度计划、修改计划、以及监督计划的实施）。 </w:t>
      </w:r>
    </w:p>
    <w:p>
      <w:pPr>
        <w:spacing w:line="360" w:lineRule="auto"/>
        <w:rPr>
          <w:rFonts w:ascii="宋体" w:hAnsi="宋体" w:cs="宋体"/>
          <w:szCs w:val="21"/>
        </w:rPr>
      </w:pPr>
      <w:r>
        <w:rPr>
          <w:rFonts w:hint="eastAsia" w:ascii="宋体" w:hAnsi="宋体" w:cs="宋体"/>
          <w:szCs w:val="21"/>
        </w:rPr>
        <w:t>3、核定和审查施工方提出的施工组织设计、施工技术方案、施工进度计划、施工质量保证体系和施工安全保证体系等文件。</w:t>
      </w:r>
    </w:p>
    <w:p>
      <w:pPr>
        <w:spacing w:line="360" w:lineRule="auto"/>
        <w:rPr>
          <w:rFonts w:ascii="宋体" w:hAnsi="宋体" w:cs="宋体"/>
          <w:szCs w:val="21"/>
        </w:rPr>
      </w:pPr>
      <w:r>
        <w:rPr>
          <w:rFonts w:hint="eastAsia" w:ascii="宋体" w:hAnsi="宋体" w:cs="宋体"/>
          <w:szCs w:val="21"/>
        </w:rPr>
        <w:t xml:space="preserve">4、工程质量控制和组织或参与工程验收移交，以及保修责任期满的工程验收。 </w:t>
      </w:r>
    </w:p>
    <w:p>
      <w:pPr>
        <w:spacing w:line="360" w:lineRule="auto"/>
        <w:rPr>
          <w:rFonts w:ascii="宋体" w:hAnsi="宋体" w:cs="宋体"/>
          <w:szCs w:val="21"/>
        </w:rPr>
      </w:pPr>
      <w:r>
        <w:rPr>
          <w:rFonts w:hint="eastAsia" w:ascii="宋体" w:hAnsi="宋体" w:cs="宋体"/>
          <w:szCs w:val="21"/>
        </w:rPr>
        <w:t>5、检查文明施工、安全生产。</w:t>
      </w:r>
    </w:p>
    <w:p>
      <w:pPr>
        <w:spacing w:line="360" w:lineRule="auto"/>
        <w:rPr>
          <w:rFonts w:ascii="宋体" w:hAnsi="宋体" w:cs="宋体"/>
          <w:szCs w:val="21"/>
        </w:rPr>
      </w:pPr>
      <w:r>
        <w:rPr>
          <w:rFonts w:hint="eastAsia" w:ascii="宋体" w:hAnsi="宋体" w:cs="宋体"/>
          <w:szCs w:val="21"/>
        </w:rPr>
        <w:t xml:space="preserve">6、严格控制工程投资和主要费用支付凭证保证的首次签发，办理支付凭证时，需同时向委托 </w:t>
      </w:r>
    </w:p>
    <w:p>
      <w:pPr>
        <w:spacing w:line="360" w:lineRule="auto"/>
        <w:rPr>
          <w:rFonts w:ascii="宋体" w:hAnsi="宋体" w:cs="宋体"/>
          <w:szCs w:val="21"/>
        </w:rPr>
      </w:pPr>
      <w:r>
        <w:rPr>
          <w:rFonts w:hint="eastAsia" w:ascii="宋体" w:hAnsi="宋体" w:cs="宋体"/>
          <w:szCs w:val="21"/>
        </w:rPr>
        <w:t xml:space="preserve">人申报相应的款项。 </w:t>
      </w:r>
    </w:p>
    <w:p>
      <w:pPr>
        <w:spacing w:line="360" w:lineRule="auto"/>
        <w:rPr>
          <w:rFonts w:ascii="宋体" w:hAnsi="宋体" w:cs="宋体"/>
          <w:szCs w:val="21"/>
        </w:rPr>
      </w:pPr>
      <w:r>
        <w:rPr>
          <w:rFonts w:hint="eastAsia" w:ascii="宋体" w:hAnsi="宋体" w:cs="宋体"/>
          <w:szCs w:val="21"/>
        </w:rPr>
        <w:t xml:space="preserve">7、研究和处理工程合同的变更，变更设计需经委托人、设计单位同意后签发。 </w:t>
      </w:r>
    </w:p>
    <w:p>
      <w:pPr>
        <w:spacing w:line="360" w:lineRule="auto"/>
        <w:rPr>
          <w:rFonts w:ascii="宋体" w:hAnsi="宋体" w:cs="宋体"/>
          <w:szCs w:val="21"/>
        </w:rPr>
      </w:pPr>
      <w:r>
        <w:rPr>
          <w:rFonts w:hint="eastAsia" w:ascii="宋体" w:hAnsi="宋体" w:cs="宋体"/>
          <w:szCs w:val="21"/>
        </w:rPr>
        <w:t xml:space="preserve">8、协调好各合同承包人的关系，定期召集工地例会，签发《工程开工申请报告》。 </w:t>
      </w:r>
    </w:p>
    <w:p>
      <w:pPr>
        <w:spacing w:line="360" w:lineRule="auto"/>
        <w:rPr>
          <w:rFonts w:ascii="宋体" w:hAnsi="宋体" w:cs="宋体"/>
          <w:szCs w:val="21"/>
        </w:rPr>
      </w:pPr>
      <w:r>
        <w:rPr>
          <w:rFonts w:hint="eastAsia" w:ascii="宋体" w:hAnsi="宋体" w:cs="宋体"/>
          <w:szCs w:val="21"/>
        </w:rPr>
        <w:t xml:space="preserve">9、做好各种记录和信息管理工作，以及工程资料和合同档案的管理工作。 </w:t>
      </w:r>
    </w:p>
    <w:p>
      <w:pPr>
        <w:spacing w:line="360" w:lineRule="auto"/>
        <w:rPr>
          <w:rFonts w:ascii="宋体" w:hAnsi="宋体" w:cs="宋体"/>
          <w:szCs w:val="21"/>
        </w:rPr>
      </w:pPr>
      <w:r>
        <w:rPr>
          <w:rFonts w:hint="eastAsia" w:ascii="宋体" w:hAnsi="宋体" w:cs="宋体"/>
          <w:szCs w:val="21"/>
        </w:rPr>
        <w:t>10、复核各项与项目有关的坐标、轴线、重要构配件尺寸等数据。审核施工方提供的材料、构</w:t>
      </w:r>
    </w:p>
    <w:p>
      <w:pPr>
        <w:spacing w:line="360" w:lineRule="auto"/>
        <w:rPr>
          <w:rFonts w:ascii="宋体" w:hAnsi="宋体" w:cs="宋体"/>
          <w:szCs w:val="21"/>
        </w:rPr>
      </w:pPr>
      <w:r>
        <w:rPr>
          <w:rFonts w:hint="eastAsia" w:ascii="宋体" w:hAnsi="宋体" w:cs="宋体"/>
          <w:szCs w:val="21"/>
        </w:rPr>
        <w:t>配件和设计的数量及质量；</w:t>
      </w:r>
    </w:p>
    <w:p>
      <w:pPr>
        <w:spacing w:line="360" w:lineRule="auto"/>
        <w:rPr>
          <w:rFonts w:ascii="宋体" w:hAnsi="宋体" w:cs="宋体"/>
          <w:szCs w:val="21"/>
        </w:rPr>
      </w:pPr>
      <w:r>
        <w:rPr>
          <w:rFonts w:hint="eastAsia" w:ascii="宋体" w:hAnsi="宋体" w:cs="宋体"/>
          <w:szCs w:val="21"/>
        </w:rPr>
        <w:t xml:space="preserve">11、编写好工程验收报告和工程总结。 </w:t>
      </w:r>
    </w:p>
    <w:p>
      <w:pPr>
        <w:spacing w:line="360" w:lineRule="auto"/>
        <w:rPr>
          <w:rFonts w:ascii="宋体" w:hAnsi="宋体" w:cs="宋体"/>
          <w:szCs w:val="21"/>
        </w:rPr>
      </w:pPr>
      <w:r>
        <w:rPr>
          <w:rFonts w:hint="eastAsia" w:ascii="宋体" w:hAnsi="宋体" w:cs="宋体"/>
          <w:szCs w:val="21"/>
        </w:rPr>
        <w:t xml:space="preserve">12、编写好工程建设大事记。 </w:t>
      </w:r>
    </w:p>
    <w:p>
      <w:pPr>
        <w:spacing w:line="360" w:lineRule="auto"/>
        <w:rPr>
          <w:rFonts w:ascii="宋体" w:hAnsi="宋体" w:cs="宋体"/>
          <w:szCs w:val="21"/>
        </w:rPr>
      </w:pPr>
      <w:r>
        <w:rPr>
          <w:rFonts w:hint="eastAsia" w:ascii="宋体" w:hAnsi="宋体" w:cs="宋体"/>
          <w:szCs w:val="21"/>
        </w:rPr>
        <w:t xml:space="preserve">13、协助委托人研究和处理各种合同事宜。 </w:t>
      </w:r>
    </w:p>
    <w:p>
      <w:pPr>
        <w:spacing w:line="360" w:lineRule="auto"/>
        <w:rPr>
          <w:rFonts w:ascii="宋体" w:hAnsi="宋体" w:cs="宋体"/>
          <w:szCs w:val="21"/>
        </w:rPr>
      </w:pPr>
      <w:r>
        <w:rPr>
          <w:rFonts w:hint="eastAsia" w:ascii="宋体" w:hAnsi="宋体" w:cs="宋体"/>
          <w:szCs w:val="21"/>
        </w:rPr>
        <w:t xml:space="preserve">14、保证工程资料的完整性，并确保按期移交给项目委托人。 </w:t>
      </w:r>
    </w:p>
    <w:p>
      <w:pPr>
        <w:spacing w:line="360" w:lineRule="auto"/>
        <w:rPr>
          <w:rFonts w:ascii="宋体" w:hAnsi="宋体" w:cs="宋体"/>
          <w:b/>
          <w:szCs w:val="21"/>
        </w:rPr>
      </w:pPr>
      <w:r>
        <w:rPr>
          <w:rFonts w:hint="eastAsia" w:ascii="宋体" w:hAnsi="宋体" w:cs="宋体"/>
          <w:szCs w:val="21"/>
        </w:rPr>
        <w:t>人员要求：</w:t>
      </w:r>
      <w:r>
        <w:rPr>
          <w:rFonts w:hint="eastAsia" w:ascii="宋体" w:hAnsi="宋体" w:cs="宋体"/>
          <w:szCs w:val="21"/>
        </w:rPr>
        <w:br w:type="textWrapping"/>
      </w:r>
      <w:r>
        <w:rPr>
          <w:rFonts w:hint="eastAsia" w:ascii="宋体" w:hAnsi="宋体" w:cs="宋体"/>
          <w:szCs w:val="21"/>
        </w:rPr>
        <w:t xml:space="preserve">1、必须保证施工全过程在场的现场监理工程师不少于1人，跟班监理员不少于1人，且持证上岗。 </w:t>
      </w:r>
      <w:r>
        <w:rPr>
          <w:rFonts w:hint="eastAsia" w:ascii="宋体" w:hAnsi="宋体" w:cs="宋体"/>
          <w:szCs w:val="21"/>
        </w:rPr>
        <w:br w:type="textWrapping"/>
      </w:r>
      <w:r>
        <w:rPr>
          <w:rFonts w:hint="eastAsia" w:ascii="宋体" w:hAnsi="宋体" w:cs="宋体"/>
          <w:szCs w:val="21"/>
        </w:rPr>
        <w:t xml:space="preserve">2、当发生夜间施工或赶工时，保证人员在位。 </w:t>
      </w:r>
      <w:r>
        <w:rPr>
          <w:rFonts w:hint="eastAsia" w:ascii="宋体" w:hAnsi="宋体" w:cs="宋体"/>
          <w:szCs w:val="21"/>
        </w:rPr>
        <w:br w:type="textWrapping"/>
      </w:r>
      <w:r>
        <w:rPr>
          <w:rFonts w:hint="eastAsia" w:ascii="宋体" w:hAnsi="宋体" w:cs="宋体"/>
          <w:szCs w:val="21"/>
        </w:rPr>
        <w:t xml:space="preserve">3、要求监理工程师精力充沛，建筑装修、维修改造类工程监理。供应商在响应文件中需给定监理人员配备方案（包含人员数量及具体业务范围等），后期人员变更需征得采购人同意，否则采购人有权终止合同。 </w:t>
      </w:r>
      <w:r>
        <w:rPr>
          <w:rFonts w:hint="eastAsia" w:ascii="宋体" w:hAnsi="宋体" w:cs="宋体"/>
          <w:szCs w:val="21"/>
        </w:rPr>
        <w:br w:type="textWrapping"/>
      </w:r>
      <w:r>
        <w:rPr>
          <w:rFonts w:hint="eastAsia" w:ascii="宋体" w:hAnsi="宋体" w:cs="宋体"/>
          <w:szCs w:val="21"/>
        </w:rPr>
        <w:t xml:space="preserve">4、如有施工过程中监理不在位的情况，将按200元/人/次扣除监理费；如因监理缺位造成工程质量缺陷或安全事故，将依法依规追究监理责任。 </w:t>
      </w:r>
    </w:p>
    <w:p>
      <w:pPr>
        <w:autoSpaceDE w:val="0"/>
        <w:autoSpaceDN w:val="0"/>
        <w:adjustRightInd w:val="0"/>
        <w:spacing w:line="360" w:lineRule="auto"/>
        <w:outlineLvl w:val="1"/>
        <w:rPr>
          <w:rFonts w:ascii="宋体" w:hAnsi="宋体" w:cs="宋体"/>
          <w:b/>
          <w:bCs/>
          <w:szCs w:val="21"/>
        </w:rPr>
      </w:pPr>
      <w:bookmarkStart w:id="118" w:name="_Toc5724"/>
      <w:r>
        <w:rPr>
          <w:rFonts w:hint="eastAsia" w:ascii="宋体" w:hAnsi="宋体" w:cs="宋体"/>
          <w:b/>
          <w:bCs/>
          <w:szCs w:val="21"/>
        </w:rPr>
        <w:t>二、商务需求</w:t>
      </w:r>
      <w:bookmarkEnd w:id="118"/>
    </w:p>
    <w:p>
      <w:pPr>
        <w:autoSpaceDE w:val="0"/>
        <w:autoSpaceDN w:val="0"/>
        <w:adjustRightInd w:val="0"/>
        <w:spacing w:line="360" w:lineRule="auto"/>
        <w:rPr>
          <w:rFonts w:ascii="宋体" w:hAnsi="宋体" w:cs="宋体"/>
          <w:szCs w:val="21"/>
        </w:rPr>
      </w:pPr>
      <w:r>
        <w:rPr>
          <w:rFonts w:hint="eastAsia" w:ascii="宋体" w:hAnsi="宋体" w:cs="宋体"/>
          <w:szCs w:val="21"/>
        </w:rPr>
        <w:t>1、违约责任：</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1.1所有拟派服务人员及设备均需按照磋商文件指标要求及竞标响应情况进行检查核对后方可签订合同，不满足磋商文件要求的，采购人有权不对其进行验收；同时采购人有权对中标人进行双倍罚款或取消合同。</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1.3因成交供应商原因服务质量及诚信要求达不到约定的标准，由成交供应商向采购人支付合同价款10%的违约金。</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2、服务质量要求：</w:t>
      </w:r>
      <w:r>
        <w:rPr>
          <w:rFonts w:hint="eastAsia" w:ascii="宋体" w:hAnsi="宋体" w:cs="宋体"/>
          <w:kern w:val="0"/>
          <w:szCs w:val="21"/>
          <w:lang w:bidi="ar"/>
        </w:rPr>
        <w:t>对本工程进行有效的目标及安全质量把控。</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3、服务地点：湖北省武汉市江夏区郑店街东风村。</w:t>
      </w:r>
      <w:r>
        <w:rPr>
          <w:rFonts w:hint="eastAsia" w:ascii="宋体" w:hAnsi="宋体" w:cs="宋体"/>
          <w:szCs w:val="21"/>
        </w:rPr>
        <w:br w:type="textWrapping"/>
      </w:r>
      <w:r>
        <w:rPr>
          <w:rFonts w:hint="eastAsia" w:ascii="宋体" w:hAnsi="宋体" w:cs="宋体"/>
          <w:szCs w:val="21"/>
        </w:rPr>
        <w:t>4、服务期：合同签订之日起至项目全部工程竣工验收合格并经审计结束；</w:t>
      </w:r>
      <w:r>
        <w:rPr>
          <w:rFonts w:hint="eastAsia" w:ascii="宋体" w:hAnsi="宋体" w:cs="宋体"/>
          <w:szCs w:val="21"/>
        </w:rPr>
        <w:br w:type="textWrapping"/>
      </w:r>
      <w:r>
        <w:rPr>
          <w:rFonts w:hint="eastAsia" w:ascii="宋体" w:hAnsi="宋体" w:cs="宋体"/>
          <w:color w:val="000000" w:themeColor="text1"/>
          <w:szCs w:val="21"/>
        </w:rPr>
        <w:t>5、付款方式：</w:t>
      </w:r>
      <w:r>
        <w:rPr>
          <w:rFonts w:hint="eastAsia" w:asciiTheme="minorEastAsia" w:hAnsiTheme="minorEastAsia" w:eastAsiaTheme="minorEastAsia" w:cstheme="minorEastAsia"/>
          <w:color w:val="000000" w:themeColor="text1"/>
          <w:szCs w:val="21"/>
        </w:rPr>
        <w:t>工程竣工验收后15日内支付</w:t>
      </w:r>
      <w:r>
        <w:rPr>
          <w:rFonts w:hint="eastAsia" w:asciiTheme="minorEastAsia" w:hAnsiTheme="minorEastAsia" w:eastAsiaTheme="minorEastAsia" w:cstheme="minorEastAsia"/>
          <w:color w:val="000000" w:themeColor="text1"/>
          <w:szCs w:val="21"/>
          <w:lang w:eastAsia="zh-CN"/>
        </w:rPr>
        <w:t>合同价的</w:t>
      </w:r>
      <w:r>
        <w:rPr>
          <w:rFonts w:hint="eastAsia" w:asciiTheme="minorEastAsia" w:hAnsiTheme="minorEastAsia" w:eastAsiaTheme="minorEastAsia" w:cstheme="minorEastAsia"/>
          <w:color w:val="000000" w:themeColor="text1"/>
          <w:szCs w:val="21"/>
        </w:rPr>
        <w:t>70%，审计结算后15日内支付至100%。</w:t>
      </w:r>
      <w:r>
        <w:rPr>
          <w:rFonts w:hint="eastAsia" w:ascii="宋体" w:hAnsi="宋体" w:cs="宋体"/>
          <w:color w:val="FF0000"/>
          <w:szCs w:val="21"/>
        </w:rPr>
        <w:br w:type="textWrapping"/>
      </w:r>
      <w:r>
        <w:rPr>
          <w:rFonts w:hint="eastAsia" w:ascii="宋体" w:hAnsi="宋体" w:cs="宋体"/>
          <w:szCs w:val="21"/>
        </w:rPr>
        <w:t>6、响应文件内容必须括保证项目推进的具体实施方案和措施、监理服务的响应速率等；</w:t>
      </w:r>
      <w:r>
        <w:rPr>
          <w:rFonts w:hint="eastAsia" w:ascii="宋体" w:hAnsi="宋体" w:cs="宋体"/>
          <w:szCs w:val="21"/>
        </w:rPr>
        <w:br w:type="textWrapping"/>
      </w:r>
      <w:r>
        <w:rPr>
          <w:rFonts w:hint="eastAsia" w:ascii="宋体" w:hAnsi="宋体" w:cs="宋体"/>
          <w:szCs w:val="21"/>
        </w:rPr>
        <w:t>7、本项目竣工后向采购人提供4套竣工资料和与其内容相同的电子版1套。</w:t>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rPr>
        <w:br w:type="textWrapping"/>
      </w:r>
    </w:p>
    <w:p>
      <w:pPr>
        <w:pStyle w:val="3"/>
        <w:numPr>
          <w:ilvl w:val="0"/>
          <w:numId w:val="4"/>
        </w:numPr>
        <w:jc w:val="center"/>
        <w:rPr>
          <w:rFonts w:asciiTheme="minorEastAsia" w:hAnsiTheme="minorEastAsia" w:eastAsiaTheme="minorEastAsia" w:cstheme="minorEastAsia"/>
          <w:szCs w:val="21"/>
        </w:rPr>
      </w:pPr>
      <w:bookmarkStart w:id="119" w:name="_Toc30173"/>
      <w:r>
        <w:rPr>
          <w:rFonts w:hint="eastAsia" w:asciiTheme="minorEastAsia" w:hAnsiTheme="minorEastAsia" w:eastAsiaTheme="minorEastAsia" w:cstheme="minorEastAsia"/>
          <w:sz w:val="36"/>
          <w:szCs w:val="36"/>
        </w:rPr>
        <w:t>竞争性磋商采购评定办法</w:t>
      </w:r>
      <w:bookmarkEnd w:id="119"/>
    </w:p>
    <w:p>
      <w:pPr>
        <w:spacing w:line="360" w:lineRule="auto"/>
        <w:outlineLvl w:val="1"/>
        <w:rPr>
          <w:rFonts w:asciiTheme="minorEastAsia" w:hAnsiTheme="minorEastAsia" w:eastAsiaTheme="minorEastAsia" w:cstheme="minorEastAsia"/>
          <w:b/>
          <w:szCs w:val="21"/>
        </w:rPr>
      </w:pPr>
      <w:bookmarkStart w:id="120" w:name="_Toc24051"/>
      <w:r>
        <w:rPr>
          <w:rFonts w:hint="eastAsia" w:asciiTheme="minorEastAsia" w:hAnsiTheme="minorEastAsia" w:eastAsiaTheme="minorEastAsia" w:cstheme="minorEastAsia"/>
          <w:b/>
          <w:szCs w:val="21"/>
        </w:rPr>
        <w:t>一、评定办法前附表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每一种采购内容是否只有一个报价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报价金额是否超过采购预算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Theme="minorEastAsia" w:hAnsiTheme="minorEastAsia" w:eastAsiaTheme="minorEastAsia" w:cstheme="minorEastAsia"/>
                <w:kern w:val="0"/>
                <w:szCs w:val="21"/>
              </w:rPr>
            </w:pPr>
            <w:r>
              <w:rPr>
                <w:rFonts w:hint="eastAsia" w:ascii="宋体" w:hAnsi="宋体"/>
                <w:szCs w:val="21"/>
              </w:rPr>
              <w:t>“★”号条款</w:t>
            </w:r>
            <w:r>
              <w:rPr>
                <w:rFonts w:hint="eastAsia" w:asciiTheme="minorEastAsia" w:hAnsiTheme="minorEastAsia" w:eastAsiaTheme="minorEastAsia" w:cstheme="minorEastAsia"/>
                <w:kern w:val="0"/>
                <w:szCs w:val="21"/>
              </w:rPr>
              <w:t>响应</w:t>
            </w:r>
          </w:p>
        </w:tc>
        <w:tc>
          <w:tcPr>
            <w:tcW w:w="4730" w:type="dxa"/>
            <w:vAlign w:val="center"/>
          </w:tcPr>
          <w:p>
            <w:pPr>
              <w:autoSpaceDE w:val="0"/>
              <w:autoSpaceDN w:val="0"/>
              <w:adjustRightInd w:val="0"/>
              <w:snapToGrid w:val="0"/>
              <w:rPr>
                <w:rFonts w:asciiTheme="minorEastAsia" w:hAnsiTheme="minorEastAsia" w:cstheme="minorEastAsia"/>
                <w:kern w:val="0"/>
                <w:szCs w:val="21"/>
              </w:rPr>
            </w:pPr>
            <w:r>
              <w:rPr>
                <w:rFonts w:hint="eastAsia" w:ascii="宋体" w:hAnsi="宋体"/>
                <w:szCs w:val="21"/>
              </w:rPr>
              <w:t>带“★”号条款是否满足要求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w:t>
            </w:r>
          </w:p>
        </w:tc>
        <w:tc>
          <w:tcPr>
            <w:tcW w:w="3101" w:type="dxa"/>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相同品牌处理原则</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本项目不适用</w:t>
            </w:r>
          </w:p>
        </w:tc>
      </w:tr>
    </w:tbl>
    <w:p>
      <w:pPr>
        <w:spacing w:line="360" w:lineRule="auto"/>
        <w:outlineLvl w:val="1"/>
        <w:rPr>
          <w:rFonts w:asciiTheme="minorEastAsia" w:hAnsiTheme="minorEastAsia" w:eastAsiaTheme="minorEastAsia" w:cstheme="minorEastAsia"/>
          <w:b/>
          <w:szCs w:val="21"/>
        </w:rPr>
      </w:pPr>
      <w:bookmarkStart w:id="121" w:name="_Toc8144"/>
      <w:r>
        <w:rPr>
          <w:rFonts w:hint="eastAsia" w:asciiTheme="minorEastAsia" w:hAnsiTheme="minorEastAsia" w:eastAsiaTheme="minorEastAsia" w:cstheme="minorEastAsia"/>
          <w:b/>
          <w:szCs w:val="21"/>
        </w:rPr>
        <w:t>二、计算办法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spacing w:line="360" w:lineRule="auto"/>
        <w:outlineLvl w:val="1"/>
        <w:rPr>
          <w:rFonts w:asciiTheme="minorEastAsia" w:hAnsiTheme="minorEastAsia" w:eastAsiaTheme="minorEastAsia" w:cstheme="minorEastAsia"/>
          <w:b/>
          <w:szCs w:val="21"/>
        </w:rPr>
      </w:pPr>
      <w:bookmarkStart w:id="122" w:name="_Toc28938"/>
      <w:r>
        <w:rPr>
          <w:rFonts w:hint="eastAsia" w:asciiTheme="minorEastAsia" w:hAnsiTheme="minorEastAsia" w:eastAsiaTheme="minorEastAsia" w:cstheme="minorEastAsia"/>
          <w:b/>
          <w:szCs w:val="21"/>
        </w:rPr>
        <w:t>三、评分细则</w:t>
      </w:r>
      <w:bookmarkEnd w:id="122"/>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298"/>
        <w:gridCol w:w="6590"/>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uto"/>
              <w:jc w:val="center"/>
              <w:rPr>
                <w:rFonts w:ascii="宋体" w:hAnsi="宋体" w:cs="宋体"/>
                <w:b/>
                <w:bCs/>
                <w:spacing w:val="-6"/>
                <w:szCs w:val="21"/>
              </w:rPr>
            </w:pPr>
            <w:bookmarkStart w:id="123" w:name="_Toc26970"/>
            <w:r>
              <w:rPr>
                <w:rFonts w:hint="eastAsia" w:ascii="宋体" w:hAnsi="宋体" w:cs="宋体"/>
                <w:b/>
                <w:bCs/>
                <w:szCs w:val="21"/>
              </w:rPr>
              <w:t>类别</w:t>
            </w:r>
          </w:p>
        </w:tc>
        <w:tc>
          <w:tcPr>
            <w:tcW w:w="129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6590"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664"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360" w:lineRule="auto"/>
              <w:jc w:val="center"/>
              <w:textAlignment w:val="center"/>
              <w:rPr>
                <w:rFonts w:ascii="宋体" w:hAnsi="宋体" w:cs="宋体"/>
                <w:spacing w:val="-6"/>
                <w:szCs w:val="21"/>
              </w:rPr>
            </w:pPr>
            <w:r>
              <w:rPr>
                <w:rFonts w:hint="eastAsia" w:ascii="宋体" w:hAnsi="宋体" w:cs="宋体"/>
                <w:kern w:val="0"/>
                <w:szCs w:val="21"/>
                <w:lang w:bidi="ar"/>
              </w:rPr>
              <w:t>竞标报价</w:t>
            </w:r>
            <w:r>
              <w:rPr>
                <w:rFonts w:hint="eastAsia" w:ascii="宋体" w:hAnsi="宋体" w:cs="宋体"/>
                <w:kern w:val="0"/>
                <w:szCs w:val="21"/>
                <w:lang w:bidi="ar"/>
              </w:rPr>
              <w:br w:type="textWrapping"/>
            </w:r>
            <w:r>
              <w:rPr>
                <w:rFonts w:hint="eastAsia" w:ascii="宋体" w:hAnsi="宋体" w:cs="宋体"/>
                <w:kern w:val="0"/>
                <w:szCs w:val="21"/>
                <w:lang w:bidi="ar"/>
              </w:rPr>
              <w:t>40分</w:t>
            </w:r>
          </w:p>
        </w:tc>
        <w:tc>
          <w:tcPr>
            <w:tcW w:w="1298" w:type="dxa"/>
            <w:vAlign w:val="center"/>
          </w:tcPr>
          <w:p>
            <w:pPr>
              <w:widowControl/>
              <w:spacing w:line="360" w:lineRule="auto"/>
              <w:jc w:val="center"/>
              <w:textAlignment w:val="center"/>
              <w:rPr>
                <w:rFonts w:ascii="宋体" w:hAnsi="宋体" w:cs="宋体"/>
                <w:spacing w:val="-6"/>
                <w:szCs w:val="21"/>
              </w:rPr>
            </w:pPr>
            <w:r>
              <w:rPr>
                <w:rFonts w:hint="eastAsia" w:ascii="宋体" w:hAnsi="宋体" w:cs="宋体"/>
                <w:kern w:val="0"/>
                <w:szCs w:val="21"/>
                <w:lang w:bidi="ar"/>
              </w:rPr>
              <w:t>最后报价</w:t>
            </w:r>
          </w:p>
        </w:tc>
        <w:tc>
          <w:tcPr>
            <w:tcW w:w="6590" w:type="dxa"/>
            <w:vAlign w:val="center"/>
          </w:tcPr>
          <w:p>
            <w:pPr>
              <w:widowControl/>
              <w:spacing w:line="360" w:lineRule="auto"/>
              <w:jc w:val="left"/>
              <w:textAlignment w:val="center"/>
              <w:rPr>
                <w:rFonts w:ascii="宋体" w:hAnsi="宋体" w:cs="宋体"/>
                <w:szCs w:val="21"/>
              </w:rPr>
            </w:pPr>
            <w:r>
              <w:rPr>
                <w:rFonts w:hint="eastAsia" w:ascii="宋体" w:hAnsi="宋体" w:cs="宋体"/>
                <w:szCs w:val="21"/>
              </w:rPr>
              <w:t>1、报价采用低价优先法计算，即满足磋商采购文件要求且报价最低的报价为磋商基准价，其报价分为满分</w:t>
            </w:r>
            <w:r>
              <w:rPr>
                <w:rFonts w:hint="eastAsia" w:ascii="宋体" w:hAnsi="宋体" w:cs="宋体"/>
                <w:kern w:val="0"/>
                <w:szCs w:val="21"/>
                <w:lang w:bidi="ar"/>
              </w:rPr>
              <w:t>40</w:t>
            </w:r>
            <w:r>
              <w:rPr>
                <w:rFonts w:hint="eastAsia" w:ascii="宋体" w:hAnsi="宋体" w:cs="宋体"/>
                <w:szCs w:val="21"/>
              </w:rPr>
              <w:t>分；</w:t>
            </w:r>
          </w:p>
          <w:p>
            <w:pPr>
              <w:widowControl/>
              <w:spacing w:line="360" w:lineRule="auto"/>
              <w:jc w:val="left"/>
              <w:textAlignment w:val="center"/>
              <w:rPr>
                <w:rFonts w:ascii="宋体" w:hAnsi="宋体" w:cs="宋体"/>
                <w:szCs w:val="21"/>
              </w:rPr>
            </w:pPr>
            <w:r>
              <w:rPr>
                <w:rFonts w:hint="eastAsia" w:ascii="宋体" w:hAnsi="宋体" w:cs="宋体"/>
                <w:szCs w:val="21"/>
              </w:rPr>
              <w:t>2、其他供应商的报价分按照下列公式计算：</w:t>
            </w:r>
          </w:p>
          <w:p>
            <w:pPr>
              <w:widowControl/>
              <w:spacing w:line="360" w:lineRule="auto"/>
              <w:jc w:val="left"/>
              <w:textAlignment w:val="center"/>
              <w:rPr>
                <w:rFonts w:ascii="宋体" w:hAnsi="宋体" w:cs="宋体"/>
                <w:szCs w:val="21"/>
              </w:rPr>
            </w:pPr>
            <w:r>
              <w:rPr>
                <w:rFonts w:hint="eastAsia" w:ascii="宋体" w:hAnsi="宋体" w:cs="宋体"/>
                <w:szCs w:val="21"/>
              </w:rPr>
              <w:t>报价分=（磋商基准价/磋商报价）×</w:t>
            </w:r>
            <w:r>
              <w:rPr>
                <w:rFonts w:hint="eastAsia" w:ascii="宋体" w:hAnsi="宋体" w:cs="宋体"/>
                <w:kern w:val="0"/>
                <w:szCs w:val="21"/>
                <w:lang w:bidi="ar"/>
              </w:rPr>
              <w:t>40</w:t>
            </w:r>
          </w:p>
          <w:p>
            <w:pPr>
              <w:widowControl/>
              <w:spacing w:line="360" w:lineRule="auto"/>
              <w:jc w:val="left"/>
              <w:textAlignment w:val="center"/>
              <w:rPr>
                <w:rFonts w:ascii="宋体" w:hAnsi="宋体" w:cs="宋体"/>
                <w:b/>
                <w:bCs/>
                <w:szCs w:val="21"/>
              </w:rPr>
            </w:pPr>
            <w:r>
              <w:rPr>
                <w:rFonts w:hint="eastAsia" w:ascii="宋体" w:hAnsi="宋体" w:cs="宋体"/>
                <w:b/>
                <w:bCs/>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ascii="宋体" w:hAnsi="宋体" w:cs="宋体"/>
                <w:szCs w:val="21"/>
              </w:rPr>
            </w:pPr>
            <w:r>
              <w:rPr>
                <w:rFonts w:hint="eastAsia" w:ascii="宋体" w:hAnsi="宋体" w:cs="宋体"/>
                <w:b/>
                <w:bCs/>
                <w:szCs w:val="21"/>
              </w:rPr>
              <w:t>2、符合本磋商文件第四章“政策支持”条件的，在评审时予以价格扣除，用扣除后的价格参与评审。</w:t>
            </w:r>
          </w:p>
        </w:tc>
        <w:tc>
          <w:tcPr>
            <w:tcW w:w="664" w:type="dxa"/>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40分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360" w:lineRule="auto"/>
              <w:jc w:val="center"/>
              <w:rPr>
                <w:rFonts w:ascii="宋体" w:hAnsi="宋体" w:cs="宋体"/>
                <w:spacing w:val="-6"/>
                <w:szCs w:val="21"/>
              </w:rPr>
            </w:pPr>
            <w:r>
              <w:rPr>
                <w:rFonts w:hint="eastAsia" w:ascii="宋体" w:hAnsi="宋体" w:cs="宋体"/>
                <w:spacing w:val="-6"/>
                <w:szCs w:val="21"/>
              </w:rPr>
              <w:t>商务26分</w:t>
            </w:r>
          </w:p>
        </w:tc>
        <w:tc>
          <w:tcPr>
            <w:tcW w:w="1298" w:type="dxa"/>
            <w:vAlign w:val="center"/>
          </w:tcPr>
          <w:p>
            <w:pPr>
              <w:spacing w:line="360" w:lineRule="auto"/>
              <w:jc w:val="center"/>
              <w:rPr>
                <w:rFonts w:ascii="宋体" w:hAnsi="宋体" w:cs="宋体"/>
                <w:szCs w:val="21"/>
              </w:rPr>
            </w:pPr>
            <w:r>
              <w:rPr>
                <w:rFonts w:hint="eastAsia" w:ascii="宋体" w:hAnsi="宋体" w:cs="宋体"/>
                <w:szCs w:val="21"/>
              </w:rPr>
              <w:t>体系认证</w:t>
            </w:r>
          </w:p>
          <w:p>
            <w:pPr>
              <w:spacing w:line="360" w:lineRule="auto"/>
              <w:jc w:val="center"/>
              <w:rPr>
                <w:rFonts w:ascii="宋体" w:hAnsi="宋体" w:cs="宋体"/>
                <w:szCs w:val="21"/>
              </w:rPr>
            </w:pPr>
            <w:r>
              <w:rPr>
                <w:rFonts w:hint="eastAsia" w:ascii="宋体" w:hAnsi="宋体" w:cs="宋体"/>
                <w:szCs w:val="21"/>
              </w:rPr>
              <w:t>(3分)</w:t>
            </w:r>
          </w:p>
        </w:tc>
        <w:tc>
          <w:tcPr>
            <w:tcW w:w="6590" w:type="dxa"/>
          </w:tcPr>
          <w:p>
            <w:pPr>
              <w:widowControl/>
              <w:spacing w:line="360" w:lineRule="auto"/>
              <w:textAlignment w:val="center"/>
              <w:rPr>
                <w:rFonts w:ascii="宋体" w:hAnsi="宋体" w:cs="宋体"/>
                <w:szCs w:val="21"/>
              </w:rPr>
            </w:pPr>
            <w:r>
              <w:rPr>
                <w:rFonts w:hint="eastAsia" w:ascii="宋体" w:hAnsi="宋体" w:cs="宋体"/>
                <w:szCs w:val="21"/>
              </w:rPr>
              <w:t>供应商</w:t>
            </w:r>
            <w:r>
              <w:rPr>
                <w:rFonts w:hint="eastAsia" w:ascii="宋体" w:hAnsi="宋体" w:cs="宋体"/>
                <w:kern w:val="0"/>
                <w:szCs w:val="21"/>
                <w:lang w:bidi="ar"/>
              </w:rPr>
              <w:t>具有有效的质量管理体系（ISO9001或GB/T19001）、环境管理体系（ISO14001或GB/T24001）、职业健康安全管理体系（OHSAS18001或GB/T28001）认证文件，每项得 1分 ,共3分</w:t>
            </w:r>
            <w:r>
              <w:rPr>
                <w:rFonts w:hint="eastAsia" w:ascii="宋体" w:hAnsi="宋体" w:cs="宋体"/>
                <w:spacing w:val="-6"/>
                <w:szCs w:val="21"/>
              </w:rPr>
              <w:t>（须提供加盖公章的真彩扫描件）</w:t>
            </w:r>
          </w:p>
        </w:tc>
        <w:tc>
          <w:tcPr>
            <w:tcW w:w="6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Align w:val="center"/>
          </w:tcPr>
          <w:p>
            <w:pPr>
              <w:spacing w:line="360" w:lineRule="auto"/>
              <w:jc w:val="center"/>
              <w:rPr>
                <w:rFonts w:ascii="宋体" w:hAnsi="宋体" w:cs="宋体"/>
                <w:szCs w:val="21"/>
              </w:rPr>
            </w:pPr>
            <w:r>
              <w:rPr>
                <w:rFonts w:hint="eastAsia" w:ascii="宋体" w:hAnsi="宋体" w:cs="宋体"/>
                <w:szCs w:val="21"/>
              </w:rPr>
              <w:t>财务状况</w:t>
            </w:r>
          </w:p>
          <w:p>
            <w:pPr>
              <w:spacing w:line="360" w:lineRule="auto"/>
              <w:jc w:val="center"/>
              <w:rPr>
                <w:rFonts w:ascii="宋体" w:hAnsi="宋体" w:cs="宋体"/>
                <w:szCs w:val="21"/>
              </w:rPr>
            </w:pPr>
            <w:r>
              <w:rPr>
                <w:rFonts w:hint="eastAsia" w:ascii="宋体" w:hAnsi="宋体" w:cs="宋体"/>
                <w:szCs w:val="21"/>
              </w:rPr>
              <w:t>(6分)</w:t>
            </w:r>
          </w:p>
        </w:tc>
        <w:tc>
          <w:tcPr>
            <w:tcW w:w="6590" w:type="dxa"/>
          </w:tcPr>
          <w:p>
            <w:pPr>
              <w:widowControl/>
              <w:spacing w:line="360" w:lineRule="auto"/>
              <w:textAlignment w:val="center"/>
              <w:rPr>
                <w:rFonts w:ascii="宋体" w:hAnsi="宋体" w:cs="宋体"/>
                <w:szCs w:val="21"/>
              </w:rPr>
            </w:pPr>
            <w:r>
              <w:rPr>
                <w:rFonts w:hint="eastAsia" w:ascii="宋体" w:hAnsi="宋体" w:cs="宋体"/>
                <w:szCs w:val="21"/>
              </w:rPr>
              <w:t>根据供应商提供的近三年（投标截止日往前推算36个月）经审计盖章的财务报告，对其经营状况、财务状况相互比较（成立不足三年的按公司成立时的间起算）：</w:t>
            </w:r>
          </w:p>
          <w:p>
            <w:pPr>
              <w:widowControl/>
              <w:spacing w:line="360" w:lineRule="auto"/>
              <w:textAlignment w:val="center"/>
              <w:rPr>
                <w:rFonts w:ascii="宋体" w:hAnsi="宋体" w:cs="宋体"/>
                <w:szCs w:val="21"/>
              </w:rPr>
            </w:pPr>
            <w:r>
              <w:rPr>
                <w:rFonts w:hint="eastAsia" w:ascii="宋体" w:hAnsi="宋体" w:cs="宋体"/>
                <w:szCs w:val="21"/>
              </w:rPr>
              <w:t>1.根据供应商近三年加权平均资产总额评分。最高的得2分，依次递减0.5分，其余得0分；</w:t>
            </w:r>
          </w:p>
          <w:p>
            <w:pPr>
              <w:widowControl/>
              <w:spacing w:line="360" w:lineRule="auto"/>
              <w:textAlignment w:val="center"/>
              <w:rPr>
                <w:rFonts w:ascii="宋体" w:hAnsi="宋体" w:cs="宋体"/>
                <w:szCs w:val="21"/>
              </w:rPr>
            </w:pPr>
            <w:r>
              <w:rPr>
                <w:rFonts w:hint="eastAsia" w:ascii="宋体" w:hAnsi="宋体" w:cs="宋体"/>
                <w:szCs w:val="21"/>
              </w:rPr>
              <w:t>2.根据供应商近三年加权平均营业收入评分。最高的得2分，依次递减0.5分，其余得0分；</w:t>
            </w:r>
          </w:p>
          <w:p>
            <w:pPr>
              <w:widowControl/>
              <w:spacing w:line="360" w:lineRule="auto"/>
              <w:textAlignment w:val="center"/>
              <w:rPr>
                <w:rFonts w:ascii="宋体" w:hAnsi="宋体" w:cs="宋体"/>
                <w:kern w:val="0"/>
                <w:szCs w:val="21"/>
                <w:lang w:bidi="ar"/>
              </w:rPr>
            </w:pPr>
            <w:r>
              <w:rPr>
                <w:rFonts w:hint="eastAsia" w:ascii="宋体" w:hAnsi="宋体" w:cs="宋体"/>
                <w:szCs w:val="21"/>
              </w:rPr>
              <w:t>3.根据供应商上一年度纳税总金额评分。最高的得2分，依次递减0.5分，其余得0分；</w:t>
            </w:r>
          </w:p>
        </w:tc>
        <w:tc>
          <w:tcPr>
            <w:tcW w:w="6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人员数量</w:t>
            </w:r>
          </w:p>
          <w:p>
            <w:pPr>
              <w:spacing w:line="360" w:lineRule="auto"/>
              <w:jc w:val="center"/>
              <w:rPr>
                <w:rFonts w:ascii="宋体" w:hAnsi="宋体" w:cs="宋体"/>
                <w:szCs w:val="21"/>
                <w:highlight w:val="none"/>
              </w:rPr>
            </w:pPr>
            <w:r>
              <w:rPr>
                <w:rFonts w:hint="eastAsia" w:ascii="宋体" w:hAnsi="宋体" w:cs="宋体"/>
                <w:szCs w:val="21"/>
                <w:highlight w:val="none"/>
              </w:rPr>
              <w:t>（3分）</w:t>
            </w:r>
          </w:p>
        </w:tc>
        <w:tc>
          <w:tcPr>
            <w:tcW w:w="6590" w:type="dxa"/>
          </w:tcPr>
          <w:p>
            <w:pPr>
              <w:widowControl/>
              <w:spacing w:line="360" w:lineRule="auto"/>
              <w:textAlignment w:val="center"/>
              <w:rPr>
                <w:rFonts w:ascii="宋体" w:hAnsi="宋体" w:cs="宋体"/>
                <w:szCs w:val="21"/>
                <w:highlight w:val="none"/>
              </w:rPr>
            </w:pPr>
            <w:r>
              <w:rPr>
                <w:rFonts w:hint="eastAsia" w:ascii="宋体" w:hAnsi="宋体" w:cs="宋体"/>
                <w:szCs w:val="21"/>
                <w:highlight w:val="none"/>
              </w:rPr>
              <w:t>根据供应商的中级执业资格以上人员数量排名，第一名得3分，依次递减0.5分，其余得0分。（须提执业资格证书、劳动合同、社会保险缴纳证明复印件，并加盖公章）</w:t>
            </w:r>
          </w:p>
        </w:tc>
        <w:tc>
          <w:tcPr>
            <w:tcW w:w="6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Align w:val="center"/>
          </w:tcPr>
          <w:p>
            <w:pPr>
              <w:spacing w:line="360" w:lineRule="auto"/>
              <w:jc w:val="center"/>
              <w:rPr>
                <w:rFonts w:ascii="宋体" w:hAnsi="宋体" w:cs="宋体"/>
                <w:szCs w:val="21"/>
              </w:rPr>
            </w:pPr>
            <w:r>
              <w:rPr>
                <w:rFonts w:hint="eastAsia" w:ascii="宋体" w:hAnsi="宋体" w:cs="宋体"/>
                <w:szCs w:val="21"/>
              </w:rPr>
              <w:t>资信情况</w:t>
            </w:r>
          </w:p>
          <w:p>
            <w:pPr>
              <w:spacing w:line="360" w:lineRule="auto"/>
              <w:jc w:val="center"/>
              <w:rPr>
                <w:rFonts w:ascii="宋体" w:hAnsi="宋体" w:cs="宋体"/>
                <w:szCs w:val="21"/>
              </w:rPr>
            </w:pPr>
            <w:r>
              <w:rPr>
                <w:rFonts w:hint="eastAsia" w:ascii="宋体" w:hAnsi="宋体" w:cs="宋体"/>
                <w:szCs w:val="21"/>
              </w:rPr>
              <w:t>（3分）</w:t>
            </w:r>
          </w:p>
        </w:tc>
        <w:tc>
          <w:tcPr>
            <w:tcW w:w="6590" w:type="dxa"/>
          </w:tcPr>
          <w:p>
            <w:pPr>
              <w:widowControl/>
              <w:spacing w:line="360" w:lineRule="auto"/>
              <w:textAlignment w:val="center"/>
              <w:rPr>
                <w:rFonts w:ascii="宋体" w:hAnsi="宋体" w:cs="宋体"/>
                <w:szCs w:val="21"/>
              </w:rPr>
            </w:pPr>
            <w:r>
              <w:rPr>
                <w:rFonts w:hint="eastAsia" w:ascii="宋体" w:hAnsi="宋体" w:cs="宋体"/>
                <w:szCs w:val="21"/>
              </w:rPr>
              <w:t>供应商近两年获得过税务部门对企业纳税信用的AAA级评价证书得3分，AA级评价证书得2分，A级评价证书得1分。（须提供原件或者加盖公章的真彩扫描件，网上公示的，须提供截图和查询网址加盖公章）</w:t>
            </w:r>
          </w:p>
        </w:tc>
        <w:tc>
          <w:tcPr>
            <w:tcW w:w="6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类似业绩</w:t>
            </w:r>
          </w:p>
          <w:p>
            <w:pPr>
              <w:spacing w:line="360" w:lineRule="auto"/>
              <w:jc w:val="center"/>
              <w:rPr>
                <w:rFonts w:ascii="宋体" w:hAnsi="宋体" w:cs="宋体"/>
                <w:color w:val="000000"/>
                <w:szCs w:val="21"/>
              </w:rPr>
            </w:pPr>
            <w:r>
              <w:rPr>
                <w:rFonts w:hint="eastAsia" w:ascii="宋体" w:hAnsi="宋体" w:cs="宋体"/>
                <w:color w:val="000000"/>
                <w:szCs w:val="21"/>
              </w:rPr>
              <w:t>(5分)</w:t>
            </w:r>
          </w:p>
        </w:tc>
        <w:tc>
          <w:tcPr>
            <w:tcW w:w="6590" w:type="dxa"/>
          </w:tcPr>
          <w:p>
            <w:pPr>
              <w:spacing w:line="360" w:lineRule="auto"/>
              <w:rPr>
                <w:rFonts w:ascii="宋体" w:hAnsi="宋体" w:cs="宋体"/>
                <w:szCs w:val="21"/>
              </w:rPr>
            </w:pPr>
            <w:r>
              <w:rPr>
                <w:rFonts w:hint="eastAsia" w:ascii="宋体" w:hAnsi="宋体" w:cs="宋体"/>
                <w:szCs w:val="21"/>
              </w:rPr>
              <w:t>供应商近三年（投标截止时间前36个月）承担的政府项目或军队项目工程总投资额排名，第一名5分，依次递减1分，其余得0分。（须提供中标通知书或合同复印件加盖公章）</w:t>
            </w:r>
          </w:p>
        </w:tc>
        <w:tc>
          <w:tcPr>
            <w:tcW w:w="6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tcBorders>
              <w:bottom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用户评价</w:t>
            </w:r>
          </w:p>
          <w:p>
            <w:pPr>
              <w:spacing w:line="360" w:lineRule="auto"/>
              <w:jc w:val="center"/>
              <w:rPr>
                <w:rFonts w:ascii="宋体" w:hAnsi="宋体" w:cs="宋体"/>
                <w:color w:val="000000"/>
                <w:szCs w:val="21"/>
              </w:rPr>
            </w:pPr>
            <w:r>
              <w:rPr>
                <w:rFonts w:hint="eastAsia" w:ascii="宋体" w:hAnsi="宋体" w:cs="宋体"/>
                <w:color w:val="000000"/>
                <w:szCs w:val="21"/>
              </w:rPr>
              <w:t>(3分)</w:t>
            </w:r>
          </w:p>
        </w:tc>
        <w:tc>
          <w:tcPr>
            <w:tcW w:w="6590" w:type="dxa"/>
            <w:tcBorders>
              <w:bottom w:val="single" w:color="auto" w:sz="4" w:space="0"/>
            </w:tcBorders>
          </w:tcPr>
          <w:p>
            <w:pPr>
              <w:spacing w:line="360" w:lineRule="auto"/>
              <w:rPr>
                <w:rFonts w:ascii="宋体" w:hAnsi="宋体" w:cs="宋体"/>
                <w:szCs w:val="21"/>
              </w:rPr>
            </w:pPr>
            <w:r>
              <w:rPr>
                <w:rFonts w:hint="eastAsia" w:ascii="宋体" w:hAnsi="宋体" w:cs="宋体"/>
                <w:szCs w:val="21"/>
              </w:rPr>
              <w:t>提供近三年（投标截止时间前36个月）用户出具的满意评价证明，用户评价内容应包含用户联系人、联系方式等，每提供一个得1分，最高得3分。（需提供不同单位出具加盖公章的满意评价证明，和投标供应商的中标通知书或合同复印件加盖公章的真彩扫描件）</w:t>
            </w:r>
          </w:p>
        </w:tc>
        <w:tc>
          <w:tcPr>
            <w:tcW w:w="664" w:type="dxa"/>
            <w:tcBorders>
              <w:bottom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bottom w:val="single" w:color="auto" w:sz="4" w:space="0"/>
            </w:tcBorders>
            <w:vAlign w:val="center"/>
          </w:tcPr>
          <w:p>
            <w:pPr>
              <w:spacing w:line="360" w:lineRule="auto"/>
              <w:jc w:val="center"/>
              <w:rPr>
                <w:rFonts w:ascii="宋体" w:hAnsi="宋体" w:cs="宋体"/>
                <w:szCs w:val="21"/>
              </w:rPr>
            </w:pPr>
          </w:p>
        </w:tc>
        <w:tc>
          <w:tcPr>
            <w:tcW w:w="1298" w:type="dxa"/>
            <w:tcBorders>
              <w:bottom w:val="single" w:color="auto" w:sz="4" w:space="0"/>
            </w:tcBorders>
            <w:vAlign w:val="center"/>
          </w:tcPr>
          <w:p>
            <w:pPr>
              <w:widowControl/>
              <w:spacing w:line="360" w:lineRule="auto"/>
              <w:jc w:val="center"/>
              <w:rPr>
                <w:rFonts w:ascii="宋体" w:hAnsi="宋体" w:cs="宋体"/>
                <w:kern w:val="0"/>
                <w:szCs w:val="21"/>
                <w:lang w:bidi="ar"/>
              </w:rPr>
            </w:pPr>
            <w:r>
              <w:rPr>
                <w:rFonts w:hint="eastAsia" w:ascii="宋体" w:hAnsi="宋体" w:cs="宋体"/>
                <w:kern w:val="0"/>
                <w:szCs w:val="21"/>
                <w:lang w:bidi="ar"/>
              </w:rPr>
              <w:t>荣誉奖项</w:t>
            </w:r>
          </w:p>
          <w:p>
            <w:pPr>
              <w:widowControl/>
              <w:spacing w:line="360" w:lineRule="auto"/>
              <w:jc w:val="center"/>
              <w:rPr>
                <w:rFonts w:ascii="宋体" w:hAnsi="宋体" w:cs="宋体"/>
                <w:szCs w:val="21"/>
              </w:rPr>
            </w:pPr>
            <w:r>
              <w:rPr>
                <w:rFonts w:hint="eastAsia" w:ascii="宋体" w:hAnsi="宋体" w:cs="宋体"/>
                <w:kern w:val="0"/>
                <w:szCs w:val="21"/>
                <w:lang w:bidi="ar"/>
              </w:rPr>
              <w:t>（3分）</w:t>
            </w:r>
          </w:p>
        </w:tc>
        <w:tc>
          <w:tcPr>
            <w:tcW w:w="6590" w:type="dxa"/>
            <w:tcBorders>
              <w:bottom w:val="single" w:color="auto" w:sz="4" w:space="0"/>
            </w:tcBorders>
          </w:tcPr>
          <w:p>
            <w:pPr>
              <w:widowControl/>
              <w:spacing w:line="360" w:lineRule="auto"/>
              <w:jc w:val="left"/>
              <w:rPr>
                <w:rFonts w:ascii="宋体" w:hAnsi="宋体" w:cs="宋体"/>
                <w:szCs w:val="21"/>
              </w:rPr>
            </w:pPr>
            <w:r>
              <w:rPr>
                <w:rFonts w:hint="eastAsia" w:ascii="宋体" w:hAnsi="宋体" w:cs="宋体"/>
                <w:szCs w:val="21"/>
              </w:rPr>
              <w:t>近三年（投标截止时间前36个月）承担的监理业绩获得过省级及以上监理协会奖项的，一个得1分，满分2分；（须提供获奖证书及荣誉证书等相关证明材料）</w:t>
            </w:r>
          </w:p>
          <w:p>
            <w:pPr>
              <w:widowControl/>
              <w:spacing w:line="360" w:lineRule="auto"/>
              <w:jc w:val="left"/>
              <w:rPr>
                <w:rFonts w:ascii="宋体" w:hAnsi="宋体" w:cs="宋体"/>
                <w:szCs w:val="21"/>
              </w:rPr>
            </w:pPr>
            <w:r>
              <w:rPr>
                <w:rFonts w:hint="eastAsia" w:ascii="宋体" w:hAnsi="宋体" w:cs="宋体"/>
                <w:szCs w:val="21"/>
              </w:rPr>
              <w:t>近三年（投标截止时间前36个月）获得过地市级监理协会颁发的奖项的，一个得0.5分，满分1分。（须提供获奖证书及荣誉证书等相关证明材料）</w:t>
            </w:r>
          </w:p>
        </w:tc>
        <w:tc>
          <w:tcPr>
            <w:tcW w:w="664"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tcBorders>
              <w:top w:val="single" w:color="auto" w:sz="4" w:space="0"/>
            </w:tcBorders>
            <w:vAlign w:val="center"/>
          </w:tcPr>
          <w:p>
            <w:pPr>
              <w:spacing w:line="360" w:lineRule="auto"/>
              <w:jc w:val="center"/>
              <w:rPr>
                <w:rFonts w:ascii="宋体" w:hAnsi="宋体" w:cs="宋体"/>
                <w:spacing w:val="-6"/>
                <w:szCs w:val="21"/>
              </w:rPr>
            </w:pPr>
            <w:r>
              <w:rPr>
                <w:rFonts w:hint="eastAsia" w:ascii="宋体" w:hAnsi="宋体" w:cs="宋体"/>
                <w:spacing w:val="-6"/>
                <w:szCs w:val="21"/>
              </w:rPr>
              <w:t>技术34分</w:t>
            </w:r>
          </w:p>
        </w:tc>
        <w:tc>
          <w:tcPr>
            <w:tcW w:w="1298" w:type="dxa"/>
            <w:vMerge w:val="restart"/>
            <w:vAlign w:val="center"/>
          </w:tcPr>
          <w:p>
            <w:pPr>
              <w:widowControl/>
              <w:spacing w:line="360" w:lineRule="auto"/>
              <w:jc w:val="center"/>
              <w:rPr>
                <w:rFonts w:ascii="宋体" w:hAnsi="宋体" w:cs="宋体"/>
                <w:spacing w:val="-6"/>
                <w:szCs w:val="21"/>
              </w:rPr>
            </w:pPr>
            <w:r>
              <w:rPr>
                <w:rFonts w:hint="eastAsia" w:ascii="宋体" w:hAnsi="宋体" w:cs="宋体"/>
                <w:kern w:val="0"/>
                <w:szCs w:val="21"/>
                <w:lang w:bidi="ar"/>
              </w:rPr>
              <w:t>负责人实力</w:t>
            </w:r>
            <w:r>
              <w:rPr>
                <w:rFonts w:hint="eastAsia" w:ascii="宋体" w:hAnsi="宋体" w:cs="宋体"/>
                <w:szCs w:val="21"/>
              </w:rPr>
              <w:t>(10分)</w:t>
            </w:r>
          </w:p>
        </w:tc>
        <w:tc>
          <w:tcPr>
            <w:tcW w:w="6590" w:type="dxa"/>
            <w:vAlign w:val="center"/>
          </w:tcPr>
          <w:p>
            <w:pPr>
              <w:widowControl/>
              <w:spacing w:line="360" w:lineRule="auto"/>
              <w:jc w:val="left"/>
              <w:rPr>
                <w:rFonts w:ascii="宋体" w:hAnsi="宋体" w:cs="宋体"/>
                <w:kern w:val="0"/>
                <w:szCs w:val="21"/>
                <w:lang w:bidi="ar"/>
              </w:rPr>
            </w:pPr>
            <w:r>
              <w:rPr>
                <w:rFonts w:hint="eastAsia" w:ascii="宋体" w:hAnsi="宋体" w:cs="宋体"/>
                <w:kern w:val="0"/>
                <w:szCs w:val="21"/>
                <w:lang w:bidi="ar"/>
              </w:rPr>
              <w:t>从事项目负责人的年限在5年及以上得3分，3至5年得1分，3年以下不得分。（须提供商务合同复印件、中标通知书、监理日志复印件并加盖公章）</w:t>
            </w:r>
          </w:p>
        </w:tc>
        <w:tc>
          <w:tcPr>
            <w:tcW w:w="664" w:type="dxa"/>
            <w:vAlign w:val="center"/>
          </w:tcPr>
          <w:p>
            <w:pPr>
              <w:spacing w:line="360" w:lineRule="auto"/>
              <w:jc w:val="left"/>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pacing w:val="-6"/>
                <w:szCs w:val="21"/>
              </w:rPr>
            </w:pPr>
          </w:p>
        </w:tc>
        <w:tc>
          <w:tcPr>
            <w:tcW w:w="1298" w:type="dxa"/>
            <w:vMerge w:val="continue"/>
            <w:vAlign w:val="center"/>
          </w:tcPr>
          <w:p>
            <w:pPr>
              <w:widowControl/>
              <w:spacing w:line="360" w:lineRule="auto"/>
              <w:jc w:val="center"/>
              <w:rPr>
                <w:rFonts w:ascii="宋体" w:hAnsi="宋体" w:cs="宋体"/>
                <w:spacing w:val="-6"/>
                <w:szCs w:val="21"/>
              </w:rPr>
            </w:pPr>
          </w:p>
        </w:tc>
        <w:tc>
          <w:tcPr>
            <w:tcW w:w="6590" w:type="dxa"/>
            <w:vAlign w:val="center"/>
          </w:tcPr>
          <w:p>
            <w:pPr>
              <w:widowControl/>
              <w:spacing w:line="360" w:lineRule="auto"/>
              <w:jc w:val="left"/>
              <w:rPr>
                <w:rFonts w:ascii="宋体" w:hAnsi="宋体" w:cs="宋体"/>
                <w:spacing w:val="-6"/>
                <w:szCs w:val="21"/>
              </w:rPr>
            </w:pPr>
            <w:r>
              <w:rPr>
                <w:rFonts w:hint="eastAsia" w:ascii="宋体" w:hAnsi="宋体" w:cs="宋体"/>
                <w:kern w:val="0"/>
                <w:szCs w:val="21"/>
                <w:lang w:bidi="ar"/>
              </w:rPr>
              <w:t xml:space="preserve">项目负责人近三年（投标截止日期前推36个月）监理过类似工程数量，一个得1分，满分7分。（须提供商务合同复印件、中标通知书、监理日志复印件并加盖公章） </w:t>
            </w:r>
          </w:p>
        </w:tc>
        <w:tc>
          <w:tcPr>
            <w:tcW w:w="664" w:type="dxa"/>
            <w:vAlign w:val="center"/>
          </w:tcPr>
          <w:p>
            <w:pPr>
              <w:spacing w:line="360" w:lineRule="auto"/>
              <w:jc w:val="left"/>
              <w:rPr>
                <w:rFonts w:ascii="宋体" w:hAnsi="宋体" w:cs="宋体"/>
                <w:szCs w:val="21"/>
              </w:rPr>
            </w:pPr>
            <w:r>
              <w:rPr>
                <w:rFonts w:hint="eastAsia" w:ascii="宋体" w:hAnsi="宋体" w:cs="宋体"/>
                <w:szCs w:val="21"/>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pacing w:val="-6"/>
                <w:szCs w:val="21"/>
              </w:rPr>
            </w:pPr>
          </w:p>
        </w:tc>
        <w:tc>
          <w:tcPr>
            <w:tcW w:w="1298" w:type="dxa"/>
            <w:vMerge w:val="restart"/>
            <w:vAlign w:val="center"/>
          </w:tcPr>
          <w:p>
            <w:pPr>
              <w:widowControl/>
              <w:spacing w:line="360" w:lineRule="auto"/>
              <w:jc w:val="center"/>
              <w:rPr>
                <w:rFonts w:ascii="宋体" w:hAnsi="宋体" w:cs="宋体"/>
                <w:kern w:val="0"/>
                <w:szCs w:val="21"/>
                <w:lang w:bidi="ar"/>
              </w:rPr>
            </w:pPr>
            <w:r>
              <w:rPr>
                <w:rFonts w:hint="eastAsia" w:ascii="宋体" w:hAnsi="宋体" w:cs="宋体"/>
                <w:kern w:val="0"/>
                <w:szCs w:val="21"/>
                <w:lang w:bidi="ar"/>
              </w:rPr>
              <w:t>团队实力</w:t>
            </w:r>
            <w:r>
              <w:rPr>
                <w:rFonts w:hint="eastAsia" w:ascii="宋体" w:hAnsi="宋体" w:cs="宋体"/>
                <w:szCs w:val="21"/>
              </w:rPr>
              <w:t>(10分)</w:t>
            </w:r>
          </w:p>
          <w:p>
            <w:pPr>
              <w:spacing w:line="360" w:lineRule="auto"/>
              <w:jc w:val="center"/>
              <w:rPr>
                <w:rFonts w:ascii="宋体" w:hAnsi="宋体" w:cs="宋体"/>
                <w:spacing w:val="-6"/>
                <w:szCs w:val="21"/>
              </w:rPr>
            </w:pPr>
          </w:p>
        </w:tc>
        <w:tc>
          <w:tcPr>
            <w:tcW w:w="6590"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拟派项目组成员（除项目经理外），具有工程或者经济系列高级专业技术证书人员数量最多的得4分，依次递减0.5分，其余得0分。（提供身份证、职称证、劳动合同及近三个月缴纳社保的证明）。</w:t>
            </w:r>
          </w:p>
        </w:tc>
        <w:tc>
          <w:tcPr>
            <w:tcW w:w="664"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pacing w:val="-6"/>
                <w:szCs w:val="21"/>
              </w:rPr>
            </w:pPr>
          </w:p>
        </w:tc>
        <w:tc>
          <w:tcPr>
            <w:tcW w:w="1298" w:type="dxa"/>
            <w:vMerge w:val="continue"/>
            <w:vAlign w:val="center"/>
          </w:tcPr>
          <w:p>
            <w:pPr>
              <w:spacing w:line="360" w:lineRule="auto"/>
              <w:jc w:val="center"/>
              <w:rPr>
                <w:rFonts w:ascii="宋体" w:hAnsi="宋体" w:cs="宋体"/>
                <w:spacing w:val="-6"/>
                <w:szCs w:val="21"/>
              </w:rPr>
            </w:pPr>
          </w:p>
        </w:tc>
        <w:tc>
          <w:tcPr>
            <w:tcW w:w="6590"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根据项目组成员具备3年以上类似项目从业经验的数量排名，第一名得3分，依次递减0.5分，其余得0分。（须提供人员身份证、执业资格证书、近三个月社会保险缴纳证明材料）</w:t>
            </w:r>
          </w:p>
        </w:tc>
        <w:tc>
          <w:tcPr>
            <w:tcW w:w="664"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ind w:left="-4" w:leftChars="-2" w:firstLine="2" w:firstLineChars="1"/>
              <w:jc w:val="center"/>
              <w:rPr>
                <w:rFonts w:ascii="宋体" w:hAnsi="宋体" w:cs="宋体"/>
                <w:szCs w:val="21"/>
              </w:rPr>
            </w:pPr>
          </w:p>
        </w:tc>
        <w:tc>
          <w:tcPr>
            <w:tcW w:w="1298" w:type="dxa"/>
            <w:vMerge w:val="continue"/>
            <w:vAlign w:val="center"/>
          </w:tcPr>
          <w:p>
            <w:pPr>
              <w:spacing w:line="360" w:lineRule="auto"/>
              <w:ind w:left="-4" w:leftChars="-2" w:firstLine="2" w:firstLineChars="1"/>
              <w:jc w:val="center"/>
              <w:rPr>
                <w:rFonts w:ascii="宋体" w:hAnsi="宋体" w:cs="宋体"/>
                <w:szCs w:val="21"/>
              </w:rPr>
            </w:pPr>
          </w:p>
        </w:tc>
        <w:tc>
          <w:tcPr>
            <w:tcW w:w="6590" w:type="dxa"/>
            <w:vAlign w:val="center"/>
          </w:tcPr>
          <w:p>
            <w:pPr>
              <w:spacing w:line="360" w:lineRule="auto"/>
              <w:rPr>
                <w:rFonts w:ascii="宋体" w:hAnsi="宋体" w:cs="宋体"/>
                <w:spacing w:val="-6"/>
                <w:szCs w:val="21"/>
              </w:rPr>
            </w:pPr>
            <w:r>
              <w:rPr>
                <w:rFonts w:hint="eastAsia" w:ascii="宋体" w:hAnsi="宋体" w:cs="宋体"/>
                <w:spacing w:val="-6"/>
                <w:szCs w:val="21"/>
              </w:rPr>
              <w:t>项目组成员本科及以上学历人员数量最多的，得3分，依次递减0.5分</w:t>
            </w:r>
            <w:r>
              <w:rPr>
                <w:rFonts w:hint="eastAsia" w:ascii="宋体" w:hAnsi="宋体" w:cs="宋体"/>
                <w:szCs w:val="21"/>
              </w:rPr>
              <w:t>，其余得0分</w:t>
            </w:r>
            <w:r>
              <w:rPr>
                <w:rFonts w:hint="eastAsia" w:ascii="宋体" w:hAnsi="宋体" w:cs="宋体"/>
                <w:spacing w:val="-6"/>
                <w:szCs w:val="21"/>
              </w:rPr>
              <w:t>。</w:t>
            </w:r>
            <w:r>
              <w:rPr>
                <w:rFonts w:hint="eastAsia" w:ascii="宋体" w:hAnsi="宋体" w:cs="宋体"/>
                <w:szCs w:val="21"/>
              </w:rPr>
              <w:t>（须提供人员身份证、毕业证书、近三个月社会保险缴纳证明材料）</w:t>
            </w:r>
          </w:p>
        </w:tc>
        <w:tc>
          <w:tcPr>
            <w:tcW w:w="664"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ind w:left="-4" w:leftChars="-2" w:firstLine="2" w:firstLineChars="1"/>
              <w:jc w:val="center"/>
              <w:rPr>
                <w:rFonts w:ascii="宋体" w:hAnsi="宋体" w:cs="宋体"/>
                <w:szCs w:val="21"/>
              </w:rPr>
            </w:pPr>
          </w:p>
        </w:tc>
        <w:tc>
          <w:tcPr>
            <w:tcW w:w="1298" w:type="dxa"/>
            <w:vMerge w:val="restart"/>
            <w:vAlign w:val="center"/>
          </w:tcPr>
          <w:p>
            <w:pPr>
              <w:widowControl/>
              <w:spacing w:line="360" w:lineRule="auto"/>
              <w:jc w:val="center"/>
              <w:rPr>
                <w:rFonts w:ascii="宋体" w:hAnsi="宋体" w:cs="宋体"/>
                <w:kern w:val="0"/>
                <w:szCs w:val="21"/>
                <w:lang w:bidi="ar"/>
              </w:rPr>
            </w:pPr>
            <w:r>
              <w:rPr>
                <w:rFonts w:hint="eastAsia" w:ascii="宋体" w:hAnsi="宋体" w:cs="宋体"/>
                <w:kern w:val="0"/>
                <w:szCs w:val="21"/>
                <w:lang w:bidi="ar"/>
              </w:rPr>
              <w:t>服务方案</w:t>
            </w:r>
          </w:p>
          <w:p>
            <w:pPr>
              <w:widowControl/>
              <w:spacing w:line="360" w:lineRule="auto"/>
              <w:jc w:val="center"/>
              <w:rPr>
                <w:rFonts w:ascii="宋体" w:hAnsi="宋体" w:cs="宋体"/>
                <w:kern w:val="0"/>
                <w:szCs w:val="21"/>
                <w:lang w:bidi="ar"/>
              </w:rPr>
            </w:pPr>
            <w:r>
              <w:rPr>
                <w:rFonts w:hint="eastAsia" w:ascii="宋体" w:hAnsi="宋体" w:cs="宋体"/>
                <w:szCs w:val="21"/>
              </w:rPr>
              <w:t>(10分)</w:t>
            </w:r>
          </w:p>
          <w:p>
            <w:pPr>
              <w:widowControl/>
              <w:spacing w:line="360" w:lineRule="auto"/>
              <w:jc w:val="center"/>
              <w:rPr>
                <w:rFonts w:ascii="宋体" w:hAnsi="宋体" w:cs="宋体"/>
                <w:color w:val="FF0000"/>
                <w:spacing w:val="-6"/>
                <w:szCs w:val="21"/>
              </w:rPr>
            </w:pPr>
          </w:p>
        </w:tc>
        <w:tc>
          <w:tcPr>
            <w:tcW w:w="6590" w:type="dxa"/>
            <w:vAlign w:val="center"/>
          </w:tcPr>
          <w:p>
            <w:pPr>
              <w:spacing w:line="360" w:lineRule="auto"/>
              <w:rPr>
                <w:rFonts w:ascii="宋体" w:hAnsi="宋体" w:cs="宋体"/>
                <w:spacing w:val="-6"/>
                <w:szCs w:val="21"/>
              </w:rPr>
            </w:pPr>
            <w:r>
              <w:rPr>
                <w:rFonts w:hint="eastAsia" w:ascii="宋体" w:hAnsi="宋体" w:cs="宋体"/>
                <w:spacing w:val="-6"/>
                <w:szCs w:val="21"/>
              </w:rPr>
              <w:t>承诺项目组成员在工作期间保持出勤率80%以上的得2分，否则不得分。</w:t>
            </w:r>
          </w:p>
        </w:tc>
        <w:tc>
          <w:tcPr>
            <w:tcW w:w="664" w:type="dxa"/>
            <w:vAlign w:val="center"/>
          </w:tcPr>
          <w:p>
            <w:pPr>
              <w:spacing w:line="360" w:lineRule="auto"/>
              <w:ind w:left="-4" w:leftChars="-2" w:firstLine="2" w:firstLineChars="1"/>
              <w:rPr>
                <w:rFonts w:ascii="宋体" w:hAnsi="宋体" w:cs="宋体"/>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Merge w:val="continue"/>
            <w:vAlign w:val="center"/>
          </w:tcPr>
          <w:p>
            <w:pPr>
              <w:widowControl/>
              <w:spacing w:line="360" w:lineRule="auto"/>
              <w:jc w:val="center"/>
              <w:rPr>
                <w:rFonts w:ascii="宋体" w:hAnsi="宋体" w:cs="宋体"/>
                <w:color w:val="FF0000"/>
                <w:spacing w:val="-6"/>
                <w:szCs w:val="21"/>
              </w:rPr>
            </w:pPr>
          </w:p>
        </w:tc>
        <w:tc>
          <w:tcPr>
            <w:tcW w:w="6590" w:type="dxa"/>
            <w:vAlign w:val="center"/>
          </w:tcPr>
          <w:p>
            <w:pPr>
              <w:widowControl/>
              <w:spacing w:line="360" w:lineRule="auto"/>
              <w:jc w:val="left"/>
              <w:rPr>
                <w:rFonts w:ascii="宋体" w:hAnsi="宋体" w:cs="宋体"/>
                <w:color w:val="FF0000"/>
                <w:kern w:val="0"/>
                <w:szCs w:val="21"/>
                <w:lang w:bidi="ar"/>
              </w:rPr>
            </w:pPr>
            <w:r>
              <w:rPr>
                <w:rFonts w:hint="eastAsia" w:ascii="宋体" w:hAnsi="宋体" w:cs="宋体"/>
                <w:spacing w:val="-6"/>
                <w:szCs w:val="21"/>
              </w:rPr>
              <w:t>根据供应商提供的质量控制进行综合评分：科学、合理，针对性强，2分；合理，可行，1分；欠合理，不可行不得分。</w:t>
            </w:r>
          </w:p>
        </w:tc>
        <w:tc>
          <w:tcPr>
            <w:tcW w:w="664" w:type="dxa"/>
            <w:vAlign w:val="center"/>
          </w:tcPr>
          <w:p>
            <w:pPr>
              <w:widowControl/>
              <w:spacing w:line="360" w:lineRule="auto"/>
              <w:jc w:val="left"/>
              <w:rPr>
                <w:rFonts w:ascii="宋体" w:hAnsi="宋体" w:cs="宋体"/>
                <w:szCs w:val="21"/>
              </w:rPr>
            </w:pPr>
            <w:r>
              <w:rPr>
                <w:rFonts w:hint="eastAsia" w:ascii="宋体" w:hAnsi="宋体" w:cs="宋体"/>
                <w:szCs w:val="21"/>
              </w:rPr>
              <w:t>2分</w:t>
            </w:r>
          </w:p>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Merge w:val="continue"/>
            <w:vAlign w:val="center"/>
          </w:tcPr>
          <w:p>
            <w:pPr>
              <w:widowControl/>
              <w:spacing w:line="360" w:lineRule="auto"/>
              <w:jc w:val="center"/>
              <w:rPr>
                <w:rFonts w:ascii="宋体" w:hAnsi="宋体" w:cs="宋体"/>
                <w:color w:val="FF0000"/>
                <w:spacing w:val="-6"/>
                <w:szCs w:val="21"/>
              </w:rPr>
            </w:pPr>
          </w:p>
        </w:tc>
        <w:tc>
          <w:tcPr>
            <w:tcW w:w="6590" w:type="dxa"/>
            <w:vAlign w:val="center"/>
          </w:tcPr>
          <w:p>
            <w:pPr>
              <w:widowControl/>
              <w:spacing w:line="360" w:lineRule="auto"/>
              <w:jc w:val="left"/>
              <w:rPr>
                <w:rFonts w:ascii="宋体" w:hAnsi="宋体" w:cs="宋体"/>
                <w:spacing w:val="-6"/>
                <w:szCs w:val="21"/>
              </w:rPr>
            </w:pPr>
            <w:r>
              <w:rPr>
                <w:rFonts w:hint="eastAsia" w:ascii="宋体" w:hAnsi="宋体" w:cs="宋体"/>
                <w:spacing w:val="-6"/>
                <w:szCs w:val="21"/>
              </w:rPr>
              <w:t>根据供应商提供的进度控制进行综合评分：科学、合理，针对性强，2分；合理，可行，1分；欠合理，不可行不得分。</w:t>
            </w:r>
          </w:p>
        </w:tc>
        <w:tc>
          <w:tcPr>
            <w:tcW w:w="664" w:type="dxa"/>
            <w:vAlign w:val="center"/>
          </w:tcPr>
          <w:p>
            <w:pPr>
              <w:widowControl/>
              <w:spacing w:line="360" w:lineRule="auto"/>
              <w:jc w:val="left"/>
              <w:rPr>
                <w:rFonts w:ascii="宋体" w:hAnsi="宋体" w:cs="宋体"/>
                <w:spacing w:val="-6"/>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Merge w:val="continue"/>
            <w:vAlign w:val="center"/>
          </w:tcPr>
          <w:p>
            <w:pPr>
              <w:widowControl/>
              <w:spacing w:line="360" w:lineRule="auto"/>
              <w:jc w:val="center"/>
              <w:rPr>
                <w:rFonts w:ascii="宋体" w:hAnsi="宋体" w:cs="宋体"/>
                <w:color w:val="FF0000"/>
                <w:spacing w:val="-6"/>
                <w:szCs w:val="21"/>
              </w:rPr>
            </w:pPr>
          </w:p>
        </w:tc>
        <w:tc>
          <w:tcPr>
            <w:tcW w:w="6590" w:type="dxa"/>
            <w:vAlign w:val="center"/>
          </w:tcPr>
          <w:p>
            <w:pPr>
              <w:widowControl/>
              <w:spacing w:line="360" w:lineRule="auto"/>
              <w:jc w:val="left"/>
              <w:rPr>
                <w:rFonts w:ascii="宋体" w:hAnsi="宋体" w:cs="宋体"/>
                <w:spacing w:val="-6"/>
                <w:szCs w:val="21"/>
              </w:rPr>
            </w:pPr>
            <w:r>
              <w:rPr>
                <w:rFonts w:hint="eastAsia" w:ascii="宋体" w:hAnsi="宋体" w:cs="宋体"/>
                <w:spacing w:val="-6"/>
                <w:szCs w:val="21"/>
              </w:rPr>
              <w:t>根据供应商提供的安全控制进行综合评分：科学、合理，针对性强，2分；合理，可行，1分；欠合理，不可行不得分。</w:t>
            </w:r>
          </w:p>
        </w:tc>
        <w:tc>
          <w:tcPr>
            <w:tcW w:w="664" w:type="dxa"/>
            <w:vAlign w:val="center"/>
          </w:tcPr>
          <w:p>
            <w:pPr>
              <w:widowControl/>
              <w:spacing w:line="360" w:lineRule="auto"/>
              <w:jc w:val="left"/>
              <w:rPr>
                <w:rFonts w:ascii="宋体" w:hAnsi="宋体" w:cs="宋体"/>
                <w:spacing w:val="-6"/>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ascii="宋体" w:hAnsi="宋体" w:cs="宋体"/>
                <w:szCs w:val="21"/>
              </w:rPr>
            </w:pPr>
          </w:p>
        </w:tc>
        <w:tc>
          <w:tcPr>
            <w:tcW w:w="1298" w:type="dxa"/>
            <w:vMerge w:val="continue"/>
            <w:vAlign w:val="center"/>
          </w:tcPr>
          <w:p>
            <w:pPr>
              <w:widowControl/>
              <w:spacing w:line="360" w:lineRule="auto"/>
              <w:jc w:val="center"/>
              <w:rPr>
                <w:rFonts w:ascii="宋体" w:hAnsi="宋体" w:cs="宋体"/>
                <w:color w:val="FF0000"/>
                <w:spacing w:val="-6"/>
                <w:szCs w:val="21"/>
              </w:rPr>
            </w:pPr>
          </w:p>
        </w:tc>
        <w:tc>
          <w:tcPr>
            <w:tcW w:w="6590" w:type="dxa"/>
            <w:vAlign w:val="center"/>
          </w:tcPr>
          <w:p>
            <w:pPr>
              <w:widowControl/>
              <w:spacing w:line="360" w:lineRule="auto"/>
              <w:jc w:val="left"/>
              <w:rPr>
                <w:rFonts w:ascii="宋体" w:hAnsi="宋体" w:cs="宋体"/>
                <w:spacing w:val="-6"/>
                <w:szCs w:val="21"/>
              </w:rPr>
            </w:pPr>
            <w:r>
              <w:rPr>
                <w:rFonts w:hint="eastAsia" w:ascii="宋体" w:hAnsi="宋体" w:cs="宋体"/>
                <w:spacing w:val="-6"/>
                <w:szCs w:val="21"/>
              </w:rPr>
              <w:t>根据供应商提供的组织协调进行综合评分：科学、合理，针对性强，2分；合理，可行，1分；欠合理，不可行不得分。</w:t>
            </w:r>
          </w:p>
        </w:tc>
        <w:tc>
          <w:tcPr>
            <w:tcW w:w="664" w:type="dxa"/>
            <w:vAlign w:val="center"/>
          </w:tcPr>
          <w:p>
            <w:pPr>
              <w:widowControl/>
              <w:spacing w:line="360" w:lineRule="auto"/>
              <w:jc w:val="left"/>
              <w:rPr>
                <w:rFonts w:ascii="宋体" w:hAnsi="宋体" w:cs="宋体"/>
                <w:spacing w:val="-6"/>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736" w:type="dxa"/>
            <w:vMerge w:val="continue"/>
            <w:tcBorders>
              <w:bottom w:val="single" w:color="auto" w:sz="4" w:space="0"/>
            </w:tcBorders>
            <w:vAlign w:val="center"/>
          </w:tcPr>
          <w:p>
            <w:pPr>
              <w:spacing w:line="360" w:lineRule="auto"/>
              <w:jc w:val="center"/>
              <w:rPr>
                <w:rFonts w:ascii="宋体" w:hAnsi="宋体" w:cs="宋体"/>
                <w:szCs w:val="21"/>
              </w:rPr>
            </w:pPr>
          </w:p>
        </w:tc>
        <w:tc>
          <w:tcPr>
            <w:tcW w:w="1298" w:type="dxa"/>
            <w:vAlign w:val="center"/>
          </w:tcPr>
          <w:p>
            <w:pPr>
              <w:widowControl/>
              <w:spacing w:line="360" w:lineRule="auto"/>
              <w:jc w:val="center"/>
              <w:rPr>
                <w:rFonts w:ascii="宋体" w:hAnsi="宋体" w:cs="宋体"/>
                <w:color w:val="000000"/>
                <w:kern w:val="0"/>
                <w:szCs w:val="21"/>
                <w:lang w:bidi="ar"/>
              </w:rPr>
            </w:pPr>
            <w:r>
              <w:rPr>
                <w:rFonts w:hint="eastAsia" w:ascii="宋体" w:hAnsi="宋体" w:cs="宋体"/>
                <w:color w:val="000000"/>
                <w:kern w:val="0"/>
                <w:szCs w:val="21"/>
                <w:lang w:bidi="ar"/>
              </w:rPr>
              <w:t>保密方案</w:t>
            </w:r>
          </w:p>
          <w:p>
            <w:pPr>
              <w:widowControl/>
              <w:spacing w:line="360" w:lineRule="auto"/>
              <w:jc w:val="center"/>
              <w:rPr>
                <w:rFonts w:ascii="宋体" w:hAnsi="宋体" w:cs="宋体"/>
                <w:color w:val="000000"/>
                <w:kern w:val="0"/>
                <w:szCs w:val="21"/>
                <w:highlight w:val="yellow"/>
                <w:lang w:bidi="ar"/>
              </w:rPr>
            </w:pPr>
            <w:r>
              <w:rPr>
                <w:rFonts w:hint="eastAsia" w:ascii="宋体" w:hAnsi="宋体" w:cs="宋体"/>
                <w:color w:val="000000"/>
                <w:kern w:val="0"/>
                <w:szCs w:val="21"/>
                <w:lang w:bidi="ar"/>
              </w:rPr>
              <w:t>（4分）</w:t>
            </w:r>
          </w:p>
        </w:tc>
        <w:tc>
          <w:tcPr>
            <w:tcW w:w="6590" w:type="dxa"/>
            <w:vAlign w:val="center"/>
          </w:tcPr>
          <w:p>
            <w:pPr>
              <w:widowControl/>
              <w:spacing w:line="360" w:lineRule="auto"/>
              <w:jc w:val="left"/>
              <w:rPr>
                <w:rFonts w:ascii="宋体" w:hAnsi="宋体" w:cs="宋体"/>
                <w:color w:val="000000"/>
                <w:kern w:val="0"/>
                <w:szCs w:val="21"/>
                <w:lang w:bidi="ar"/>
              </w:rPr>
            </w:pPr>
            <w:r>
              <w:rPr>
                <w:rFonts w:hint="eastAsia" w:ascii="宋体" w:hAnsi="宋体" w:cs="宋体"/>
                <w:color w:val="000000"/>
                <w:kern w:val="0"/>
                <w:szCs w:val="21"/>
                <w:lang w:bidi="ar"/>
              </w:rPr>
              <w:t>具有省级及以上行政管理部门颁发得保密相关资质证书的，得2分；投标人指定了较为健全得保密管理制度措施的，得1分；根据本项目制定得保密方案健全程度，酌情给0-1分。</w:t>
            </w:r>
          </w:p>
        </w:tc>
        <w:tc>
          <w:tcPr>
            <w:tcW w:w="664" w:type="dxa"/>
            <w:vAlign w:val="center"/>
          </w:tcPr>
          <w:p>
            <w:pPr>
              <w:spacing w:line="360" w:lineRule="auto"/>
              <w:rPr>
                <w:rFonts w:ascii="宋体" w:hAnsi="宋体" w:cs="宋体"/>
                <w:spacing w:val="-6"/>
                <w:szCs w:val="21"/>
              </w:rPr>
            </w:pPr>
            <w:r>
              <w:rPr>
                <w:rFonts w:hint="eastAsia" w:ascii="宋体" w:hAnsi="宋体" w:cs="宋体"/>
                <w:spacing w:val="-6"/>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tcBorders>
              <w:top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总分</w:t>
            </w:r>
          </w:p>
        </w:tc>
        <w:tc>
          <w:tcPr>
            <w:tcW w:w="8552" w:type="dxa"/>
            <w:gridSpan w:val="3"/>
            <w:vAlign w:val="center"/>
          </w:tcPr>
          <w:p>
            <w:pPr>
              <w:spacing w:line="360" w:lineRule="auto"/>
              <w:jc w:val="center"/>
              <w:rPr>
                <w:rFonts w:ascii="宋体" w:hAnsi="宋体" w:cs="宋体"/>
                <w:spacing w:val="-6"/>
                <w:szCs w:val="21"/>
              </w:rPr>
            </w:pPr>
            <w:r>
              <w:rPr>
                <w:rFonts w:hint="eastAsia" w:ascii="宋体" w:hAnsi="宋体" w:cs="宋体"/>
                <w:spacing w:val="-6"/>
                <w:szCs w:val="21"/>
              </w:rPr>
              <w:t>100</w:t>
            </w:r>
          </w:p>
        </w:tc>
      </w:tr>
    </w:tbl>
    <w:p>
      <w:pPr>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四、评定办法</w:t>
      </w:r>
      <w:bookmarkEnd w:id="123"/>
    </w:p>
    <w:p>
      <w:pPr>
        <w:numPr>
          <w:ilvl w:val="3"/>
          <w:numId w:val="34"/>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5"/>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5"/>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5"/>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4"/>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4"/>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4"/>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24" w:name="_Toc27428"/>
      <w:r>
        <w:rPr>
          <w:rFonts w:hint="eastAsia" w:asciiTheme="minorEastAsia" w:hAnsiTheme="minorEastAsia" w:eastAsiaTheme="minorEastAsia" w:cstheme="minorEastAsia"/>
          <w:b/>
          <w:szCs w:val="21"/>
        </w:rPr>
        <w:t>五、磋商及评审步骤</w:t>
      </w:r>
      <w:bookmarkEnd w:id="124"/>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kern w:val="0"/>
          <w:szCs w:val="21"/>
        </w:rPr>
      </w:pPr>
      <w:bookmarkStart w:id="125" w:name="_Toc211783328"/>
      <w:bookmarkStart w:id="126" w:name="_Toc318643471"/>
      <w:bookmarkStart w:id="127" w:name="_Toc22913"/>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25"/>
      <w:bookmarkEnd w:id="126"/>
      <w:r>
        <w:rPr>
          <w:rFonts w:hint="eastAsia" w:asciiTheme="minorEastAsia" w:hAnsiTheme="minorEastAsia" w:eastAsiaTheme="minorEastAsia" w:cstheme="minorEastAsia"/>
          <w:sz w:val="36"/>
          <w:szCs w:val="36"/>
        </w:rPr>
        <w:t>格式</w:t>
      </w:r>
      <w:bookmarkEnd w:id="127"/>
    </w:p>
    <w:p>
      <w:pPr>
        <w:ind w:firstLine="420"/>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（此合同书仅供签订正式合同时参考用，正式合同书应包括此参考格式之内容。）</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28" w:name="_Toc22377"/>
      <w:r>
        <w:rPr>
          <w:rFonts w:hint="eastAsia" w:asciiTheme="minorEastAsia" w:hAnsiTheme="minorEastAsia" w:eastAsiaTheme="minorEastAsia" w:cstheme="minorEastAsia"/>
          <w:sz w:val="36"/>
          <w:szCs w:val="36"/>
        </w:rPr>
        <w:t>竞争性磋商响应文件格式</w:t>
      </w:r>
      <w:bookmarkEnd w:id="128"/>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9" w:name="_Toc23858"/>
      <w:bookmarkStart w:id="130"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9"/>
    <w:bookmarkEnd w:id="130"/>
    <w:p>
      <w:pPr>
        <w:autoSpaceDE w:val="0"/>
        <w:autoSpaceDN w:val="0"/>
        <w:adjustRightInd w:val="0"/>
        <w:spacing w:line="360" w:lineRule="auto"/>
        <w:jc w:val="center"/>
        <w:rPr>
          <w:rFonts w:asciiTheme="minorEastAsia" w:hAnsiTheme="minorEastAsia" w:eastAsiaTheme="minorEastAsia" w:cstheme="minorEastAsia"/>
          <w:b/>
          <w:bCs/>
          <w:sz w:val="24"/>
        </w:rPr>
      </w:pPr>
      <w:bookmarkStart w:id="131" w:name="_Toc360174584"/>
      <w:bookmarkStart w:id="132" w:name="_Toc264644272"/>
      <w:bookmarkStart w:id="133" w:name="_Toc211783342"/>
      <w:bookmarkStart w:id="134" w:name="_Toc533331084"/>
      <w:bookmarkStart w:id="135" w:name="_Toc533330957"/>
      <w:bookmarkStart w:id="136" w:name="_Toc11320441"/>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1"/>
      <w:bookmarkEnd w:id="132"/>
    </w:p>
    <w:p>
      <w:pPr>
        <w:autoSpaceDE w:val="0"/>
        <w:autoSpaceDN w:val="0"/>
        <w:adjustRightInd w:val="0"/>
        <w:rPr>
          <w:rFonts w:asciiTheme="minorEastAsia" w:hAnsiTheme="minorEastAsia" w:eastAsiaTheme="minorEastAsia" w:cstheme="minorEastAsia"/>
          <w:b/>
          <w:bCs/>
          <w:szCs w:val="21"/>
        </w:rPr>
      </w:pPr>
    </w:p>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一、评分标准索引表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二、磋商书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rPr>
        <w:t>三、法定代表人授权书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四、报价一览表</w:t>
      </w:r>
      <w:r>
        <w:rPr>
          <w:rFonts w:hint="eastAsia" w:asciiTheme="minorEastAsia" w:hAnsiTheme="minorEastAsia" w:eastAsiaTheme="minorEastAsia" w:cstheme="minorEastAsia"/>
          <w:bCs/>
        </w:rPr>
        <w:t xml:space="preserve">      </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五、报价费用构成表</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六、耗材清单（如有）</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七、拟投入设备/备件、工具情况（如有）</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八、缴纳保证金的银行凭证（如有）</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九、偏离说明表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szCs w:val="21"/>
        </w:rPr>
        <w:t>类似业绩一览表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十一、拟投入项目组人员一览表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十四、报价技术文件</w:t>
      </w:r>
    </w:p>
    <w:p>
      <w:pPr>
        <w:adjustRightInd w:val="0"/>
        <w:snapToGri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十五、中小企业声明函</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十六、监狱企业证明文件</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p>
    <w:p>
      <w:pPr>
        <w:spacing w:line="360" w:lineRule="auto"/>
        <w:jc w:val="left"/>
        <w:rPr>
          <w:rFonts w:asciiTheme="minorEastAsia" w:hAnsiTheme="minorEastAsia" w:eastAsiaTheme="minorEastAsia" w:cstheme="minorEastAsia"/>
          <w:bCs/>
          <w:spacing w:val="6"/>
          <w:szCs w:val="21"/>
        </w:rPr>
      </w:pPr>
      <w:r>
        <w:rPr>
          <w:rFonts w:hint="eastAsia" w:asciiTheme="minorEastAsia" w:hAnsiTheme="minorEastAsia" w:eastAsiaTheme="minorEastAsia" w:cstheme="minorEastAsia"/>
          <w:bCs/>
        </w:rPr>
        <w:t>十七、</w:t>
      </w:r>
      <w:r>
        <w:rPr>
          <w:rFonts w:hint="eastAsia" w:asciiTheme="minorEastAsia" w:hAnsiTheme="minorEastAsia" w:eastAsiaTheme="minorEastAsia" w:cstheme="minorEastAsia"/>
          <w:bCs/>
          <w:lang w:val="zh-CN"/>
        </w:rPr>
        <w:t>残疾人福利性单位声明函（若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十八、节能环保产品证明材料</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bCs/>
        </w:rPr>
        <w:t>无重大违法记录声明</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spacing w:val="6"/>
          <w:szCs w:val="21"/>
        </w:rPr>
        <w:t>二十、参加本次政府采购活动前3年内发生诉讼及仲裁情况表</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t>二十一、磋商供应商认为应该提交的其它文件（格式自拟）</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br w:type="textWrapping"/>
      </w:r>
    </w:p>
    <w:p>
      <w:pPr>
        <w:autoSpaceDE w:val="0"/>
        <w:autoSpaceDN w:val="0"/>
        <w:adjustRightInd w:val="0"/>
        <w:spacing w:line="48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asciiTheme="minorEastAsia" w:hAnsiTheme="minorEastAsia" w:eastAsiaTheme="minorEastAsia" w:cstheme="minorEastAsia"/>
          <w:b/>
        </w:rPr>
      </w:pPr>
    </w:p>
    <w:p>
      <w:pPr>
        <w:autoSpaceDE w:val="0"/>
        <w:autoSpaceDN w:val="0"/>
        <w:adjustRightInd w:val="0"/>
        <w:spacing w:line="480" w:lineRule="auto"/>
        <w:rPr>
          <w:rFonts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37" w:name="_Toc22054"/>
      <w:r>
        <w:rPr>
          <w:rFonts w:hint="eastAsia" w:asciiTheme="minorEastAsia" w:hAnsiTheme="minorEastAsia" w:eastAsiaTheme="minorEastAsia" w:cstheme="minorEastAsia"/>
          <w:b/>
        </w:rPr>
        <w:t>一、评分标准索引表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28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519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100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c>
          <w:tcPr>
            <w:tcW w:w="111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1285"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5197" w:type="dxa"/>
            <w:vAlign w:val="center"/>
          </w:tcPr>
          <w:p>
            <w:pPr>
              <w:widowControl/>
              <w:spacing w:line="260" w:lineRule="exact"/>
              <w:jc w:val="left"/>
              <w:textAlignment w:val="center"/>
            </w:pPr>
          </w:p>
        </w:tc>
        <w:tc>
          <w:tcPr>
            <w:tcW w:w="1005" w:type="dxa"/>
            <w:vAlign w:val="center"/>
          </w:tcPr>
          <w:p>
            <w:pPr>
              <w:widowControl/>
              <w:spacing w:line="260" w:lineRule="exact"/>
              <w:jc w:val="center"/>
              <w:textAlignment w:val="center"/>
            </w:pPr>
          </w:p>
        </w:tc>
        <w:tc>
          <w:tcPr>
            <w:tcW w:w="1114" w:type="dxa"/>
            <w:vAlign w:val="center"/>
          </w:tcPr>
          <w:p>
            <w:pPr>
              <w:widowControl/>
              <w:spacing w:line="260" w:lineRule="exact"/>
              <w:jc w:val="center"/>
              <w:textAlignment w:val="center"/>
              <w:rPr>
                <w:rFonts w:ascii="宋体" w:hAnsi="宋体" w:cs="宋体"/>
                <w:color w:val="FF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color w:val="000000"/>
                <w:spacing w:val="-6"/>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bottom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top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asciiTheme="minorEastAsia" w:hAnsiTheme="minorEastAsia" w:eastAsiaTheme="minorEastAsia" w:cstheme="minorEastAsia"/>
                <w:szCs w:val="21"/>
              </w:rPr>
            </w:pPr>
          </w:p>
        </w:tc>
        <w:tc>
          <w:tcPr>
            <w:tcW w:w="1285" w:type="dxa"/>
            <w:vAlign w:val="center"/>
          </w:tcPr>
          <w:p>
            <w:pPr>
              <w:ind w:left="-4" w:leftChars="-2" w:firstLine="2" w:firstLineChars="1"/>
              <w:rPr>
                <w:rFonts w:asciiTheme="minorEastAsia" w:hAnsiTheme="minorEastAsia" w:eastAsiaTheme="minorEastAsia" w:cstheme="minorEastAsia"/>
                <w:szCs w:val="21"/>
              </w:rPr>
            </w:pPr>
          </w:p>
        </w:tc>
        <w:tc>
          <w:tcPr>
            <w:tcW w:w="5197" w:type="dxa"/>
            <w:vAlign w:val="center"/>
          </w:tcPr>
          <w:p>
            <w:pPr>
              <w:ind w:left="-4" w:leftChars="-2" w:firstLine="2" w:firstLineChars="1"/>
              <w:rPr>
                <w:rFonts w:asciiTheme="minorEastAsia" w:hAnsiTheme="minorEastAsia" w:eastAsiaTheme="minorEastAsia" w:cstheme="minorEastAsia"/>
                <w:szCs w:val="21"/>
              </w:rPr>
            </w:pPr>
          </w:p>
        </w:tc>
        <w:tc>
          <w:tcPr>
            <w:tcW w:w="1005" w:type="dxa"/>
            <w:vAlign w:val="center"/>
          </w:tcPr>
          <w:p>
            <w:pPr>
              <w:ind w:left="-4" w:leftChars="-2" w:firstLine="2" w:firstLineChars="1"/>
              <w:rPr>
                <w:rFonts w:asciiTheme="minorEastAsia" w:hAnsiTheme="minorEastAsia" w:eastAsiaTheme="minorEastAsia" w:cstheme="minorEastAsia"/>
                <w:szCs w:val="21"/>
              </w:rPr>
            </w:pPr>
          </w:p>
        </w:tc>
        <w:tc>
          <w:tcPr>
            <w:tcW w:w="1114" w:type="dxa"/>
            <w:vAlign w:val="center"/>
          </w:tcPr>
          <w:p>
            <w:pPr>
              <w:ind w:left="-4" w:leftChars="-2" w:firstLine="2" w:firstLineChars="1"/>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asciiTheme="minorEastAsia" w:hAnsiTheme="minorEastAsia" w:eastAsiaTheme="minorEastAsia" w:cstheme="minorEastAsia"/>
                <w:szCs w:val="21"/>
              </w:rPr>
            </w:pPr>
          </w:p>
        </w:tc>
        <w:tc>
          <w:tcPr>
            <w:tcW w:w="7487" w:type="dxa"/>
            <w:gridSpan w:val="3"/>
            <w:vAlign w:val="center"/>
          </w:tcPr>
          <w:p>
            <w:pPr>
              <w:jc w:val="center"/>
              <w:rPr>
                <w:rFonts w:asciiTheme="minorEastAsia" w:hAnsiTheme="minorEastAsia" w:eastAsiaTheme="minorEastAsia" w:cstheme="minorEastAsia"/>
                <w:spacing w:val="-6"/>
                <w:szCs w:val="21"/>
              </w:rPr>
            </w:pPr>
          </w:p>
        </w:tc>
        <w:tc>
          <w:tcPr>
            <w:tcW w:w="1114" w:type="dxa"/>
            <w:vAlign w:val="center"/>
          </w:tcPr>
          <w:p>
            <w:pPr>
              <w:jc w:val="center"/>
              <w:rPr>
                <w:rFonts w:asciiTheme="minorEastAsia" w:hAnsiTheme="minorEastAsia" w:eastAsiaTheme="minorEastAsia" w:cstheme="minorEastAsia"/>
                <w:spacing w:val="-6"/>
                <w:szCs w:val="21"/>
              </w:rPr>
            </w:pPr>
          </w:p>
        </w:tc>
      </w:tr>
    </w:tbl>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38" w:name="_Toc479184125"/>
      <w:bookmarkStart w:id="139" w:name="_Toc13888"/>
      <w:bookmarkStart w:id="140" w:name="_Toc15789"/>
      <w:bookmarkStart w:id="141" w:name="_Toc30144"/>
      <w:r>
        <w:rPr>
          <w:rFonts w:hint="eastAsia" w:asciiTheme="minorEastAsia" w:hAnsiTheme="minorEastAsia" w:eastAsiaTheme="minorEastAsia" w:cstheme="minorEastAsia"/>
          <w:b/>
        </w:rPr>
        <w:t>二、磋商书</w:t>
      </w:r>
      <w:bookmarkEnd w:id="138"/>
      <w:bookmarkEnd w:id="139"/>
      <w:bookmarkEnd w:id="140"/>
      <w:bookmarkEnd w:id="141"/>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包工程的磋商邀请，我方代表（姓名、职务）经正式授权并代表供应商（供应商的名称、地址）提交下述文件正本一份，副本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6"/>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6"/>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6"/>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7"/>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7"/>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7"/>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7"/>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8"/>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42" w:name="_Toc13969"/>
      <w:bookmarkStart w:id="143" w:name="_Toc28662"/>
      <w:bookmarkStart w:id="144" w:name="_Toc24205"/>
      <w:bookmarkStart w:id="145" w:name="_Toc479184126"/>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42"/>
      <w:bookmarkEnd w:id="143"/>
      <w:bookmarkEnd w:id="144"/>
      <w:bookmarkEnd w:id="145"/>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bookmarkStart w:id="146" w:name="_Toc432149008"/>
      <w:bookmarkStart w:id="147" w:name="_Toc479184127"/>
      <w:bookmarkStart w:id="148" w:name="_Toc424832832"/>
      <w:bookmarkStart w:id="149" w:name="_Toc10234"/>
      <w:bookmarkStart w:id="150" w:name="_Toc360120184"/>
      <w:bookmarkStart w:id="151" w:name="_Toc29904"/>
      <w:bookmarkStart w:id="152" w:name="_Toc30245"/>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46"/>
      <w:bookmarkEnd w:id="147"/>
      <w:bookmarkEnd w:id="148"/>
      <w:bookmarkEnd w:id="149"/>
      <w:bookmarkEnd w:id="150"/>
      <w:bookmarkEnd w:id="151"/>
      <w:bookmarkEnd w:id="152"/>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53" w:name="_Toc422466732"/>
      <w:bookmarkStart w:id="154" w:name="_Toc432149006"/>
      <w:r>
        <w:rPr>
          <w:rFonts w:hint="eastAsia" w:asciiTheme="minorEastAsia" w:hAnsiTheme="minorEastAsia" w:eastAsiaTheme="minorEastAsia" w:cstheme="minorEastAsia"/>
          <w:b/>
          <w:bCs/>
          <w:sz w:val="24"/>
        </w:rPr>
        <w:br w:type="page"/>
      </w:r>
      <w:bookmarkStart w:id="155" w:name="_Toc4741"/>
      <w:bookmarkStart w:id="156" w:name="_Toc479184128"/>
      <w:bookmarkStart w:id="157" w:name="_Toc14055"/>
      <w:bookmarkStart w:id="158" w:name="_Toc4301"/>
      <w:r>
        <w:rPr>
          <w:rFonts w:hint="eastAsia" w:asciiTheme="minorEastAsia" w:hAnsiTheme="minorEastAsia" w:eastAsiaTheme="minorEastAsia" w:cstheme="minorEastAsia"/>
          <w:b/>
          <w:bCs/>
          <w:szCs w:val="21"/>
        </w:rPr>
        <w:t>四、报价一览表</w:t>
      </w:r>
      <w:bookmarkEnd w:id="153"/>
      <w:bookmarkEnd w:id="154"/>
      <w:bookmarkEnd w:id="155"/>
      <w:bookmarkEnd w:id="156"/>
      <w:bookmarkEnd w:id="157"/>
      <w:bookmarkEnd w:id="158"/>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szCs w:val="21"/>
                <w:u w:val="single"/>
              </w:rPr>
              <w:t xml:space="preserve">大写：      </w:t>
            </w:r>
            <w:r>
              <w:rPr>
                <w:rFonts w:hint="eastAsia" w:asciiTheme="minorEastAsia" w:hAnsiTheme="minorEastAsia" w:eastAsiaTheme="minorEastAsia" w:cstheme="minorEastAsia"/>
                <w:color w:val="FF0000"/>
                <w:szCs w:val="21"/>
              </w:rPr>
              <w:t>万元</w:t>
            </w:r>
            <w:r>
              <w:rPr>
                <w:rFonts w:hint="eastAsia" w:asciiTheme="minorEastAsia" w:hAnsiTheme="minorEastAsia" w:eastAsiaTheme="minorEastAsia" w:cstheme="minorEastAsia"/>
                <w:color w:val="FF0000"/>
                <w:szCs w:val="21"/>
              </w:rPr>
              <w:br w:type="textWrapping"/>
            </w:r>
            <w:r>
              <w:rPr>
                <w:rFonts w:hint="eastAsia" w:asciiTheme="minorEastAsia" w:hAnsiTheme="minorEastAsia" w:eastAsiaTheme="minorEastAsia" w:cstheme="minorEastAsia"/>
                <w:color w:val="FF0000"/>
                <w:szCs w:val="21"/>
                <w:u w:val="single"/>
              </w:rPr>
              <w:t xml:space="preserve">小写：      </w:t>
            </w:r>
            <w:r>
              <w:rPr>
                <w:rFonts w:hint="eastAsia" w:asciiTheme="minorEastAsia" w:hAnsiTheme="minorEastAsia" w:eastAsiaTheme="minorEastAsia" w:cstheme="minorEastAsia"/>
                <w:color w:val="FF0000"/>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59" w:name="_Toc460258117"/>
      <w:bookmarkStart w:id="160" w:name="_Toc259028723"/>
      <w:bookmarkStart w:id="161" w:name="_Toc424832831"/>
      <w:bookmarkStart w:id="162" w:name="_Toc432149007"/>
      <w:r>
        <w:rPr>
          <w:rFonts w:hint="eastAsia" w:asciiTheme="minorEastAsia" w:hAnsiTheme="minorEastAsia" w:eastAsiaTheme="minorEastAsia" w:cstheme="minorEastAsia"/>
          <w:b/>
          <w:bCs/>
          <w:sz w:val="24"/>
        </w:rPr>
        <w:br w:type="page"/>
      </w:r>
      <w:bookmarkStart w:id="163" w:name="_Toc479184129"/>
      <w:bookmarkStart w:id="164" w:name="_Toc1079"/>
      <w:bookmarkStart w:id="165" w:name="_Toc18559"/>
      <w:bookmarkStart w:id="166" w:name="_Toc29150"/>
      <w:r>
        <w:rPr>
          <w:rFonts w:hint="eastAsia" w:asciiTheme="minorEastAsia" w:hAnsiTheme="minorEastAsia" w:eastAsiaTheme="minorEastAsia" w:cstheme="minorEastAsia"/>
          <w:b/>
          <w:bCs/>
          <w:szCs w:val="21"/>
        </w:rPr>
        <w:t>五、</w:t>
      </w:r>
      <w:bookmarkEnd w:id="159"/>
      <w:bookmarkEnd w:id="160"/>
      <w:bookmarkEnd w:id="163"/>
      <w:bookmarkEnd w:id="164"/>
      <w:bookmarkEnd w:id="165"/>
      <w:r>
        <w:rPr>
          <w:rFonts w:hint="eastAsia" w:asciiTheme="minorEastAsia" w:hAnsiTheme="minorEastAsia" w:eastAsiaTheme="minorEastAsia" w:cstheme="minorEastAsia"/>
          <w:b/>
          <w:bCs/>
          <w:szCs w:val="21"/>
        </w:rPr>
        <w:t>报价费用构成表</w:t>
      </w:r>
      <w:bookmarkEnd w:id="16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9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11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24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110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39"/>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39"/>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39"/>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7" w:name="_Toc479184130"/>
      <w:bookmarkStart w:id="168" w:name="_Toc9137"/>
      <w:bookmarkStart w:id="169" w:name="_Toc26825"/>
      <w:bookmarkStart w:id="170" w:name="_Toc28656"/>
      <w:r>
        <w:rPr>
          <w:rFonts w:hint="eastAsia" w:asciiTheme="minorEastAsia" w:hAnsiTheme="minorEastAsia" w:eastAsiaTheme="minorEastAsia" w:cstheme="minorEastAsia"/>
          <w:b/>
          <w:bCs/>
          <w:szCs w:val="21"/>
        </w:rPr>
        <w:t>六、耗材清单</w:t>
      </w:r>
      <w:bookmarkEnd w:id="167"/>
      <w:r>
        <w:rPr>
          <w:rFonts w:hint="eastAsia" w:asciiTheme="minorEastAsia" w:hAnsiTheme="minorEastAsia" w:eastAsiaTheme="minorEastAsia" w:cstheme="minorEastAsia"/>
          <w:b/>
          <w:bCs/>
          <w:szCs w:val="21"/>
        </w:rPr>
        <w:t>（如有）</w:t>
      </w:r>
      <w:bookmarkEnd w:id="168"/>
      <w:bookmarkEnd w:id="169"/>
      <w:bookmarkEnd w:id="170"/>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1" w:name="_Toc32726"/>
      <w:bookmarkStart w:id="172" w:name="_Toc22597"/>
      <w:bookmarkStart w:id="173" w:name="_Toc479184131"/>
      <w:bookmarkStart w:id="174" w:name="_Toc7535"/>
      <w:r>
        <w:rPr>
          <w:rFonts w:hint="eastAsia" w:asciiTheme="minorEastAsia" w:hAnsiTheme="minorEastAsia" w:eastAsiaTheme="minorEastAsia" w:cstheme="minorEastAsia"/>
          <w:b/>
          <w:bCs/>
          <w:szCs w:val="21"/>
        </w:rPr>
        <w:t>七、拟投入设备/备件、工具情况（如有）</w:t>
      </w:r>
      <w:bookmarkEnd w:id="171"/>
      <w:bookmarkEnd w:id="172"/>
      <w:bookmarkEnd w:id="173"/>
      <w:bookmarkEnd w:id="174"/>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注：供应商为本项目拟配置的主要设备、工具、材料请对照磋商文件第三章项目采购需求中技术要求的内容详细说明。</w:t>
      </w: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5" w:name="_Toc10449"/>
      <w:bookmarkStart w:id="176" w:name="_Toc27053"/>
      <w:bookmarkStart w:id="177" w:name="_Toc479184132"/>
      <w:bookmarkStart w:id="178" w:name="_Toc450827818"/>
      <w:bookmarkStart w:id="179" w:name="_Toc17877"/>
      <w:r>
        <w:rPr>
          <w:rFonts w:hint="eastAsia" w:asciiTheme="minorEastAsia" w:hAnsiTheme="minorEastAsia" w:eastAsiaTheme="minorEastAsia" w:cstheme="minorEastAsia"/>
          <w:b/>
          <w:bCs/>
          <w:szCs w:val="21"/>
        </w:rPr>
        <w:t>八、缴纳保证金的银行凭证</w:t>
      </w:r>
      <w:bookmarkEnd w:id="175"/>
      <w:bookmarkEnd w:id="176"/>
      <w:bookmarkEnd w:id="177"/>
      <w:bookmarkEnd w:id="178"/>
      <w:r>
        <w:rPr>
          <w:rFonts w:hint="eastAsia" w:asciiTheme="minorEastAsia" w:hAnsiTheme="minorEastAsia" w:eastAsiaTheme="minorEastAsia" w:cstheme="minorEastAsia"/>
          <w:b/>
          <w:bCs/>
          <w:szCs w:val="21"/>
        </w:rPr>
        <w:t>（如有）</w:t>
      </w:r>
      <w:bookmarkEnd w:id="179"/>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0" w:name="_Toc1591"/>
      <w:bookmarkStart w:id="181" w:name="_Toc432149012"/>
      <w:bookmarkStart w:id="182" w:name="_Toc24300"/>
      <w:bookmarkStart w:id="183" w:name="_Toc422466736"/>
      <w:bookmarkStart w:id="184" w:name="_Toc28200"/>
      <w:bookmarkStart w:id="185" w:name="_Toc479184133"/>
      <w:r>
        <w:rPr>
          <w:rFonts w:hint="eastAsia" w:asciiTheme="minorEastAsia" w:hAnsiTheme="minorEastAsia" w:eastAsiaTheme="minorEastAsia" w:cstheme="minorEastAsia"/>
          <w:b/>
          <w:bCs/>
          <w:szCs w:val="21"/>
        </w:rPr>
        <w:t>九、偏离说明表</w:t>
      </w:r>
      <w:bookmarkEnd w:id="180"/>
      <w:bookmarkEnd w:id="181"/>
      <w:bookmarkEnd w:id="182"/>
      <w:bookmarkEnd w:id="183"/>
      <w:bookmarkEnd w:id="184"/>
      <w:bookmarkEnd w:id="185"/>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响应审核（符合性要求）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0"/>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0"/>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6" w:name="_Toc28283"/>
      <w:bookmarkStart w:id="187" w:name="_Toc479184134"/>
      <w:bookmarkStart w:id="188" w:name="_Toc362935521"/>
      <w:bookmarkStart w:id="189" w:name="_Toc432149013"/>
      <w:bookmarkStart w:id="190" w:name="_Toc32060"/>
      <w:bookmarkStart w:id="191" w:name="_Toc9022"/>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szCs w:val="21"/>
        </w:rPr>
        <w:br w:type="textWrapping"/>
      </w:r>
      <w:bookmarkEnd w:id="191"/>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42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82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34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92" w:name="_Toc454806053"/>
      <w:bookmarkStart w:id="193"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4" w:name="_Toc30455"/>
      <w:bookmarkStart w:id="195" w:name="_Toc18613"/>
      <w:bookmarkStart w:id="196" w:name="_Toc4834"/>
      <w:bookmarkStart w:id="197" w:name="_Toc479184135"/>
      <w:r>
        <w:rPr>
          <w:rFonts w:hint="eastAsia" w:asciiTheme="minorEastAsia" w:hAnsiTheme="minorEastAsia" w:eastAsiaTheme="minorEastAsia" w:cstheme="minorEastAsia"/>
          <w:b/>
          <w:bCs/>
          <w:szCs w:val="21"/>
        </w:rPr>
        <w:t>十一、拟投入项目组人员一览表</w:t>
      </w:r>
      <w:bookmarkEnd w:id="192"/>
      <w:bookmarkEnd w:id="193"/>
      <w:bookmarkEnd w:id="194"/>
      <w:bookmarkEnd w:id="195"/>
      <w:bookmarkEnd w:id="196"/>
      <w:bookmarkEnd w:id="197"/>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8" w:name="_Toc23930"/>
      <w:bookmarkStart w:id="199" w:name="_Toc26838"/>
      <w:bookmarkStart w:id="200" w:name="_Toc432149014"/>
      <w:bookmarkStart w:id="201" w:name="_Toc10429"/>
      <w:bookmarkStart w:id="202" w:name="_Toc479184136"/>
      <w:bookmarkStart w:id="203" w:name="_Toc422466737"/>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98"/>
      <w:bookmarkEnd w:id="199"/>
      <w:bookmarkEnd w:id="200"/>
      <w:bookmarkEnd w:id="201"/>
      <w:bookmarkEnd w:id="202"/>
      <w:bookmarkEnd w:id="203"/>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4" w:name="_Toc259028731"/>
      <w:bookmarkStart w:id="205" w:name="_Toc479184137"/>
      <w:bookmarkStart w:id="206" w:name="_Toc17331"/>
      <w:bookmarkStart w:id="207" w:name="_Toc14940"/>
      <w:bookmarkStart w:id="208" w:name="_Toc450827823"/>
      <w:bookmarkStart w:id="209" w:name="_Toc17527"/>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204"/>
      <w:bookmarkEnd w:id="205"/>
      <w:bookmarkEnd w:id="206"/>
      <w:bookmarkEnd w:id="207"/>
      <w:bookmarkEnd w:id="208"/>
      <w:bookmarkEnd w:id="209"/>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0" w:name="_Toc5793"/>
      <w:bookmarkStart w:id="211" w:name="_Toc18555"/>
      <w:bookmarkStart w:id="212" w:name="_Toc290207179"/>
      <w:bookmarkStart w:id="213" w:name="_Toc32187"/>
      <w:bookmarkStart w:id="214" w:name="_Toc364868916"/>
      <w:bookmarkStart w:id="215" w:name="_Toc427239751"/>
      <w:bookmarkStart w:id="216" w:name="_Toc358447587"/>
      <w:r>
        <w:rPr>
          <w:rFonts w:hint="eastAsia" w:asciiTheme="minorEastAsia" w:hAnsiTheme="minorEastAsia" w:eastAsiaTheme="minorEastAsia" w:cstheme="minorEastAsia"/>
          <w:b/>
          <w:bCs/>
          <w:kern w:val="0"/>
          <w:szCs w:val="21"/>
        </w:rPr>
        <w:t>十四、</w:t>
      </w:r>
      <w:bookmarkEnd w:id="210"/>
      <w:bookmarkEnd w:id="211"/>
      <w:bookmarkEnd w:id="212"/>
      <w:bookmarkEnd w:id="213"/>
      <w:bookmarkEnd w:id="214"/>
      <w:bookmarkEnd w:id="215"/>
      <w:bookmarkEnd w:id="216"/>
      <w:bookmarkStart w:id="217" w:name="_Toc27229"/>
      <w:bookmarkStart w:id="218" w:name="_Toc479184138"/>
      <w:bookmarkStart w:id="219" w:name="_Toc29785"/>
      <w:bookmarkStart w:id="220" w:name="_Toc460258123"/>
      <w:r>
        <w:rPr>
          <w:rFonts w:hint="eastAsia" w:asciiTheme="minorEastAsia" w:hAnsiTheme="minorEastAsia" w:eastAsiaTheme="minorEastAsia" w:cstheme="minorEastAsia"/>
          <w:b/>
        </w:rPr>
        <w:t>报价技术文件</w:t>
      </w:r>
      <w:bookmarkEnd w:id="217"/>
      <w:bookmarkEnd w:id="218"/>
      <w:bookmarkEnd w:id="219"/>
      <w:bookmarkEnd w:id="220"/>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1"/>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1" w:name="_Toc12119"/>
      <w:bookmarkStart w:id="222" w:name="_Toc355802499"/>
      <w:bookmarkStart w:id="223" w:name="_Toc2101"/>
      <w:bookmarkStart w:id="224" w:name="_Toc479184140"/>
      <w:bookmarkStart w:id="225" w:name="_Toc356836516"/>
      <w:bookmarkStart w:id="226" w:name="_Toc8098"/>
      <w:bookmarkStart w:id="227" w:name="_Toc422466739"/>
      <w:bookmarkStart w:id="228" w:name="_Toc432149016"/>
      <w:bookmarkStart w:id="229" w:name="_Toc22465"/>
      <w:bookmarkStart w:id="230" w:name="_Toc4630"/>
      <w:r>
        <w:rPr>
          <w:rFonts w:hint="eastAsia" w:asciiTheme="minorEastAsia" w:hAnsiTheme="minorEastAsia" w:eastAsiaTheme="minorEastAsia" w:cstheme="minorEastAsia"/>
          <w:b/>
        </w:rPr>
        <w:t>十五、中小企业声明函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lang w:val="zh-CN"/>
        </w:rPr>
        <w:t>（本项目不适用）</w:t>
      </w:r>
      <w:bookmarkEnd w:id="230"/>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spacing w:val="6"/>
          <w:szCs w:val="21"/>
        </w:rPr>
        <w:t>______（请填写：中型、小型、微型）企业</w:t>
      </w:r>
      <w:bookmarkEnd w:id="231"/>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2"/>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2"/>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3"/>
    <w:bookmarkEnd w:id="134"/>
    <w:bookmarkEnd w:id="135"/>
    <w:bookmarkEnd w:id="136"/>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2" w:name="_Toc16369"/>
      <w:bookmarkStart w:id="233" w:name="_Toc7229"/>
      <w:bookmarkStart w:id="234" w:name="_Toc479184141"/>
      <w:bookmarkStart w:id="235" w:name="_Toc476839034"/>
      <w:bookmarkStart w:id="236" w:name="_Toc30406"/>
      <w:bookmarkStart w:id="237" w:name="_Toc4320"/>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bookmarkEnd w:id="232"/>
      <w:r>
        <w:rPr>
          <w:rFonts w:hint="eastAsia" w:asciiTheme="minorEastAsia" w:hAnsiTheme="minorEastAsia" w:eastAsiaTheme="minorEastAsia" w:cstheme="minorEastAsia"/>
          <w:b/>
          <w:lang w:val="zh-CN"/>
        </w:rPr>
        <w:t>（本项目不适用）</w:t>
      </w:r>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38" w:name="_Toc2219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w:t>
      </w:r>
      <w:bookmarkEnd w:id="238"/>
      <w:r>
        <w:rPr>
          <w:rFonts w:hint="eastAsia" w:asciiTheme="minorEastAsia" w:hAnsiTheme="minorEastAsia" w:eastAsiaTheme="minorEastAsia" w:cstheme="minorEastAsia"/>
          <w:b/>
          <w:lang w:val="zh-CN"/>
        </w:rPr>
        <w:t>（本项目不适用）</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9" w:name="_Toc13083"/>
      <w:r>
        <w:rPr>
          <w:rFonts w:hint="eastAsia" w:asciiTheme="minorEastAsia" w:hAnsiTheme="minorEastAsia" w:eastAsiaTheme="minorEastAsia" w:cstheme="minorEastAsia"/>
          <w:b/>
        </w:rPr>
        <w:t>十八、节能环保产品证明材料</w:t>
      </w:r>
      <w:bookmarkEnd w:id="239"/>
      <w:r>
        <w:rPr>
          <w:rFonts w:hint="eastAsia" w:asciiTheme="minorEastAsia" w:hAnsiTheme="minorEastAsia" w:eastAsiaTheme="minorEastAsia" w:cstheme="minorEastAsia"/>
          <w:b/>
          <w:lang w:val="zh-CN"/>
        </w:rPr>
        <w:t>（本项目不适用）</w:t>
      </w:r>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40" w:name="_Toc30405"/>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33"/>
      <w:bookmarkEnd w:id="234"/>
      <w:bookmarkEnd w:id="235"/>
      <w:bookmarkEnd w:id="236"/>
      <w:bookmarkEnd w:id="237"/>
      <w:bookmarkEnd w:id="240"/>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asciiTheme="minorEastAsia" w:hAnsiTheme="minorEastAsia" w:eastAsiaTheme="minorEastAsia" w:cstheme="minorEastAsia"/>
          <w:szCs w:val="21"/>
        </w:rPr>
      </w:pPr>
    </w:p>
    <w:p>
      <w:pPr>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1" w:name="_Toc12393"/>
      <w:r>
        <w:rPr>
          <w:rFonts w:hint="eastAsia" w:asciiTheme="minorEastAsia" w:hAnsiTheme="minorEastAsia" w:eastAsiaTheme="minorEastAsia" w:cstheme="minorEastAsia"/>
          <w:b/>
          <w:bCs/>
          <w:spacing w:val="6"/>
          <w:szCs w:val="21"/>
        </w:rPr>
        <w:t>二十、参加本次政府采购活动前3年内发生诉讼及仲裁情况表</w:t>
      </w:r>
      <w:bookmarkEnd w:id="241"/>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42" w:name="_Toc2053"/>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二十一、磋商供应商认为应该提交的其它文件（格式自拟）</w:t>
      </w:r>
      <w:bookmarkEnd w:id="242"/>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61</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1E84619A"/>
    <w:multiLevelType w:val="singleLevel"/>
    <w:tmpl w:val="1E84619A"/>
    <w:lvl w:ilvl="0" w:tentative="0">
      <w:start w:val="1"/>
      <w:numFmt w:val="decimal"/>
      <w:suff w:val="nothing"/>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3">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7">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5"/>
  </w:num>
  <w:num w:numId="2">
    <w:abstractNumId w:val="10"/>
  </w:num>
  <w:num w:numId="3">
    <w:abstractNumId w:val="17"/>
  </w:num>
  <w:num w:numId="4">
    <w:abstractNumId w:val="26"/>
  </w:num>
  <w:num w:numId="5">
    <w:abstractNumId w:val="12"/>
  </w:num>
  <w:num w:numId="6">
    <w:abstractNumId w:val="1"/>
  </w:num>
  <w:num w:numId="7">
    <w:abstractNumId w:val="14"/>
  </w:num>
  <w:num w:numId="8">
    <w:abstractNumId w:val="8"/>
  </w:num>
  <w:num w:numId="9">
    <w:abstractNumId w:val="13"/>
  </w:num>
  <w:num w:numId="10">
    <w:abstractNumId w:val="31"/>
  </w:num>
  <w:num w:numId="11">
    <w:abstractNumId w:val="41"/>
  </w:num>
  <w:num w:numId="12">
    <w:abstractNumId w:val="42"/>
  </w:num>
  <w:num w:numId="13">
    <w:abstractNumId w:val="25"/>
  </w:num>
  <w:num w:numId="14">
    <w:abstractNumId w:val="28"/>
  </w:num>
  <w:num w:numId="15">
    <w:abstractNumId w:val="30"/>
  </w:num>
  <w:num w:numId="16">
    <w:abstractNumId w:val="32"/>
  </w:num>
  <w:num w:numId="17">
    <w:abstractNumId w:val="3"/>
  </w:num>
  <w:num w:numId="18">
    <w:abstractNumId w:val="34"/>
  </w:num>
  <w:num w:numId="19">
    <w:abstractNumId w:val="5"/>
  </w:num>
  <w:num w:numId="20">
    <w:abstractNumId w:val="23"/>
  </w:num>
  <w:num w:numId="21">
    <w:abstractNumId w:val="19"/>
  </w:num>
  <w:num w:numId="22">
    <w:abstractNumId w:val="37"/>
  </w:num>
  <w:num w:numId="23">
    <w:abstractNumId w:val="11"/>
  </w:num>
  <w:num w:numId="24">
    <w:abstractNumId w:val="24"/>
  </w:num>
  <w:num w:numId="25">
    <w:abstractNumId w:val="7"/>
  </w:num>
  <w:num w:numId="26">
    <w:abstractNumId w:val="36"/>
  </w:num>
  <w:num w:numId="27">
    <w:abstractNumId w:val="40"/>
  </w:num>
  <w:num w:numId="28">
    <w:abstractNumId w:val="27"/>
  </w:num>
  <w:num w:numId="29">
    <w:abstractNumId w:val="21"/>
  </w:num>
  <w:num w:numId="30">
    <w:abstractNumId w:val="9"/>
  </w:num>
  <w:num w:numId="31">
    <w:abstractNumId w:val="18"/>
  </w:num>
  <w:num w:numId="32">
    <w:abstractNumId w:val="39"/>
  </w:num>
  <w:num w:numId="33">
    <w:abstractNumId w:val="22"/>
  </w:num>
  <w:num w:numId="34">
    <w:abstractNumId w:val="38"/>
  </w:num>
  <w:num w:numId="35">
    <w:abstractNumId w:val="33"/>
  </w:num>
  <w:num w:numId="36">
    <w:abstractNumId w:val="15"/>
  </w:num>
  <w:num w:numId="37">
    <w:abstractNumId w:val="29"/>
  </w:num>
  <w:num w:numId="38">
    <w:abstractNumId w:val="2"/>
  </w:num>
  <w:num w:numId="39">
    <w:abstractNumId w:val="16"/>
  </w:num>
  <w:num w:numId="40">
    <w:abstractNumId w:val="20"/>
  </w:num>
  <w:num w:numId="41">
    <w:abstractNumId w:val="6"/>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1C4"/>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49B"/>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8655B"/>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204"/>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54E"/>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36001"/>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6E74"/>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37D"/>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4CA6"/>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A9706C"/>
    <w:rsid w:val="02DE374B"/>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976947"/>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036CD8"/>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17504"/>
    <w:rsid w:val="0A7E1671"/>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10942"/>
    <w:rsid w:val="0FC5121F"/>
    <w:rsid w:val="0FC52200"/>
    <w:rsid w:val="0FC57219"/>
    <w:rsid w:val="0FF11896"/>
    <w:rsid w:val="0FF743B8"/>
    <w:rsid w:val="104114BC"/>
    <w:rsid w:val="104F21E7"/>
    <w:rsid w:val="10681B45"/>
    <w:rsid w:val="10D545EB"/>
    <w:rsid w:val="10E123A7"/>
    <w:rsid w:val="10E51E7E"/>
    <w:rsid w:val="1109548A"/>
    <w:rsid w:val="11156035"/>
    <w:rsid w:val="111F2499"/>
    <w:rsid w:val="11296D36"/>
    <w:rsid w:val="1146103D"/>
    <w:rsid w:val="116C7384"/>
    <w:rsid w:val="12305D0B"/>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E2364"/>
    <w:rsid w:val="1761710C"/>
    <w:rsid w:val="17812612"/>
    <w:rsid w:val="1789592C"/>
    <w:rsid w:val="17933C9F"/>
    <w:rsid w:val="17B13E29"/>
    <w:rsid w:val="17D67A38"/>
    <w:rsid w:val="17DB1463"/>
    <w:rsid w:val="17ED5B45"/>
    <w:rsid w:val="17F85A47"/>
    <w:rsid w:val="18260DD1"/>
    <w:rsid w:val="182656C2"/>
    <w:rsid w:val="18303541"/>
    <w:rsid w:val="183735E3"/>
    <w:rsid w:val="18744310"/>
    <w:rsid w:val="18A12DFD"/>
    <w:rsid w:val="18A922F3"/>
    <w:rsid w:val="18B137E8"/>
    <w:rsid w:val="18D46399"/>
    <w:rsid w:val="18F56002"/>
    <w:rsid w:val="19196826"/>
    <w:rsid w:val="192F50C9"/>
    <w:rsid w:val="19633F03"/>
    <w:rsid w:val="199E02FC"/>
    <w:rsid w:val="19BA1CE3"/>
    <w:rsid w:val="19DF55C2"/>
    <w:rsid w:val="1A0C61A8"/>
    <w:rsid w:val="1A132F57"/>
    <w:rsid w:val="1A300E03"/>
    <w:rsid w:val="1A5F760F"/>
    <w:rsid w:val="1A6F3E95"/>
    <w:rsid w:val="1A6F6E85"/>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4D30A6"/>
    <w:rsid w:val="1E6843C7"/>
    <w:rsid w:val="1EA60FCA"/>
    <w:rsid w:val="1EA87417"/>
    <w:rsid w:val="1ED70A99"/>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1451D8"/>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304B4"/>
    <w:rsid w:val="2F1B0798"/>
    <w:rsid w:val="2F4F0438"/>
    <w:rsid w:val="2F506BFB"/>
    <w:rsid w:val="2F7E2CC0"/>
    <w:rsid w:val="2F921764"/>
    <w:rsid w:val="2F98405A"/>
    <w:rsid w:val="2FD11EB8"/>
    <w:rsid w:val="303D5772"/>
    <w:rsid w:val="306E40F7"/>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5A308B"/>
    <w:rsid w:val="3360351F"/>
    <w:rsid w:val="33620CB2"/>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5DA6BA3"/>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1835F9"/>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073E8"/>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C670C2"/>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30577A"/>
    <w:rsid w:val="5A482DEE"/>
    <w:rsid w:val="5A55295D"/>
    <w:rsid w:val="5A7E104A"/>
    <w:rsid w:val="5A8208A0"/>
    <w:rsid w:val="5A861FD5"/>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0A7704"/>
    <w:rsid w:val="605C7AA6"/>
    <w:rsid w:val="605F132B"/>
    <w:rsid w:val="608510A4"/>
    <w:rsid w:val="608762FF"/>
    <w:rsid w:val="609E1C45"/>
    <w:rsid w:val="60BD4FD1"/>
    <w:rsid w:val="60D507D0"/>
    <w:rsid w:val="60EA1511"/>
    <w:rsid w:val="60EB6C34"/>
    <w:rsid w:val="60FD5C7B"/>
    <w:rsid w:val="613D7E7B"/>
    <w:rsid w:val="617162E9"/>
    <w:rsid w:val="61A52BAA"/>
    <w:rsid w:val="61FA0AE4"/>
    <w:rsid w:val="62253765"/>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434BB2"/>
    <w:rsid w:val="65B221E6"/>
    <w:rsid w:val="66426031"/>
    <w:rsid w:val="66593B74"/>
    <w:rsid w:val="66651C8A"/>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9D3411"/>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BE186B"/>
    <w:rsid w:val="6EF9461D"/>
    <w:rsid w:val="6F1348E9"/>
    <w:rsid w:val="6F2A01FE"/>
    <w:rsid w:val="6F2A71A4"/>
    <w:rsid w:val="6F9415EA"/>
    <w:rsid w:val="6FB72F84"/>
    <w:rsid w:val="6FCA5E7C"/>
    <w:rsid w:val="6FE3419F"/>
    <w:rsid w:val="6FF778F1"/>
    <w:rsid w:val="700346D4"/>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781DCD"/>
    <w:rsid w:val="76D84698"/>
    <w:rsid w:val="775865D7"/>
    <w:rsid w:val="775B4584"/>
    <w:rsid w:val="776234AF"/>
    <w:rsid w:val="776D12AE"/>
    <w:rsid w:val="77AD0FE0"/>
    <w:rsid w:val="77BE7384"/>
    <w:rsid w:val="78821B50"/>
    <w:rsid w:val="788E2A2A"/>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19364-F9C3-41D2-9679-A03338073A7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6479</Words>
  <Characters>36934</Characters>
  <Lines>307</Lines>
  <Paragraphs>86</Paragraphs>
  <TotalTime>14</TotalTime>
  <ScaleCrop>false</ScaleCrop>
  <LinksUpToDate>false</LinksUpToDate>
  <CharactersWithSpaces>43327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菊花爆满山</cp:lastModifiedBy>
  <cp:lastPrinted>2019-09-01T07:55:00Z</cp:lastPrinted>
  <dcterms:modified xsi:type="dcterms:W3CDTF">2020-05-08T06:12:58Z</dcterms:modified>
  <dc:title>湖 北  招 标</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